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61049F" w:rsidRDefault="0061049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ИЗМЕНЕНИЯ на Кодекса за конструкцията и оборудването на кораби, превозващи опасни химикали в наливно състояние (Кодекс BCH)</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Приети с Резолюция MEPC.144(54) на Комитета по опазване на морската среда на Международната морска организация на 24.03.2006 г. Издадени от Министерството на транспорта, информационните технологии и съобщенията, oбн., ДВ, бр. 98 от 23.11.2021 г., в сила за Република България от 1.08.2007 г.</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Комитетът по опазване на морската среда,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припомня член 38, буква а) от Конвенцията за Международната морска организация относно функциите на Комитета по опазване на морската среда (Комитета), възложени му от международните конвенции за предотвратяване и контрол на замърсяването на морето,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припомня също така Резолюция MEPC.20(22), с която Комитетът приема Кодекса за конструкцията и оборудването на кораби, превозващи опасни химикали в наливно състояние (BCH Кодекс),</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взема предвид член 16 от Международната конвенция за предотвратяване на замърсяването от кораби, 1973 г. ("Конвенцията от 1973 г.") и член VI от Протокола от 1978 г., отнасящ се до Международната конвенция за предотвратяване на замърсяването от кораби, 1973 г. ("Протокола от 1978 г."), които заедно определят процедурата за изменение на Протокола от 1978 г. и възлагат на съответния орган на Организацията функцията да разглежда и приема изменения на Конвенцията от 1973 г., изменена с Протокола от 1978 г. (MARPOL 73/78),</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имат предвид, че е необходимо изискванията на Кодекс ВСН, които са задължителни съгласно MARPOL 73/78 и препоръчителни от гледна точка на безопасността, да останат идентични при приемането им от Комитета по опазване на морската среда и Комитета по морска безопасност,</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имат предвид предложените изменения на Кодекс ВСН:</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1.</w:t>
      </w:r>
      <w:r>
        <w:rPr>
          <w:rFonts w:ascii="Times New Roman" w:hAnsi="Times New Roman"/>
          <w:sz w:val="24"/>
          <w:szCs w:val="24"/>
          <w:lang w:val="x-none"/>
        </w:rPr>
        <w:t xml:space="preserve"> Приема в съответствие с член 16 (2) (b), (c) и (d) от Конвенцията от 1973 г. измененията на Кодекс ВСН, чийто текст е изложен в приложението към настоящата резолюция.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w:t>
      </w:r>
      <w:r>
        <w:rPr>
          <w:rFonts w:ascii="Times New Roman" w:hAnsi="Times New Roman"/>
          <w:sz w:val="24"/>
          <w:szCs w:val="24"/>
          <w:lang w:val="x-none"/>
        </w:rPr>
        <w:t xml:space="preserve"> Определя в съответствие с член 16 (2)(f) (iii) от Конвенцията от 1973 г., че измененията на Кодекс ВСН се считат за приети на 1 февруари 2007 г., освен ако преди тази дата не по-малко от една трета от страните или страните, чиито комбиниран търговски флот съставлява не по-малко от 50 % от брутния тонаж на световния търговски флот, са съобщили на организацията възражения срещу измененията.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3.</w:t>
      </w:r>
      <w:r>
        <w:rPr>
          <w:rFonts w:ascii="Times New Roman" w:hAnsi="Times New Roman"/>
          <w:sz w:val="24"/>
          <w:szCs w:val="24"/>
          <w:lang w:val="x-none"/>
        </w:rPr>
        <w:t xml:space="preserve"> Приканва Страните да отбележат, че в съответствие с член 16 (2) (g) (ii) от Конвенцията от 1973 г. измененията на Кодекс ВСН влизат в сила на 1 август 2007 г. след приемането им в съответствие с параграф 2 по-горе.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4.</w:t>
      </w:r>
      <w:r>
        <w:rPr>
          <w:rFonts w:ascii="Times New Roman" w:hAnsi="Times New Roman"/>
          <w:sz w:val="24"/>
          <w:szCs w:val="24"/>
          <w:lang w:val="x-none"/>
        </w:rPr>
        <w:t xml:space="preserve"> Приканва също Комитетът по морска безопасност да вземе предвид настоящата резолюция и да предприеме необходимите действия.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5.</w:t>
      </w:r>
      <w:r>
        <w:rPr>
          <w:rFonts w:ascii="Times New Roman" w:hAnsi="Times New Roman"/>
          <w:sz w:val="24"/>
          <w:szCs w:val="24"/>
          <w:lang w:val="x-none"/>
        </w:rPr>
        <w:t xml:space="preserve"> Изисква от Генералния секретар в съответствие с член 16 (2) (e) от Конвенцията от 1973 г. да предаде на всички страни по MARPOL 73/78 заверени копия от настоящата резолюция и текста на измененията на Кодекс ВСН, съдържащи се в приложението; 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6.</w:t>
      </w:r>
      <w:r>
        <w:rPr>
          <w:rFonts w:ascii="Times New Roman" w:hAnsi="Times New Roman"/>
          <w:sz w:val="24"/>
          <w:szCs w:val="24"/>
          <w:lang w:val="x-none"/>
        </w:rPr>
        <w:t xml:space="preserve"> Изисква още Генералният секретар да предаде копия от настоящата резолюция и нейното приложение на членовете на Организацията, които не са страни по MARPOL 73/78.</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ПРИЛОЖЕНИЕ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ИЗМЕНЕНИЯ НА КОДЕКСА ЗА КОНСТРУКЦИЯТА И ОБОРУДВАНЕТО НА КОРАБИ, ПРЕВОЗВАЩИ ОПАСНИ ХИМИКАЛИ В НАЛИВНО СЪСТОЯНИЕ (КОДЕКС BCH)</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ВСН Кодексът се изменя така:</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Предговор</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Добавя се следният нов параграф:</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i/>
          <w:iCs/>
          <w:sz w:val="24"/>
          <w:szCs w:val="24"/>
          <w:lang w:val="x-none"/>
        </w:rPr>
        <w:t>7 Кодексът е изменен, за да отрази ревизията на Анекс II на MARPOL от 2007 г.</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I</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Общи положения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1.1 Цел</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Във второто изречение думите "</w:t>
      </w:r>
      <w:r>
        <w:rPr>
          <w:rFonts w:ascii="Times New Roman" w:hAnsi="Times New Roman"/>
          <w:i/>
          <w:iCs/>
          <w:sz w:val="24"/>
          <w:szCs w:val="24"/>
          <w:lang w:val="x-none"/>
        </w:rPr>
        <w:t>съгласно определението в правило 1, параграф 1 от Допълнение II към него</w:t>
      </w:r>
      <w:r>
        <w:rPr>
          <w:rFonts w:ascii="Times New Roman" w:hAnsi="Times New Roman"/>
          <w:sz w:val="24"/>
          <w:szCs w:val="24"/>
          <w:lang w:val="x-none"/>
        </w:rPr>
        <w:t>" се заличават и препратките към (Категория на замърсяване) "</w:t>
      </w:r>
      <w:r>
        <w:rPr>
          <w:rFonts w:ascii="Times New Roman" w:hAnsi="Times New Roman"/>
          <w:i/>
          <w:iCs/>
          <w:sz w:val="24"/>
          <w:szCs w:val="24"/>
          <w:lang w:val="x-none"/>
        </w:rPr>
        <w:t>A, B или C</w:t>
      </w:r>
      <w:r>
        <w:rPr>
          <w:rFonts w:ascii="Times New Roman" w:hAnsi="Times New Roman"/>
          <w:sz w:val="24"/>
          <w:szCs w:val="24"/>
          <w:lang w:val="x-none"/>
        </w:rPr>
        <w:t>" се заменят с "</w:t>
      </w:r>
      <w:r>
        <w:rPr>
          <w:rFonts w:ascii="Times New Roman" w:hAnsi="Times New Roman"/>
          <w:i/>
          <w:iCs/>
          <w:sz w:val="24"/>
          <w:szCs w:val="24"/>
          <w:lang w:val="x-none"/>
        </w:rPr>
        <w:t>X, Y или Z</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1.4 Определения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Параграф 1.4.16A се заменя със следното: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i/>
          <w:iCs/>
          <w:sz w:val="24"/>
          <w:szCs w:val="24"/>
          <w:lang w:val="x-none"/>
        </w:rPr>
        <w:t>1.4.16A Вредно течно вещество означава всяко вещество, посочено в колоната "Категория на замърсяване</w:t>
      </w:r>
      <w:r>
        <w:rPr>
          <w:rFonts w:ascii="Times New Roman" w:hAnsi="Times New Roman"/>
          <w:sz w:val="24"/>
          <w:szCs w:val="24"/>
          <w:lang w:val="x-none"/>
        </w:rPr>
        <w:t>" в глава 17 или 18 от Международния кодекс за насипни химикали, или настоящата MEPC.2/Циркуляр или временно оценено съгласно разпоредбите на правило 6.3 от измененията на Анекса към Протокола от 1978 г. във връзка с Международната конвенция за предотвратяване на замърсяването от кораби от 1973 г., като попадащо в категория X, Y или Z."</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параграф 1.4.16B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Номерът на параграфа с определението за "</w:t>
      </w:r>
      <w:r>
        <w:rPr>
          <w:rFonts w:ascii="Times New Roman" w:hAnsi="Times New Roman"/>
          <w:i/>
          <w:iCs/>
          <w:sz w:val="24"/>
          <w:szCs w:val="24"/>
          <w:lang w:val="x-none"/>
        </w:rPr>
        <w:t>дата на годишнината</w:t>
      </w:r>
      <w:r>
        <w:rPr>
          <w:rFonts w:ascii="Times New Roman" w:hAnsi="Times New Roman"/>
          <w:sz w:val="24"/>
          <w:szCs w:val="24"/>
          <w:lang w:val="x-none"/>
        </w:rPr>
        <w:t>", което беше прието като "</w:t>
      </w:r>
      <w:r>
        <w:rPr>
          <w:rFonts w:ascii="Times New Roman" w:hAnsi="Times New Roman"/>
          <w:i/>
          <w:iCs/>
          <w:sz w:val="24"/>
          <w:szCs w:val="24"/>
          <w:lang w:val="x-none"/>
        </w:rPr>
        <w:t>1.4.16C</w:t>
      </w:r>
      <w:r>
        <w:rPr>
          <w:rFonts w:ascii="Times New Roman" w:hAnsi="Times New Roman"/>
          <w:sz w:val="24"/>
          <w:szCs w:val="24"/>
          <w:lang w:val="x-none"/>
        </w:rPr>
        <w:t>" с Резолюция MEPC.41(29), се изменя на "</w:t>
      </w:r>
      <w:r>
        <w:rPr>
          <w:rFonts w:ascii="Times New Roman" w:hAnsi="Times New Roman"/>
          <w:i/>
          <w:iCs/>
          <w:sz w:val="24"/>
          <w:szCs w:val="24"/>
          <w:lang w:val="x-none"/>
        </w:rPr>
        <w:t>1.4.16D</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1.7 Влизане в сила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Във второто изречение на параграф 1.7.2 позоваването на "</w:t>
      </w:r>
      <w:r>
        <w:rPr>
          <w:rFonts w:ascii="Times New Roman" w:hAnsi="Times New Roman"/>
          <w:i/>
          <w:iCs/>
          <w:sz w:val="24"/>
          <w:szCs w:val="24"/>
          <w:lang w:val="x-none"/>
        </w:rPr>
        <w:t>правило 1 (12)</w:t>
      </w:r>
      <w:r>
        <w:rPr>
          <w:rFonts w:ascii="Times New Roman" w:hAnsi="Times New Roman"/>
          <w:sz w:val="24"/>
          <w:szCs w:val="24"/>
          <w:lang w:val="x-none"/>
        </w:rPr>
        <w:t>" се заменя с "</w:t>
      </w:r>
      <w:r>
        <w:rPr>
          <w:rFonts w:ascii="Times New Roman" w:hAnsi="Times New Roman"/>
          <w:i/>
          <w:iCs/>
          <w:sz w:val="24"/>
          <w:szCs w:val="24"/>
          <w:lang w:val="x-none"/>
        </w:rPr>
        <w:t>правило 1.17</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1.8 Нови продукти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В първото изречение на параграф 1.8 позоваването на (Категория на замърсяване) "</w:t>
      </w:r>
      <w:r>
        <w:rPr>
          <w:rFonts w:ascii="Times New Roman" w:hAnsi="Times New Roman"/>
          <w:i/>
          <w:iCs/>
          <w:sz w:val="24"/>
          <w:szCs w:val="24"/>
          <w:lang w:val="x-none"/>
        </w:rPr>
        <w:t>A, B или C</w:t>
      </w:r>
      <w:r>
        <w:rPr>
          <w:rFonts w:ascii="Times New Roman" w:hAnsi="Times New Roman"/>
          <w:sz w:val="24"/>
          <w:szCs w:val="24"/>
          <w:lang w:val="x-none"/>
        </w:rPr>
        <w:t>" се заменя с "</w:t>
      </w:r>
      <w:r>
        <w:rPr>
          <w:rFonts w:ascii="Times New Roman" w:hAnsi="Times New Roman"/>
          <w:i/>
          <w:iCs/>
          <w:sz w:val="24"/>
          <w:szCs w:val="24"/>
          <w:lang w:val="x-none"/>
        </w:rPr>
        <w:t>X, Y или Z</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II</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Вместимост на товара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lastRenderedPageBreak/>
        <w:t xml:space="preserve">  G – Материали, от които е направена конструкцията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2.17 Общи положения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Съществуващият текст се заменя със следното:</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2.17.1 Строителните материали, използвани за изграждането на танкове, заедно със съответните тръбопроводи, помпи, клапани, вентилационни отвори и техните съединителни материали трябва да отговарят на приетите стандарти за температура и налягане при превоз на товара. Прието е, че стоманата е нормалният материал на конструкцията.</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2.17.2 Когато е приложимо, следва да се вземе предвид следното при избора на материал на конструкцията:</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.1 пластичност на срязване при работна температура;</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.2 корозивен ефект на товара; и</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.3 възможност за опасни реакции между товара и материала на конструкцията.</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2.17.3 Изпращачът на товара е отговорен за предоставянето на информация по отношение на съвместимостта на корабния оператор и/или капитана. Това трябва да се направи своевременно преди превоза на продукта. Товарът трябва да бъде съвместим с всички материали на конструкцията, така че:</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.1 да не се повреди целостта на материалите на конструкцията; и </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.2 да не се създава опасна или потенциално опасна реакция.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i/>
          <w:iCs/>
          <w:sz w:val="24"/>
          <w:szCs w:val="24"/>
          <w:lang w:val="x-none"/>
        </w:rPr>
        <w:t xml:space="preserve"> 2.17.4 Когато продуктът е представен на ИМО за оценка и когато съвместимостта на продукта с материалите, посочени в параграф 2.17, поставя специални изисквания, формулярът за докладване на данните за продукта GESAMP/EHS трябва да предостави информация за необходимите материали за конструкцията. Тези изисквания трябва да бъдат отразени в глава IV и съответно да бъдат посочени в колона o на глава 17 от Кодекс IBC. Във формуляра за докладване се посочва и дали не са необходими специални изисквания. Производителят на продукта е отговорен за предоставянето на правилната информация.</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2.18 Допълнителни изисквания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В параграф 2.18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III</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Оборудване за безопасност и свързани с него съображения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Е – Защита от пожар</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След заглавието се добавят следните думи: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(Правилата от SOLAS, посочени в част Е, са, освен ако изрично не е предвидено друго, изискванията на глава II-2 на Международната конвенция за безопасност на човешкия живот на море, 1974 г., както е изменена с Резолюция MSC.99(73)</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3.13 Мерки за пожарна безопасност</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В параграф 3.13.3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Добавя се следният нов параграф 3.13.5:</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 xml:space="preserve">3.13.5 Следните изисквания на глава II-2 на SOLAS, приети с MSC.99(73), трябва да </w:t>
      </w:r>
      <w:r>
        <w:rPr>
          <w:rFonts w:ascii="Times New Roman" w:hAnsi="Times New Roman"/>
          <w:i/>
          <w:iCs/>
          <w:sz w:val="24"/>
          <w:szCs w:val="24"/>
          <w:lang w:val="x-none"/>
        </w:rPr>
        <w:lastRenderedPageBreak/>
        <w:t>се прилагат:</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(a) правила II-2/4.5.10.1.1 и 4.5.10.1.4, като система за непрекъснат мониторинг на концентрацията на запалими пари се монтира на кораби с бруто тонаж над 500 тона включително, до датата на първото планирано докуване на сух док след [датата на влизане в сила на изменението], но не по-късно от [3 години след датата на влизане в сила на изменението]. Точките за вземане на проби или детекторите трябва да бъдат разположени на подходящи позиции, за да могат лесно да бъдат открити потенциално опасни течове. Когато концентрацията на запалимите пари достигне предварително зададено ниво, което не трябва да надвишава 10 % от долната граница на запалимостта, непрекъснат звуков и визуален алармен сигнал автоматично се подава в помпеното помещение и товарното отделение, за да предупреди персонала за потенциална опасност. Наред с това могат да бъдат приети и вече монтирани системи за мониторинг с предварително зададено ниво не по-голямо от 30 % от долната граница на запалимостта. Независимо от горните разпоредби администрацията може да освободи от тези изисквания кораби, които не извършват международни рейсове;</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(b) правила 13.3.4.2 до 13.3.4.5 и 13.4.3 следва да се прилагат за кораби с бруто тонаж от 500 тона и повече;</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(c) правилата в част Е на глава II-2 от Конвенцията SOLAS, с изключение на правила 16.3.2.2 и 16.3.2.3, следва да се прилагат за кораби независимо от техните размери;</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(d) когато наскоро е инсталирано оборудване – фритюрници, трябва да се прилага правило 10.6.4; 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i/>
          <w:iCs/>
          <w:sz w:val="24"/>
          <w:szCs w:val="24"/>
          <w:lang w:val="x-none"/>
        </w:rPr>
        <w:t xml:space="preserve"> (e) пожарогасителните системи, използващи Halon 1211, 1301 и 2402 и перфлуорвъглеводороди, не трябва да са новомонтирани, както е забранено в правило 10.4.1.3.</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F – Лична защита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След заглавието се добавят следните думи: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(Правилата от SOLAS, посочени в част F, са, освен ако изрично не е предвидено друго, изискванията на глава II-2 на Международната конвенция за безопасност на човешкия живот на море, 1974 г., както е изменена с Резолюция MSC.99(73)</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IV</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Специални изисквания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4.12 Материали на конструкцията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В параграф 4.12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4.15 Замърсяване на товара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В параграф 4.15.1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V</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Експлоатационни изисквания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5.2 Информация за товара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16 В точка 5.2.5 цифрата за вискозитет "</w:t>
      </w:r>
      <w:r>
        <w:rPr>
          <w:rFonts w:ascii="Times New Roman" w:hAnsi="Times New Roman"/>
          <w:i/>
          <w:iCs/>
          <w:sz w:val="24"/>
          <w:szCs w:val="24"/>
          <w:lang w:val="x-none"/>
        </w:rPr>
        <w:t>25 mPa</w:t>
      </w:r>
      <w:r>
        <w:rPr>
          <w:rFonts w:ascii="Times New Roman" w:hAnsi="Times New Roman"/>
          <w:sz w:val="24"/>
          <w:szCs w:val="24"/>
          <w:lang w:val="x-none"/>
        </w:rPr>
        <w:t>", която се среща два пъти, се заменя с "</w:t>
      </w:r>
      <w:r>
        <w:rPr>
          <w:rFonts w:ascii="Times New Roman" w:hAnsi="Times New Roman"/>
          <w:i/>
          <w:iCs/>
          <w:sz w:val="24"/>
          <w:szCs w:val="24"/>
          <w:lang w:val="x-none"/>
        </w:rPr>
        <w:t>50 mPa</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В параграф 5.2.6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В параграф 5.2.7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VА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Допълнителни мерки за защита на морската среда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 Съществуващият текст се изтрива и се добавя думата "</w:t>
      </w:r>
      <w:r>
        <w:rPr>
          <w:rFonts w:ascii="Times New Roman" w:hAnsi="Times New Roman"/>
          <w:i/>
          <w:iCs/>
          <w:sz w:val="24"/>
          <w:szCs w:val="24"/>
          <w:lang w:val="x-none"/>
        </w:rPr>
        <w:t>Изтрит</w:t>
      </w: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VI</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Обобщение на минималните изисквания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Кръстосаните препратки на IBC/BCH относно изискванията за Материали за конструкцията (колона m) и следните препратки към специални изисквания (колона o) се заличават:</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"Позоваване на IBC-кодекса</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позоваване на BCH-кодекса</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15.16.1</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16.2.7</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16.2.8</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16A.2.2</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4.15.1</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5.2.6</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5.2.7</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5A.2.2"</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Глава VIII</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Транспортиране на течни химически отпадъци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В параграф 8.3.2.2 позоваването на "глава 19" от Кодекса на IBC се заменя с "глава 20".</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Приложение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Образец на Свидетелство за годност за превоз на опасни химикали в наливно състояние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Съществуващият образец се заменя със следното:</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"ОБРАЗЕЦ НА СВИДЕТЕЛСТВО ЗА ГОДНОСТ ЗА ПРЕВОЗ НА ОПАСНИ ХИМИКАЛИ В НАЛИВНО СЪСТОЯНИЕ </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СВИДЕТЕЛСТВО ЗА ГОДНОСТ ЗА ПРЕВОЗ НА ОПАСНИ ХИМИКАЛИ В НАЛИВНО СЪСТОЯНИЕ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 xml:space="preserve">  (Официален печат)</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 в съответствие с изискванията на</w:t>
      </w: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КОДЕКС ЗА КОНСТРУКЦИЯТА И ОБОРУДВАНЕТО НА КОРАБИ, ПРЕВОЗВАЩИ ОПАСНИ ХИМИКАЛИ В НАЛИВНО СЪСТОЯНИЕ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(резолюции MSC.9(53) и MEPC.20(22), както са изменени)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 ръководството на правителството на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 xml:space="preserve">  (пълно официално наименование на държавата)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чрез ..............................................................................................</w:t>
      </w:r>
    </w:p>
    <w:p w:rsidR="0061049F" w:rsidRDefault="0061049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 xml:space="preserve">  (пълно наименование на компетентните лица или организации, признати от Администрацията)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Данни за кораба </w:t>
      </w:r>
      <w:r>
        <w:rPr>
          <w:rFonts w:ascii="Times New Roman" w:hAnsi="Times New Roman"/>
          <w:sz w:val="24"/>
          <w:szCs w:val="24"/>
          <w:lang w:val="x-none"/>
        </w:rPr>
        <w:t>[1]</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на кораба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Отличителен номер или букви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Пристанище на регистрация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Брутен тонаж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Тип кораб (параграф 2.2.4 от кодекса)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IMO номер [2]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на която е положен на кил или на която корабът е бил на подобен етап на строителство, или (при преустройство на кораб)</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на която е започнало преустройство в танкер-химикаловоз</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Корабът също така напълно съответства на следните изменения на Кодекса: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Корабът е освободен от спазването на следните разпоредби на Кодекса: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УДОСТОВЕРЯВА СЕ, ЧЕ: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Корабът е прегледан в съответствие с изискванията на раздел 1.6 от Кодекса;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Прегледът установява, че конструкцията и оборудването на кораба и състоянието му са във всички отношения задоволителни и че корабът:</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отговаря на съответните изисквания на Кодекса, приложими за корабите, посочени в 1.7.2;</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отговаря на съответните изисквания на Кодекса, приложими за корабите, посочени в 1.7.3;</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Корабът е снабден с ръководство в съответствие с Допълнение 4 към Анекс II на MARPOL, както се изисква от правило 14 от Анекса, и че снабдяването и оборудването на кораба, предвидени в ръководството, са удовлетворителни във всички отношения;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Корабът отговаря на изискванията за превоз в наливно състояние на следните продукти, при условие че са спазени всички съответни операционни изисквания на Кодекса и Анекс II на MARPOL:</w:t>
      </w:r>
    </w:p>
    <w:tbl>
      <w:tblPr>
        <w:tblW w:w="10230" w:type="dxa"/>
        <w:tblCellSpacing w:w="0" w:type="dxa"/>
        <w:tblInd w:w="1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10"/>
        <w:gridCol w:w="3410"/>
        <w:gridCol w:w="3410"/>
      </w:tblGrid>
      <w:tr w:rsidR="0061049F">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Продукт</w:t>
            </w: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Условия на превоз (номера на цистерни и др.)</w:t>
            </w: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Замърсяване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Категория</w:t>
            </w:r>
          </w:p>
        </w:tc>
      </w:tr>
      <w:tr w:rsidR="0061049F">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10170" w:type="dxa"/>
            <w:gridSpan w:val="3"/>
            <w:tcBorders>
              <w:top w:val="single" w:sz="6" w:space="0" w:color="A0A0A0"/>
              <w:left w:val="single" w:sz="6" w:space="0" w:color="A0A0A0"/>
              <w:bottom w:val="single" w:sz="6" w:space="0" w:color="F0F0F0"/>
              <w:right w:val="single" w:sz="6" w:space="0" w:color="F0F0F0"/>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Продължение в приложение 1, допълнителни листове, подписани и датирани3</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Номерата на танковете, посочени в този списък, са посочени в приложение 2, подписан и датиран план на резервоара.</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съответствие с 1.7.3/2.2.53 изискванията на Кодекса се изменят по отношение на кораба по следния начин:</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Корабът трябва да бъде натоварен:</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в съответствие с условията за товарене, предвидени в одобрено ръководство за товарене, подпечатано и датирано и подписано от отговорен служител на Администрацията или на организацията, призната от Администрацията;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съответствие с ограниченията за натоварване, приложени към настоящото свидетелство3.</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Като алтернатива данните за кораба могат да бъдат нанесени хоризонтално, в схематични кутии.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съответствие със схемата на IMO за идентификационни номера на корабите, приета от Организацията с Резолюция A.600(15).</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Изтрийте според случая.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Когато се изисква натоварване на кораба по начин, различен от този съгласно посочените по-горе инструкции, тогава необходимите изчисления, за да се аргументират предложените условия за натоварване, трябва да се съобщят на Администрацията, издаваща свидетелството, която може писмено да разреши приемането на предложените условия за натоварване 4.</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 свидетелство е валидно до...................................................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5,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условие че подлежи на прегледи в съответствие с параграф 1.6 от Кодекса.</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на извършване на преглед, въз основа на който се издава свидетелството: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(дд/мм/гггг)</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 в ....................................................................................</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(място на издаване на свидетелството)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(дата на издаване) (подпис на упълномощено-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 длъжностно лице, издаващо свидетелството)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(печат или щемпел на издаващия орган според случая)</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Бележки за попълване на свидетелството: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Свидетелството може да бъде издадено само на кораби, които имат право да плават под знаме на държави, които са страна по MARPOL 73/78.</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Тип кораб: Вписванията в тази колона трябва да се отнасят до всички съответни препоръки, например вписване "Тип 2" трябва да означава Тип 2 във всички случаи, предписани от Кодекса. Тази колона обикновено не се прилага в случаите на съществуващ кораб и в такъв случай трябва да се отбележи "виж параграф 2.2".</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Продукти: Продуктите, посочени в глава 17 от Кодекса, или които са оценени от Администрацията в съответствие с 1.8 от Кодекса, трябва да бъдат посочени. По отношение на последните "нови" продукти трябва да се отбележат всички специални изисквания, предписани временно.</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Продукти: Списъкът на продуктите, които корабът може да превозва, трябва да включва вредните течни вещества от категория Z, които не са обхванати от Кодекса и трябва да бъдат идентифицирани като "глава 18, категория Z".</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Вместо да бъде включен в свидетелството, този текст може да бъде приложен към свидетелството, ако е подписан и подпечатан.</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Въведете датата на изтичане, посочена от Администрацията в съответствие с 1.6.6.1 от Кодекса. Денят и месецът на тази дата съответстват на датата на годишнината, определена в 1.4.16D от Кодекса, освен ако не е изменена в съответствие с 1.6.6.8 от Кодекса.</w:t>
      </w:r>
    </w:p>
    <w:p w:rsidR="0061049F" w:rsidRDefault="0061049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5 </w:t>
      </w:r>
      <w:r>
        <w:rPr>
          <w:rFonts w:ascii="Times New Roman" w:hAnsi="Times New Roman"/>
          <w:i/>
          <w:iCs/>
          <w:sz w:val="24"/>
          <w:szCs w:val="24"/>
          <w:lang w:val="x-none"/>
        </w:rPr>
        <w:t>заличени.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Условия за превоз: Ако свидетелството е издадено на кораб, който е модифициран в съответствие с изискването на правило 1 (12) от Анекс II на MARPOL, свидетелството трябва да съдържа в горната част на таблицата продукти и условия на превоз със следната декларация: "Този кораб е освидетелстван да превозва само химикали – опасни замърсители".</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ЗАВЕРКА ЗА ГОДИШНИ И МЕЖДИННИ ПРЕГЛЕДИ</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НАСТОЯЩОТО СЕ УДОСТОВЕРЯВА, че при преглед, изискван от 1.6.2 от Кодекса, е установено, че корабът отговаря на съответните изисквания на Кодекса.</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 преглед:</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 xml:space="preserve">подпис на надлежно упълно­мощено длъжностно лице)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Годишен/междинен преглед 3:</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 xml:space="preserve">подпис на надлежно упълно­мощено </w:t>
            </w:r>
            <w:r>
              <w:rPr>
                <w:rFonts w:ascii="Times New Roman" w:hAnsi="Times New Roman"/>
                <w:i/>
                <w:iCs/>
                <w:sz w:val="24"/>
                <w:szCs w:val="24"/>
                <w:lang w:val="x-none"/>
              </w:rPr>
              <w:lastRenderedPageBreak/>
              <w:t>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(печат или щемпел на издаващия орган според случая)</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Годишен/междинен преглед 3:</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(печат или щемпел на издаващия орган според случая)</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 преглед:</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(печат или щемпел на издаващия орган според случая)</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ГОДИШЕН/МЕЖДИНЕН ПРЕГЛЕД В СЪОТВЕТСТВИЕ С ПАРАГРАФ 1.6.6.8.3</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НАСТОЯЩОТО СЕ УДОСТОВЕРЯВА, че при годишен/междинен3 преглед в съответствие с параграф 1.6.6.8.3 от Кодекса е установено, че корабът отговаря на съответните изисквания на Конвенцията:</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lastRenderedPageBreak/>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ЗАВЕРКА ЗА УДЪЛЖАВАНЕ НА СВИДЕТЕЛСТВОТО, В СЛУЧАЙ ЧЕ Е ВАЛИДНО ЗА ПО-МАЛКО ОТ 5 ГОДИНИ, В СЪОТВЕТСТВИЕ С ПАРАГРАФ 1.6.6.3</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Корабът отговаря на съответните изисквания на Конвенцията и настоящото свидетелство в съответствие с параграф 1.6.6.3 от Кодекса се счита за валидно до ...............................................................................</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ЗАВЕРКА ЗА ИЗВЪРШЕН ПОДНОВИТЕЛЕН ПРЕГЛЕД В СЪОТВЕТСТВИЕ С ПАРАГРАФ 1.6.6.4</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Корабът отговаря на съответните изисквания на Конвенцията и настоящото свидетелство в съответствие с параграф 1.6.6.4 от Кодекса се счита за валидно до .............................................................................</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ЗАВЕРКА ЗА УДЪЛЖАВАНЕ ВАЛИДНОСТТА НА СВИДЕТЕЛСТВОТО ЗА ГРАТИСЕН ПЕРИОД ИЛИ ДО ДОСТИГАНЕ НА ПРИСТАНИЩЕТО ЗА ПРЕГЛЕД В СЪОТВЕТСТВИЕ С ПАРАГРАФ 1.6.6.5 ИЛИ 1.6.6.6</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Този сертификат в съответствие с параграф 1.6.6.5/1.6.6.63 от Кодекса се приема за валиден до ..............................................................</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ЗАВЕРКА ЗА ИЗМЕСТВАНЕ НА ДАТАТА НА ГОДИШНИНАТА В СЪОТВЕТСТВИЕ С ПАРАГРАФ 1.6.6.8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съответствие с параграф 1.6.6.8 от Кодекса новата дата на годишнината е .........................................................................</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съответствие с параграф 1.6.6.8 новата дата на годишнината е .....................................................................</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 xml:space="preserve">подпис на надлежно упълно­мощено </w:t>
            </w:r>
            <w:r>
              <w:rPr>
                <w:rFonts w:ascii="Times New Roman" w:hAnsi="Times New Roman"/>
                <w:i/>
                <w:iCs/>
                <w:sz w:val="24"/>
                <w:szCs w:val="24"/>
                <w:lang w:val="x-none"/>
              </w:rPr>
              <w:lastRenderedPageBreak/>
              <w:t>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ДОПЪЛНЕНИЕ 1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КЪМ СВИДЕТЕЛСТВО ЗА ГОДНОСТ ЗА ПРЕВОЗ НА ОПАСНИ ХИМИКАЛИ В НАЛИВНО СЪСТОЯНИЕ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Продължение на списъка на продуктите, посочени в раздел 3, и техните условия за превоз.</w:t>
      </w: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 преглед:</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 xml:space="preserve">подпис на надлежно упълно­мощено длъжностно лице)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 xml:space="preserve">...............................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 xml:space="preserve">(печат или щемпел на издаващия орган според случая)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Годишен/междинен преглед 3:</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(печат или щемпел на издаващия орган според случая)</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Годишен/междинен преглед 3:</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lastRenderedPageBreak/>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(печат или щемпел на издаващия орган според случая)</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Годишен преглед:</w:t>
            </w: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Подпис..............................................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 на надлежно упълно­мощено длъжностно лице)</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Място ............................................... </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 xml:space="preserve">Дата </w:t>
            </w:r>
            <w:r>
              <w:rPr>
                <w:rFonts w:ascii="Times New Roman" w:hAnsi="Times New Roman"/>
                <w:i/>
                <w:iCs/>
                <w:sz w:val="24"/>
                <w:szCs w:val="24"/>
                <w:lang w:val="x-none"/>
              </w:rPr>
              <w:t>(дд/мм/гггг)</w:t>
            </w:r>
            <w:r>
              <w:rPr>
                <w:rFonts w:ascii="Times New Roman" w:hAnsi="Times New Roman"/>
                <w:sz w:val="24"/>
                <w:szCs w:val="24"/>
                <w:lang w:val="x-none"/>
              </w:rPr>
              <w:t>...............................</w:t>
            </w:r>
          </w:p>
        </w:tc>
      </w:tr>
      <w:tr w:rsidR="0061049F">
        <w:trPr>
          <w:tblCellSpacing w:w="0" w:type="dxa"/>
        </w:trPr>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0" w:type="dxa"/>
            <w:tcBorders>
              <w:top w:val="nil"/>
              <w:left w:val="nil"/>
              <w:bottom w:val="nil"/>
              <w:right w:val="nil"/>
            </w:tcBorders>
          </w:tcPr>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right"/>
              <w:rPr>
                <w:rFonts w:ascii="Times New Roman" w:hAnsi="Times New Roman"/>
                <w:i/>
                <w:iCs/>
                <w:sz w:val="24"/>
                <w:szCs w:val="24"/>
                <w:lang w:val="x-none"/>
              </w:rPr>
            </w:pPr>
            <w:r>
              <w:rPr>
                <w:rFonts w:ascii="Times New Roman" w:hAnsi="Times New Roman"/>
                <w:i/>
                <w:iCs/>
                <w:sz w:val="24"/>
                <w:szCs w:val="24"/>
                <w:lang w:val="x-none"/>
              </w:rPr>
              <w:t>(печат или щемпел на издаващия орган според случая)</w:t>
            </w:r>
          </w:p>
        </w:tc>
      </w:tr>
    </w:tbl>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Дата ……………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свидетелството) (подпис на длъжностно лице,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издало свидетелството, и/или печат на издаващия орган)</w:t>
      </w: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ДОПЪЛНЕНИЕ 2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КЪМ СВИДЕТЕЛСТВО ЗА ГОДНОСТ ЗА ПРЕВОЗ НА ОПАСНИ ХИМИКАЛИ В НАЛИВНО СЪСТОЯНИЕ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ПЛАН НА ТАНКА (образец)</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на кораба: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Отличителен номер или букви:</w:t>
      </w:r>
    </w:p>
    <w:p w:rsidR="0061049F" w:rsidRDefault="00F95ED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lastRenderedPageBreak/>
        <w:drawing>
          <wp:inline distT="0" distB="0" distL="0" distR="0">
            <wp:extent cx="5895975" cy="228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5975" cy="2286000"/>
                    </a:xfrm>
                    <a:prstGeom prst="rect">
                      <a:avLst/>
                    </a:prstGeom>
                    <a:noFill/>
                    <a:ln>
                      <a:noFill/>
                    </a:ln>
                  </pic:spPr>
                </pic:pic>
              </a:graphicData>
            </a:graphic>
          </wp:inline>
        </w:drawing>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свидетелството) (Подпис на длъжностно лице,</w:t>
      </w:r>
    </w:p>
    <w:p w:rsidR="0061049F" w:rsidRDefault="0061049F">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1" w:name="to_paragraph_id45640120"/>
      <w:bookmarkEnd w:id="1"/>
      <w:r>
        <w:rPr>
          <w:rFonts w:ascii="Times New Roman" w:hAnsi="Times New Roman"/>
          <w:sz w:val="24"/>
          <w:szCs w:val="24"/>
          <w:lang w:val="x-none"/>
        </w:rPr>
        <w:t>издало свидетелството, и/или печат на издаващия орган)"</w:t>
      </w:r>
    </w:p>
    <w:sectPr w:rsidR="0061049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DA"/>
    <w:rsid w:val="005D3EDA"/>
    <w:rsid w:val="0061049F"/>
    <w:rsid w:val="00F95E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C4DBD1-4103-4845-8DC4-028EEB10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2021-11-24T10:00:00Z</dcterms:created>
  <dcterms:modified xsi:type="dcterms:W3CDTF">2021-11-24T10:00:00Z</dcterms:modified>
</cp:coreProperties>
</file>