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bookmarkStart w:id="0" w:name="_GoBack"/>
      <w:bookmarkEnd w:id="0"/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ИЗМЕНЕНИЯ на Кодекса за конструкцията и оборудването на кораби, превозващи опасни химикали в наливно състояние (Кодекс BCH)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Приети с Резолюция MEPC.249(66) на Комитета по опазване на морската среда на Международната морска организация на 4.04.2014 г. Изд</w:t>
      </w:r>
      <w:r>
        <w:rPr>
          <w:rFonts w:ascii="Times New Roman" w:hAnsi="Times New Roman" w:cs="Times New Roman"/>
          <w:sz w:val="24"/>
          <w:szCs w:val="24"/>
          <w:lang w:val="x-none"/>
        </w:rPr>
        <w:t>адени от Министерството на транспорта, информационните технологии и съобщенията, oбн., ДВ, бр. 98 от 23.11.2021 г., в сила за Република България от 1.01.2016 г.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(Вместимост на товара и образец на свидетелство за годност)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Комитетът по опазване на морскат</w:t>
      </w:r>
      <w:r>
        <w:rPr>
          <w:rFonts w:ascii="Times New Roman" w:hAnsi="Times New Roman" w:cs="Times New Roman"/>
          <w:sz w:val="24"/>
          <w:szCs w:val="24"/>
          <w:lang w:val="x-none"/>
        </w:rPr>
        <w:t>а среда,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Като припомня член 38, буква а) от Конвенцията за Международната морска организация във връзка с функциите на Комитета по опазване на морската среда (Комитета), предоставени му съгласно международните конвенции за предотвратяването и контрола на м</w:t>
      </w:r>
      <w:r>
        <w:rPr>
          <w:rFonts w:ascii="Times New Roman" w:hAnsi="Times New Roman" w:cs="Times New Roman"/>
          <w:sz w:val="24"/>
          <w:szCs w:val="24"/>
          <w:lang w:val="x-none"/>
        </w:rPr>
        <w:t>орското замърсяване от кораби,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Припомняйки също и Резолюция MEPC.20(22), с която Комитетът прие Кодекса за конструкцията и оборудването на кораби, превозващи опасни химикали в наливно състояние (Кодекс BCH),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Като отбелязва член 16 от Международната конвенц</w:t>
      </w:r>
      <w:r>
        <w:rPr>
          <w:rFonts w:ascii="Times New Roman" w:hAnsi="Times New Roman" w:cs="Times New Roman"/>
          <w:sz w:val="24"/>
          <w:szCs w:val="24"/>
          <w:lang w:val="x-none"/>
        </w:rPr>
        <w:t>ия за предотвратяване на замърсяването от кораби от 1973 г. ("Конвенцията от 1973 г.") и член VI от Протокола от 1978 г. към Международната конвенция за предотвратяване на замърсяването от кораби от 1973 г. ("Протоколът от 1978 г."), които определят процед</w:t>
      </w:r>
      <w:r>
        <w:rPr>
          <w:rFonts w:ascii="Times New Roman" w:hAnsi="Times New Roman" w:cs="Times New Roman"/>
          <w:sz w:val="24"/>
          <w:szCs w:val="24"/>
          <w:lang w:val="x-none"/>
        </w:rPr>
        <w:t>урата за изменение на Протокола от 1978 г., и възлагат на съответния орган на Организацията функцията да разглежда и приема поправки на Конвенцията от 1973 г., измененена с Протокола от 1978 г.,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Като отчита, че е необходимо разпоредбите на Кодекса BCH, кои</w:t>
      </w:r>
      <w:r>
        <w:rPr>
          <w:rFonts w:ascii="Times New Roman" w:hAnsi="Times New Roman" w:cs="Times New Roman"/>
          <w:sz w:val="24"/>
          <w:szCs w:val="24"/>
          <w:lang w:val="x-none"/>
        </w:rPr>
        <w:t>то са задължителни съгласно MARPOL и препоръчителни от гледна точка на безопасността, да останат идентични, след като бъдат приети от Комитета по опазване на морската страна и Комитета по морска безопасност,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Като взе предвид предложените изменения на Кодек</w:t>
      </w:r>
      <w:r>
        <w:rPr>
          <w:rFonts w:ascii="Times New Roman" w:hAnsi="Times New Roman" w:cs="Times New Roman"/>
          <w:sz w:val="24"/>
          <w:szCs w:val="24"/>
          <w:lang w:val="x-none"/>
        </w:rPr>
        <w:t>са BCH, разработени от Подкомитета за устойчивост, товарни линии и безопасност на риболовните кораби, на своята петдесет и пета сесия: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1.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Приема в съответствие с член 16, параграф 2, букви b), c) и d) от Конвенцията от 1973 г. изменения на Кодекса BCH, чий</w:t>
      </w:r>
      <w:r>
        <w:rPr>
          <w:rFonts w:ascii="Times New Roman" w:hAnsi="Times New Roman" w:cs="Times New Roman"/>
          <w:sz w:val="24"/>
          <w:szCs w:val="24"/>
          <w:lang w:val="x-none"/>
        </w:rPr>
        <w:t>то текст е посочен в приложението към настоящата резолюция;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2.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Определя в съответствие с член 16, параграф 2, буква f) (iii) от Конвенцията от 1973 г., че измененията на Кодекса BCH се считат за приети на 1 юли 2015 г., освен ако преди тази дата не по-малк</w:t>
      </w:r>
      <w:r>
        <w:rPr>
          <w:rFonts w:ascii="Times New Roman" w:hAnsi="Times New Roman" w:cs="Times New Roman"/>
          <w:sz w:val="24"/>
          <w:szCs w:val="24"/>
          <w:lang w:val="x-none"/>
        </w:rPr>
        <w:t>о от една трета от страните, или страни, чийто общ търговски флот включва не по-малко от 50 % от брутния тонаж на световния търговски флот, са съобщили на Организацията своите възражения срещу измененията;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3.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Приканва страните да отбележат, че в съответств</w:t>
      </w:r>
      <w:r>
        <w:rPr>
          <w:rFonts w:ascii="Times New Roman" w:hAnsi="Times New Roman" w:cs="Times New Roman"/>
          <w:sz w:val="24"/>
          <w:szCs w:val="24"/>
          <w:lang w:val="x-none"/>
        </w:rPr>
        <w:t>ие с член 2, буква g) (iii) от Конвенцията от 1973 г. измененията на Кодекса BCH влизат в сила от 1 януари 2016 г. след приемането им в съответствие с параграф 2 по-горе;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4.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Приканва също и Комитета по морска безопасност да вземе под внимание тази резолюци</w:t>
      </w:r>
      <w:r>
        <w:rPr>
          <w:rFonts w:ascii="Times New Roman" w:hAnsi="Times New Roman" w:cs="Times New Roman"/>
          <w:sz w:val="24"/>
          <w:szCs w:val="24"/>
          <w:lang w:val="x-none"/>
        </w:rPr>
        <w:t>я и да предприеме съответни действия;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Изисква от Генералния секретар в съответствие с член 16, параграф 2, буква e) от Конвенцията от 1973 г. да предаде на всички страни по MARPOL заверени копия на настоящата резолюция и на текста на измененията на Коде</w:t>
      </w:r>
      <w:r>
        <w:rPr>
          <w:rFonts w:ascii="Times New Roman" w:hAnsi="Times New Roman" w:cs="Times New Roman"/>
          <w:sz w:val="24"/>
          <w:szCs w:val="24"/>
          <w:lang w:val="x-none"/>
        </w:rPr>
        <w:t>кса BCH, който се съдържа в приложението;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6.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Изисква също Генералният секретар да предаде копия от настоящата резолюция и приложението към нея на членовете на Организацията, които не са страни по MARPOL.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ПРИЛОЖЕНИЕ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ИЗМЕНЕНИЯ НА КОДЕКСА ЗА КОНСТРУКЦИЯТ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А И ОБОРУДВАНЕТО НА КОРАБИ, ПРЕВОЗВАЩИ ОПАСНИ ХИМИКАЛИ В НАЛИВНО СЪСТОЯНИЕ (КОДЕКС BCH) 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(Вместимост на товара и образец на свидетелство за годност)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Глава II – Вместимост на товара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Част А – Физическа защита (Разполагане на товарни танкове, устойчивост на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кораба)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1. Съществуващата алинея 2.2.1 се заменя със следното: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2.2.1 Общи положения: Минимална височина на надводния борд в съответствие с Международната конвенция за товарните водолинии, 1966 г., може да бъде определена за корабите, предмет на този Код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екс. Въпреки това, допълнителните изисквания на параграф 2.2.4, като се вземе под внимание всеки празен или частично пълен танк, както и специфичното тегло на товарите за превоз, трябва да определят разрешеното оперативно газене за реалните товарни състоян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ия.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2.2.1.1 Всички кораби, превозващи химикали в насипно (наливно) състояние, трябва да бъдат снабдени с ръководства за товарене за информация и указание на капитана. Тези ръководства трябва да уреждат в детайли условията на товарене на пълни или частично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пълни танкове, разположението на тези танкове на кораба, специфичното тегло на различни превозвани партиди с товари, както и всякакви баластни устройства при критични условия на товарене. В ръководствата трябва да бъдат включени и разпоредби за оценяванет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о на други товарни състояния.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2.2.1.2 Всички кораби, за които се прилага Кодексът, трябва да са снабдени с инструмент за устойчивост, който да служи за проверка на съответствието с изискванията за устойчивост в неповредено състояние и устойчивост на повре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ди, одобрени от Администрацията, при първия подновителен преглед на кораба на или след 1 януари 2016 г., но не по-късно от 1 януари 2021 г., като се вземат под внимание експлоатационните стандарти, препоръчани от Организацията: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1. независимо от изложеното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по-горе не е необходимо инструмент за устойчивост, който е на кораб, построен преди 1 януари 2016 г., да се заменя, при условие че може да служи за проверка на съответствието с изискванията за устойчивост в неповредено състояние и устойчивост на повреди и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по този начин удовлетворява Администрацията, и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2. за целите на контрола по правило 16 от Анекс II на MARPOL Администрацията издава документ за одобрение на инструмента за устойчивост.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2.2.1.3 Администрацията може да освободи от изискванията на параграф 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2.2.1.2 следните кораби, при условие че процедурите, използвани за устойчивост в неповредено състояние и за устойчивост на повреди, поддържат същата степен на безопасност, 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lastRenderedPageBreak/>
        <w:t>както когато биват товарени в съответствие с одобрените условия. Всяко едно освобожд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аване се отбелязва своевременно в Свидетелството за годност, посочено в параграф 1.6.3: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1. кораби, които са на специализирана служба, с ограничен брой пермутации на товарене, така че всички очаквани условия да са одобрени в информацията за устойчивост, п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редоставена на капитана в съответствие с изискванията на параграф 2.2.1.1;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2. кораби, при които проверката за устойчивост е направена дистанционно чрез методи, одобрени от Администрацията;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3. кораби, които биват товарени в рамките на определен диапазон о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т условия за товарене; или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4. кораби с одобрени лимитиращи криви за KG/GM, покриващи всички изисквания за устойчивост в неповредено състояние и повредено състояние.</w:t>
      </w:r>
      <w:r>
        <w:rPr>
          <w:rFonts w:ascii="Times New Roman" w:hAnsi="Times New Roman" w:cs="Times New Roman"/>
          <w:sz w:val="24"/>
          <w:szCs w:val="24"/>
          <w:lang w:val="x-none"/>
        </w:rPr>
        <w:t>"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Свидетелство за годност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2. Параграф 6 се заменя от следното: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6. Корабът трябва да се на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товарва: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1. само в съответствие с условията за товарене, проверени и в съответствие с изискванията за устойчивост в неповредено състояние и за устойчивост на повреди, при използване на одобрения инструмент за устойчивост, осигурен в съответствие с парагра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ф 2.2.1.2 на Кодекса;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2. при освобождаване в съответствие с параграф 2.2.1.3 на Кодекса, когато одобреният инструмент за устойчивост, изискван от параграф 2.2.1.2 на Кодекса, не е монтиран, товаренето се извършва в съответствие с един или повече от следни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те одобрени методи: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(i) в съответствие с условията за товарене, предоставени в одобреното ръководство за товарене, подпечатано на дата .......................................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и подписано от отговорен служител на Администрацията, или на организация, призн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ата от Администрацията, или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(ii) в съответствие с условия за товарене, проверени дистанционно с използване на одобрени методи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................................................................................... ;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(iii) в съответствие с условия за товарен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е, които са в одобрен диапазон от условия, посочени и одобрени в ръководството за товарене, посочено по-горе в (i), или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(iv) в съответствие с условие за товарене, одобрено с използване на одобрени критични данни за KG/GM, посочени в одобреното ръководство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, посочено по-горе в (i);</w:t>
      </w:r>
    </w:p>
    <w:p w:rsidR="00000000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3. в съответствие с ограниченията за товарене, приложени към това свидетелство.</w:t>
      </w:r>
    </w:p>
    <w:p w:rsidR="005871E5" w:rsidRDefault="005871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Когато се изисква товарене на кораба, несъответстващо на горепосочените инструкции, тогава необходимите изчисления за аргументиране на предложените 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условия за товарене трябва да бъдат съобщени на Администрацията, издаваща свидетелството, която може писмено да разреши приемането на предложените условия за товарене.</w:t>
      </w:r>
      <w:r>
        <w:rPr>
          <w:rFonts w:ascii="Times New Roman" w:hAnsi="Times New Roman" w:cs="Times New Roman"/>
          <w:sz w:val="24"/>
          <w:szCs w:val="24"/>
          <w:lang w:val="x-none"/>
        </w:rPr>
        <w:t>"</w:t>
      </w:r>
    </w:p>
    <w:sectPr w:rsidR="005871E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EF5"/>
    <w:rsid w:val="005871E5"/>
    <w:rsid w:val="008A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452EAFC-6FF7-4640-B7DF-7A10ABFD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Velkova</dc:creator>
  <cp:keywords/>
  <dc:description/>
  <cp:lastModifiedBy>Svetlana Velkova</cp:lastModifiedBy>
  <cp:revision>2</cp:revision>
  <dcterms:created xsi:type="dcterms:W3CDTF">2021-11-24T10:08:00Z</dcterms:created>
  <dcterms:modified xsi:type="dcterms:W3CDTF">2021-11-24T10:08:00Z</dcterms:modified>
</cp:coreProperties>
</file>