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B" w:rsidRPr="000E0E3D" w:rsidRDefault="006E75FB" w:rsidP="006E75F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</w:pPr>
      <w:r w:rsidRPr="000E0E3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>ПРИЛОЖЕНИЕ №</w:t>
      </w:r>
      <w:r w:rsidR="00157D99" w:rsidRPr="000E0E3D">
        <w:rPr>
          <w:rFonts w:ascii="Times New Roman" w:eastAsia="MS Mincho" w:hAnsi="Times New Roman" w:cs="Times New Roman"/>
          <w:b/>
          <w:sz w:val="24"/>
          <w:szCs w:val="24"/>
          <w:lang w:val="bg-BG" w:eastAsia="bg-BG"/>
        </w:rPr>
        <w:t xml:space="preserve"> 2</w:t>
      </w:r>
    </w:p>
    <w:p w:rsidR="006E75FB" w:rsidRPr="000E0E3D" w:rsidRDefault="006E75FB" w:rsidP="006E7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6E75FB" w:rsidRPr="000E0E3D" w:rsidRDefault="006E75FB" w:rsidP="006E75FB">
      <w:pPr>
        <w:keepNext/>
        <w:spacing w:before="120" w:after="120" w:line="240" w:lineRule="auto"/>
        <w:ind w:firstLine="720"/>
        <w:jc w:val="center"/>
        <w:outlineLvl w:val="1"/>
        <w:rPr>
          <w:rFonts w:eastAsia="Times New Roman" w:cs="Times New Roman"/>
          <w:b/>
          <w:caps/>
          <w:sz w:val="28"/>
          <w:szCs w:val="20"/>
          <w:lang w:val="bg-BG" w:eastAsia="bg-BG"/>
        </w:rPr>
      </w:pPr>
      <w:r w:rsidRPr="000E0E3D">
        <w:rPr>
          <w:rFonts w:ascii="Times New Roman Bold" w:eastAsia="Times New Roman" w:hAnsi="Times New Roman Bold" w:cs="Times New Roman"/>
          <w:b/>
          <w:caps/>
          <w:sz w:val="26"/>
          <w:szCs w:val="20"/>
          <w:lang w:val="bg-BG" w:eastAsia="bg-BG"/>
        </w:rPr>
        <w:t>МЕТОДИКА ЗА ОПРЕДЕЛЯНЕ НА КОМПЛЕКСНАТА ОЦЕНКА НА ОФЕРТИТЕ</w:t>
      </w:r>
    </w:p>
    <w:p w:rsidR="006E75FB" w:rsidRPr="000E0E3D" w:rsidRDefault="006E75FB" w:rsidP="006E75FB">
      <w:pPr>
        <w:keepNext/>
        <w:spacing w:before="120" w:after="120" w:line="240" w:lineRule="auto"/>
        <w:ind w:firstLine="720"/>
        <w:jc w:val="center"/>
        <w:outlineLvl w:val="1"/>
        <w:rPr>
          <w:rFonts w:eastAsia="Times New Roman" w:cs="Times New Roman"/>
          <w:b/>
          <w:caps/>
          <w:sz w:val="24"/>
          <w:szCs w:val="20"/>
          <w:lang w:val="bg-BG" w:eastAsia="bg-BG"/>
        </w:rPr>
      </w:pPr>
    </w:p>
    <w:p w:rsidR="006E75FB" w:rsidRPr="000E0E3D" w:rsidRDefault="006E75FB" w:rsidP="00BF429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240" w:line="360" w:lineRule="auto"/>
        <w:rPr>
          <w:rFonts w:ascii="Times New Roman Bold" w:hAnsi="Times New Roman Bold"/>
          <w:b/>
          <w:smallCaps/>
          <w:szCs w:val="24"/>
          <w:lang w:val="bg-BG"/>
        </w:rPr>
      </w:pPr>
      <w:r w:rsidRPr="000E0E3D">
        <w:rPr>
          <w:rFonts w:ascii="Times New Roman Bold" w:hAnsi="Times New Roman Bold"/>
          <w:b/>
          <w:smallCaps/>
          <w:szCs w:val="24"/>
          <w:lang w:val="bg-BG"/>
        </w:rPr>
        <w:t>Същност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1. Оценяването и класирането на офертите н</w:t>
      </w:r>
      <w:bookmarkStart w:id="0" w:name="_GoBack"/>
      <w:bookmarkEnd w:id="0"/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а участниците се извършва по критерия „ИКОНОМИЧЕСКИ НАЙ-ИЗГОДНАТА ОФЕРТА” съгласно чл. 70, ал. 2, т. 3 от ЗОП. Оценяването и класирането на постъпилите оферти ще се извърши в съответствие с изискванията на ЗОП. 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2. Настоящата методика за определяне на комплексната оценка на офертите представлява съвкупност от правила, посредством, които ще се оцени съответствието между изискванията на възложителя и предоставените оферти, с оглед определяне на предложението, което ще удовлетвори потребностите на възложителя по оптимален, ефективен и ефикасен начин.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3. На комплексна оценка за оценяване на икономически най-изгодната оферта съгласно чл. 70, ал. 2, т. 3 от ЗОП, подлежат офертите на участници в процедурата, които не са отстранени от участие в процедурата и които отговарят на предварително обявените условия за допустимост.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4. Участниците, чиито технически и ценови предложения не отговарят на изискванията на Възложителя, ще бъдат отстранени от по-нататъшно участие поради несъответствие с условията, поставени от Възложителя.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5. Класирането на офертите се извършва по низходящ ред на получената обща оценка, изчислена на база показателите за оценка, като на първо място се класира офертата с най-висока обща оценка. Оценките по отделните показатели се представят в числово изражение с точност до втория знак след десетичната запетая.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6. Показателите и относителна тежест в комплексната оценка са описани в настоящата документация.</w:t>
      </w:r>
    </w:p>
    <w:p w:rsidR="006E75FB" w:rsidRPr="000E0E3D" w:rsidRDefault="006E75FB" w:rsidP="006E75F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 xml:space="preserve">7. Цените се предлагат в български лева, без включен ДДС, до втория знак след десетичната запетая. </w:t>
      </w:r>
    </w:p>
    <w:p w:rsidR="00497B4B" w:rsidRPr="000E0E3D" w:rsidRDefault="006E75F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 xml:space="preserve">8. В случай че комплексните оценки на две или повече оферти са равни се прилагат разпоредбите на чл. 58 от ППЗОП. </w:t>
      </w:r>
    </w:p>
    <w:p w:rsidR="00497B4B" w:rsidRPr="000E0E3D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97B4B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F7547" w:rsidRDefault="004F7547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F7547" w:rsidRDefault="004F7547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97B4B" w:rsidRPr="000E0E3D" w:rsidRDefault="00497B4B" w:rsidP="00BF4290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240" w:line="360" w:lineRule="auto"/>
        <w:rPr>
          <w:rFonts w:ascii="Times New Roman Bold" w:hAnsi="Times New Roman Bold"/>
          <w:b/>
          <w:smallCaps/>
          <w:szCs w:val="24"/>
          <w:lang w:val="bg-BG"/>
        </w:rPr>
      </w:pPr>
      <w:r w:rsidRPr="000E0E3D">
        <w:rPr>
          <w:rFonts w:ascii="Times New Roman Bold" w:hAnsi="Times New Roman Bold"/>
          <w:b/>
          <w:smallCaps/>
          <w:szCs w:val="24"/>
          <w:lang w:val="bg-BG"/>
        </w:rPr>
        <w:lastRenderedPageBreak/>
        <w:t>Показатели за оценка на офертите и тяхната относителна тежест</w:t>
      </w:r>
    </w:p>
    <w:p w:rsidR="00497B4B" w:rsidRPr="000E0E3D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Показателите, по които ще се определи икономически най-изгодната оферта и тежестта на всеки един от тях в комплексната оценка на офертата са както следва:</w:t>
      </w:r>
    </w:p>
    <w:p w:rsidR="00497B4B" w:rsidRPr="000E0E3D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bCs/>
          <w:szCs w:val="24"/>
          <w:lang w:val="bg-BG"/>
        </w:rPr>
      </w:pPr>
    </w:p>
    <w:p w:rsidR="00497B4B" w:rsidRPr="000E0E3D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Технически показател (ТП)</w:t>
      </w: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- предложението за изпълнение на поръчката - с относителна тежест </w:t>
      </w:r>
      <w:r w:rsidR="004A3B45"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60 </w:t>
      </w: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%. Максимално възможна стойност на показателя – 100 т.</w:t>
      </w:r>
    </w:p>
    <w:p w:rsidR="00497B4B" w:rsidRPr="000E0E3D" w:rsidRDefault="00497B4B" w:rsidP="00497B4B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497B4B" w:rsidRPr="000E0E3D" w:rsidRDefault="00497B4B" w:rsidP="007C569D"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Финансов показател (ФП)</w:t>
      </w: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- предложена от участника </w:t>
      </w:r>
      <w:r w:rsidR="005C4C8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обща </w:t>
      </w: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цена за изпълнение на поръчката - с относителна тежест </w:t>
      </w:r>
      <w:r w:rsidR="004A3B45"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40 </w:t>
      </w: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%. Максимално възможна стойност на показателя - 100 т.</w:t>
      </w:r>
    </w:p>
    <w:p w:rsidR="00497B4B" w:rsidRPr="000E0E3D" w:rsidRDefault="00497B4B" w:rsidP="007C569D">
      <w:pPr>
        <w:jc w:val="both"/>
        <w:rPr>
          <w:lang w:val="bg-BG"/>
        </w:rPr>
      </w:pPr>
    </w:p>
    <w:p w:rsidR="00497B4B" w:rsidRPr="000E0E3D" w:rsidRDefault="00497B4B" w:rsidP="007C569D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240" w:line="360" w:lineRule="auto"/>
        <w:rPr>
          <w:rFonts w:ascii="Times New Roman Bold" w:hAnsi="Times New Roman Bold"/>
          <w:b/>
          <w:smallCaps/>
          <w:szCs w:val="24"/>
          <w:lang w:val="bg-BG"/>
        </w:rPr>
      </w:pPr>
      <w:r w:rsidRPr="000E0E3D">
        <w:rPr>
          <w:rFonts w:ascii="Times New Roman Bold" w:hAnsi="Times New Roman Bold"/>
          <w:b/>
          <w:smallCaps/>
          <w:szCs w:val="24"/>
          <w:lang w:val="bg-BG"/>
        </w:rPr>
        <w:t>Комплексна оценка (КО)</w:t>
      </w:r>
    </w:p>
    <w:p w:rsidR="00497B4B" w:rsidRPr="000E0E3D" w:rsidRDefault="00497B4B" w:rsidP="007C569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Комплексната оценка (КО) на офертата на участника се изчислява по посочените показатели и съответните им относителни тежести по следната формула:</w:t>
      </w:r>
    </w:p>
    <w:p w:rsidR="00497B4B" w:rsidRPr="000E0E3D" w:rsidRDefault="00497B4B" w:rsidP="007C569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КО = ТП x 60% + ФП x 40%</w:t>
      </w:r>
    </w:p>
    <w:p w:rsidR="00497B4B" w:rsidRPr="000E0E3D" w:rsidRDefault="00497B4B" w:rsidP="007C569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Максималният брой точки, които участникът може да получи е 100 точки. </w:t>
      </w:r>
    </w:p>
    <w:p w:rsidR="00497B4B" w:rsidRPr="000E0E3D" w:rsidRDefault="00497B4B" w:rsidP="007C569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Участникът, събрал най-много точки на Комплексната оценка (КО) се класира на първо място.</w:t>
      </w:r>
    </w:p>
    <w:p w:rsidR="00497B4B" w:rsidRPr="000E0E3D" w:rsidRDefault="00497B4B" w:rsidP="007C569D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240" w:line="360" w:lineRule="auto"/>
        <w:rPr>
          <w:rFonts w:ascii="Times New Roman Bold" w:hAnsi="Times New Roman Bold"/>
          <w:b/>
          <w:smallCaps/>
          <w:szCs w:val="24"/>
          <w:lang w:val="bg-BG"/>
        </w:rPr>
      </w:pPr>
      <w:r w:rsidRPr="000E0E3D">
        <w:rPr>
          <w:rFonts w:ascii="Times New Roman Bold" w:hAnsi="Times New Roman Bold"/>
          <w:b/>
          <w:smallCaps/>
          <w:szCs w:val="24"/>
          <w:lang w:val="bg-BG"/>
        </w:rPr>
        <w:t>Технически показател (ТП)</w:t>
      </w:r>
    </w:p>
    <w:p w:rsidR="00DF63B0" w:rsidRPr="00DF63B0" w:rsidRDefault="00DF63B0" w:rsidP="00DF63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63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Оценката по този показател се прави на база на предложението за изпълнение на поръчката, представено от участника в неговата техническа оферта и изготвено съгласно изискванията на техническата спецификация и всички останали изисквания на възложителя съгласно документацията за участие. </w:t>
      </w:r>
    </w:p>
    <w:p w:rsidR="00DF63B0" w:rsidRPr="00DF63B0" w:rsidRDefault="00DF63B0" w:rsidP="00DF63B0">
      <w:pPr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63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Предложение за изпълнение на поръчката, което не отговаря на изискванията на техническата спецификация на възложителя не подлежи на оценка, а участникът се предлага за отстраняване.</w:t>
      </w:r>
    </w:p>
    <w:p w:rsidR="00DF63B0" w:rsidRPr="00DF63B0" w:rsidRDefault="00DF63B0" w:rsidP="00DF63B0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DF63B0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Чрез избраните </w:t>
      </w:r>
      <w:r w:rsidR="00AE3BED">
        <w:rPr>
          <w:rFonts w:ascii="Times New Roman" w:eastAsia="TimesNewRomanPSMT" w:hAnsi="Times New Roman" w:cs="Times New Roman"/>
          <w:sz w:val="24"/>
          <w:szCs w:val="24"/>
          <w:lang w:val="bg-BG"/>
        </w:rPr>
        <w:t>три</w:t>
      </w:r>
      <w:r w:rsidRPr="00DF63B0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подпоказатели, които се отнасят до </w:t>
      </w:r>
      <w:r w:rsidRPr="00DF63B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технологично решение и функционалности, управление на проекта и управление на риска при изпълнение на поръчката</w:t>
      </w:r>
      <w:r w:rsidRPr="00DF63B0">
        <w:rPr>
          <w:rFonts w:ascii="Times New Roman" w:eastAsia="TimesNewRomanPSMT" w:hAnsi="Times New Roman" w:cs="Times New Roman"/>
          <w:sz w:val="24"/>
          <w:szCs w:val="24"/>
          <w:lang w:val="bg-BG"/>
        </w:rPr>
        <w:t xml:space="preserve"> се оценява до каква степен направеното техническо предложение удовлетворява изискванията на възложителя. Поставянето на оценките по посочената </w:t>
      </w:r>
      <w:r w:rsidRPr="00DF63B0">
        <w:rPr>
          <w:rFonts w:ascii="Times New Roman" w:eastAsia="TimesNewRomanPSMT" w:hAnsi="Times New Roman" w:cs="Times New Roman"/>
          <w:sz w:val="24"/>
          <w:szCs w:val="24"/>
          <w:lang w:val="bg-BG"/>
        </w:rPr>
        <w:lastRenderedPageBreak/>
        <w:t>скала се осъществява въз основа на експертна оценка на комисията, като се посочват причините (изтъкват се недостатъците и респективно преимуществата на съответното предложение като се мотивира поставената оценка).</w:t>
      </w:r>
    </w:p>
    <w:p w:rsidR="00DF63B0" w:rsidRPr="00AB2460" w:rsidRDefault="00DF63B0" w:rsidP="00DF63B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AB2460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оценката са включени три подпоказатели – П1, П2 и П3, както следва:</w:t>
      </w:r>
    </w:p>
    <w:p w:rsidR="00AA2B7A" w:rsidRPr="00AB2460" w:rsidRDefault="004815AD" w:rsidP="007C569D">
      <w:pPr>
        <w:tabs>
          <w:tab w:val="left" w:pos="284"/>
        </w:tabs>
        <w:autoSpaceDE w:val="0"/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  <w:r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П1 </w:t>
      </w:r>
      <w:r w:rsidR="00E309D6"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–</w:t>
      </w:r>
      <w:r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 </w:t>
      </w:r>
      <w:r w:rsidR="00E309D6"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Предложение за </w:t>
      </w:r>
      <w:r w:rsidR="00E032BD"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технологично решение и </w:t>
      </w:r>
      <w:r w:rsidR="00157D99" w:rsidRPr="00AB24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функционалности</w:t>
      </w:r>
    </w:p>
    <w:tbl>
      <w:tblPr>
        <w:tblW w:w="9090" w:type="dxa"/>
        <w:tblInd w:w="1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710"/>
      </w:tblGrid>
      <w:tr w:rsidR="001E7ADD" w:rsidRPr="001E7ADD" w:rsidTr="00283EE8">
        <w:trPr>
          <w:trHeight w:val="8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Оценка</w:t>
            </w:r>
          </w:p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точки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Мотиви и аргументи на комисията</w:t>
            </w:r>
          </w:p>
        </w:tc>
      </w:tr>
      <w:tr w:rsidR="001E7ADD" w:rsidRPr="001E7ADD" w:rsidTr="00283EE8">
        <w:trPr>
          <w:trHeight w:val="188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ind w:left="188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Технологичното решение за доставка на интегрирана система за корабна инспекция (софтуерен пакет с електронна база данни, оборудване и начин на реализация), отговаря на</w:t>
            </w: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заложените в техническата спецификация минимални изисквания, и</w:t>
            </w:r>
          </w:p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ind w:left="188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- Участникът е описал начина на реализация за всяко функционално и нефункционално изискване от техническата спецификация.</w:t>
            </w:r>
          </w:p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ind w:left="188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 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1E7ADD" w:rsidRPr="001E7ADD" w:rsidTr="00283EE8">
        <w:trPr>
          <w:trHeight w:val="88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ind w:left="142"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Технологичното решение за доставка на интегрирана система за корабна инспекция (софтуерен пакет с електронна база данни, оборудване и начин на реализация) отговаря на заложените в техническата спецификация минимални изисквания и :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162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Участникът е описал начина на реализация за всяко функционално и нефункционално изискване от техническата спецификация.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16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Въз основа на методика за бизнес анализ е представил описание на инструментите, които ще се ползват за извършване на функционалното и техническо специфициране и проектиране на работните процеси при доставка</w:t>
            </w:r>
            <w:r w:rsidRPr="001E7A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 xml:space="preserve"> </w:t>
            </w: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 оптимално** внедряване на интегрираната система за корабна инспекция;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 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E7ADD" w:rsidRPr="001E7ADD" w:rsidTr="00283EE8">
        <w:trPr>
          <w:trHeight w:val="11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ind w:left="188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Технологичното решение за доставка на интегрирана система за корабна инспекция (софтуерен пакет с електронна база данни, оборудване и начин на реализация)</w:t>
            </w: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отговаря на заложените в техническата спецификация минимални изисквания и</w:t>
            </w: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spacing w:after="200" w:line="276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Участникът е описал начина на реализация за всяко функционално и нефункционално изискване от техническата спецификация, като е обосновал архитектурата на системата и нейните отделни елементи и взаимовръзки;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ind w:right="162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Въз основа на методика за бизнес анализ е представил описание на инструментите, които ще се ползват за извършване на функционалното и техническо специфициране и проектиране на работните процеси при изграждане и оптимално** внедряване на интегрираната система за корабна инспекция;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spacing w:after="200" w:line="276" w:lineRule="auto"/>
              <w:ind w:right="23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Обосновани са предимствата на предложената софтуерна архитектура и принципи за изграждане и внедряване на интегрираната система за корабна инспекция;</w:t>
            </w:r>
          </w:p>
          <w:p w:rsidR="001E7ADD" w:rsidRPr="001E7ADD" w:rsidRDefault="001E7ADD" w:rsidP="001E7ADD">
            <w:pPr>
              <w:numPr>
                <w:ilvl w:val="0"/>
                <w:numId w:val="12"/>
              </w:numPr>
              <w:spacing w:after="200" w:line="276" w:lineRule="auto"/>
              <w:ind w:right="2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Предложени са поне три допълнителни </w:t>
            </w:r>
            <w:proofErr w:type="spellStart"/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ефективни</w:t>
            </w:r>
            <w:proofErr w:type="spellEnd"/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**</w:t>
            </w: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* функционалности (различни от тези посочени в т. 8.1 от Техническата спецификация), даващи възможност за  подобряване взаимодействието между институциите ангажирани с корабни инспекции по река Дунав и/или с корабособствениците и корабоводителите. </w:t>
            </w:r>
          </w:p>
          <w:p w:rsidR="001E7ADD" w:rsidRPr="001E7ADD" w:rsidRDefault="001E7ADD" w:rsidP="001E7ADD">
            <w:pPr>
              <w:spacing w:after="200" w:line="276" w:lineRule="auto"/>
              <w:ind w:left="502" w:right="227"/>
              <w:contextualSpacing/>
              <w:jc w:val="both"/>
              <w:rPr>
                <w:rFonts w:ascii="Calibri" w:eastAsia="Calibri" w:hAnsi="Calibri" w:cs="Times New Roman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E7AD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DD" w:rsidRPr="001E7ADD" w:rsidRDefault="001E7ADD" w:rsidP="001E7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AB2460" w:rsidRDefault="00AB2460" w:rsidP="00F85E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AF047E" w:rsidRPr="00F85E97" w:rsidRDefault="00E31D04" w:rsidP="00F85E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 този под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показател ще се оценява</w:t>
      </w:r>
      <w:r w:rsidR="007406C4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предложените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от участника </w:t>
      </w:r>
      <w:r w:rsidR="007406C4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технологично решение за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доставяната система, което включва описание на технологични възможности за бъдещо 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разширение и надграждане; обосновка </w:t>
      </w:r>
      <w:r w:rsidR="00265384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относно това как с предлаганата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архитектура се постигат проектните цели.</w:t>
      </w:r>
    </w:p>
    <w:p w:rsidR="00AF047E" w:rsidRPr="00F85E97" w:rsidRDefault="001711DB" w:rsidP="00F85E9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 този под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показател техническото предложение може да </w:t>
      </w:r>
      <w:r w:rsidR="0046070B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получи 10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="0046070B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20 или 4</w:t>
      </w:r>
      <w:r w:rsidR="00AF047E" w:rsidRPr="00F85E97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0 т.:</w:t>
      </w:r>
    </w:p>
    <w:p w:rsidR="00394097" w:rsidRDefault="00394097" w:rsidP="00331D0D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31D0D" w:rsidRPr="00016114" w:rsidRDefault="00331D0D" w:rsidP="00331D0D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016114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Максималната възможна стойност на П1 е 40 точки.</w:t>
      </w:r>
    </w:p>
    <w:p w:rsidR="00C82F52" w:rsidRPr="00016114" w:rsidRDefault="00C82F52" w:rsidP="00F85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  <w:lang w:val="bg-BG"/>
        </w:rPr>
      </w:pPr>
      <w:r w:rsidRPr="00016114">
        <w:rPr>
          <w:rFonts w:ascii="Times New Roman" w:hAnsi="Times New Roman" w:cs="Times New Roman"/>
          <w:i/>
          <w:szCs w:val="24"/>
          <w:lang w:val="bg-BG"/>
        </w:rPr>
        <w:t>*обоснован – обяснение/пояснение  за приложимостта и полезността за направеното предложение по съответния елемент/компонент</w:t>
      </w:r>
    </w:p>
    <w:p w:rsidR="00C82F52" w:rsidRPr="00016114" w:rsidRDefault="00C82F52" w:rsidP="00F85E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Cs w:val="24"/>
          <w:lang w:val="bg-BG"/>
        </w:rPr>
      </w:pPr>
      <w:r w:rsidRPr="00016114">
        <w:rPr>
          <w:rFonts w:ascii="Times New Roman" w:hAnsi="Times New Roman" w:cs="Times New Roman"/>
          <w:i/>
          <w:szCs w:val="24"/>
          <w:lang w:val="bg-BG"/>
        </w:rPr>
        <w:t>**оптимален/но – най-благоприятен от гл.т. на обема и срока за изпълнение.</w:t>
      </w:r>
    </w:p>
    <w:p w:rsidR="008A1BC6" w:rsidRPr="00016114" w:rsidRDefault="00C82F52" w:rsidP="00F85E97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16114">
        <w:rPr>
          <w:rFonts w:ascii="Times New Roman" w:hAnsi="Times New Roman" w:cs="Times New Roman"/>
          <w:i/>
          <w:szCs w:val="24"/>
          <w:lang w:val="bg-BG"/>
        </w:rPr>
        <w:t>***ефективно - степента на постигане на целите при съпоставяне на действителните и очакваните резултати от изпълнението.</w:t>
      </w:r>
    </w:p>
    <w:p w:rsidR="004F7547" w:rsidRPr="00016114" w:rsidRDefault="004F7547" w:rsidP="00AB2460">
      <w:pPr>
        <w:tabs>
          <w:tab w:val="left" w:pos="284"/>
        </w:tabs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</w:p>
    <w:p w:rsidR="00617A6F" w:rsidRDefault="00AA2B7A" w:rsidP="00C566C6">
      <w:pPr>
        <w:tabs>
          <w:tab w:val="left" w:pos="284"/>
        </w:tabs>
        <w:autoSpaceDE w:val="0"/>
        <w:spacing w:after="120" w:line="360" w:lineRule="auto"/>
        <w:ind w:left="-180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  <w:r w:rsidRPr="000E0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П2 – </w:t>
      </w:r>
      <w:r w:rsidR="00C566C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„Методология</w:t>
      </w:r>
      <w:r w:rsidR="00617A6F" w:rsidRPr="00617A6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 за управление на проекта“ с включено описание на етапи, задачи,  ресурси и зависимости</w:t>
      </w:r>
      <w:r w:rsidR="00617A6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.</w:t>
      </w:r>
    </w:p>
    <w:p w:rsidR="00AA2B7A" w:rsidRPr="000E0E3D" w:rsidRDefault="00617A6F" w:rsidP="00C566C6">
      <w:pPr>
        <w:tabs>
          <w:tab w:val="left" w:pos="284"/>
        </w:tabs>
        <w:autoSpaceDE w:val="0"/>
        <w:spacing w:after="120" w:line="36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7A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Методология е систематичното изследване на методите, които са или могат да бъдат приложени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617A6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811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този под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показател ще се оценява цялостната концепция и виждане на участника з</w:t>
      </w:r>
      <w:r w:rsidR="00842E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2E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етапите, 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отговорностите, организацията </w:t>
      </w:r>
      <w:r w:rsidR="00842E50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изпълнение на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обществената поръчка с оглед с</w:t>
      </w:r>
      <w:r w:rsidR="00811982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рока за изпълнение. По този под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показател техническото предложение може да получи </w:t>
      </w:r>
      <w:r w:rsidR="00363F40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842E50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F85E97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801DB5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 или </w:t>
      </w:r>
      <w:r w:rsidR="00F85E97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AA2B7A" w:rsidRPr="00C566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 т.:</w:t>
      </w:r>
    </w:p>
    <w:p w:rsidR="00AA2B7A" w:rsidRPr="000E0E3D" w:rsidRDefault="00AA2B7A" w:rsidP="00AA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9402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2"/>
        <w:gridCol w:w="1800"/>
        <w:gridCol w:w="1710"/>
      </w:tblGrid>
      <w:tr w:rsidR="00AA2B7A" w:rsidRPr="000E0E3D" w:rsidTr="007C569D">
        <w:trPr>
          <w:trHeight w:val="879"/>
        </w:trPr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A2B7A" w:rsidRPr="000E0E3D" w:rsidRDefault="00AA2B7A" w:rsidP="00AA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A2B7A" w:rsidRPr="000E0E3D" w:rsidRDefault="00AA2B7A" w:rsidP="00AA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Оценка</w:t>
            </w:r>
          </w:p>
          <w:p w:rsidR="00AA2B7A" w:rsidRPr="000E0E3D" w:rsidRDefault="00AA2B7A" w:rsidP="00AA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точки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:rsidR="00AA2B7A" w:rsidRPr="000E0E3D" w:rsidRDefault="00AA2B7A" w:rsidP="00AA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0E0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Мотиви и аргументи на комисията</w:t>
            </w:r>
          </w:p>
        </w:tc>
      </w:tr>
      <w:tr w:rsidR="00AA2B7A" w:rsidRPr="000E0E3D" w:rsidTr="00C566C6">
        <w:trPr>
          <w:trHeight w:val="615"/>
        </w:trPr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A6F" w:rsidRPr="00C566C6" w:rsidRDefault="00617A6F" w:rsidP="00617A6F">
            <w:pPr>
              <w:ind w:right="-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>Предложената „Методология за управление на проекта“ осигурява изпълнението на минималните изисквания на Възложителя, посочени в т. 5.3 „Управление на проекта“ от Техническата спецификация. Описани са:</w:t>
            </w:r>
          </w:p>
          <w:p w:rsidR="00617A6F" w:rsidRPr="00C566C6" w:rsidRDefault="00617A6F" w:rsidP="00617A6F">
            <w:pPr>
              <w:numPr>
                <w:ilvl w:val="0"/>
                <w:numId w:val="8"/>
              </w:numPr>
              <w:spacing w:after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 xml:space="preserve">фазите на проекта; </w:t>
            </w:r>
          </w:p>
          <w:p w:rsidR="00617A6F" w:rsidRPr="00C566C6" w:rsidRDefault="00617A6F" w:rsidP="00617A6F">
            <w:pPr>
              <w:numPr>
                <w:ilvl w:val="0"/>
                <w:numId w:val="8"/>
              </w:numPr>
              <w:spacing w:after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>организация на изпълнение: структура на екипа на Изпълнителя; начин на взаимодействие между членовете на екипа на Изпълнителя; връзки за взаимодействие с екипа на Възложителя;</w:t>
            </w:r>
          </w:p>
          <w:p w:rsidR="00617A6F" w:rsidRPr="00C566C6" w:rsidRDefault="00617A6F" w:rsidP="00617A6F">
            <w:pPr>
              <w:numPr>
                <w:ilvl w:val="0"/>
                <w:numId w:val="8"/>
              </w:numPr>
              <w:spacing w:after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 xml:space="preserve">проектна документация: видове доклади; техническа и експлоатационна документация; </w:t>
            </w: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lastRenderedPageBreak/>
              <w:t xml:space="preserve">време на предаване; съдържание на документите; управление на версиите; </w:t>
            </w:r>
          </w:p>
          <w:p w:rsidR="00617A6F" w:rsidRPr="00C566C6" w:rsidRDefault="00617A6F" w:rsidP="00617A6F">
            <w:pPr>
              <w:numPr>
                <w:ilvl w:val="0"/>
                <w:numId w:val="8"/>
              </w:numPr>
              <w:spacing w:after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>управление на качеството;</w:t>
            </w:r>
          </w:p>
          <w:p w:rsidR="00AA2B7A" w:rsidRPr="00C566C6" w:rsidRDefault="00617A6F" w:rsidP="00C566C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6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/>
              </w:rPr>
              <w:t>график за изпълнение на проекта</w:t>
            </w:r>
            <w:r w:rsidRPr="00C566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A" w:rsidRPr="000E0E3D" w:rsidRDefault="00363F40" w:rsidP="00AA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5</w:t>
            </w:r>
            <w:r w:rsidR="00617A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A" w:rsidRPr="000E0E3D" w:rsidRDefault="00AA2B7A" w:rsidP="00AA2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617A6F" w:rsidRPr="000E0E3D" w:rsidTr="008633A1">
        <w:trPr>
          <w:trHeight w:val="1065"/>
        </w:trPr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6F" w:rsidRPr="00C566C6" w:rsidRDefault="00617A6F" w:rsidP="00617A6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Предложената „Методология за управление на проекта“ осигурява изпълнението на минималните изисквания на Възложителя, посочени в т. 5.3 „Управление на проекта“ от Техническата спецификация. Описани са: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 xml:space="preserve">дейности от обхвата на поръчката; 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 xml:space="preserve">организация на изпълнение: структура на екипа на Изпълнителя; начин на взаимодействие между членовете на екипа на Изпълнителя; връзки за взаимодействие с екипа на Възложителя; 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>управление на качеството;</w:t>
            </w:r>
          </w:p>
          <w:p w:rsidR="00617A6F" w:rsidRPr="00C566C6" w:rsidRDefault="00617A6F" w:rsidP="00617A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06" w:firstLine="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график за изпълнение на проекта</w:t>
            </w:r>
            <w:r w:rsidRPr="00C566C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и е налице </w:t>
            </w:r>
            <w:r w:rsidRPr="00C566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едно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следните допълнения</w:t>
            </w:r>
            <w:r w:rsidRPr="00C566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Направена е обосновка за избор на Методология за управление на проекта, в съответствие с обхвата на обществената поръчка. Изтъкнато е с какво предложената от участника методология за управление на поръчката ще допринесе за по-качественото постигане на очакваните резултати от изпълнението на поръчката.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Представени са всички междинни и крайни резултати по етапи/дейности/поддейности за изпълнение на поръчката като за всяка дейност и поддейност е представена тяхната ресурсна обезпеченост. 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Описана е последователност от действия/стъпки, които ще бъдат извършени в рамките на етапи/дейности/поддейности на изпълнение на поръчката, с която се гарантира навременното и пълноценно изпълнение на поръчката в цялост, с 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всички негови компоненти. Последователността е представена така, че  може да бъде проследена от Възложителя.</w:t>
            </w:r>
          </w:p>
          <w:p w:rsidR="00617A6F" w:rsidRPr="00C566C6" w:rsidRDefault="00617A6F" w:rsidP="00C566C6">
            <w:pPr>
              <w:autoSpaceDE w:val="0"/>
              <w:autoSpaceDN w:val="0"/>
              <w:adjustRightInd w:val="0"/>
              <w:spacing w:after="0" w:line="240" w:lineRule="auto"/>
              <w:ind w:left="50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Участникът е описал конкретни мерки за мониторинг и контрол (включително вътрешен), които ще упражнява, с оглед качествено и навременно изпълнение на поръчката, с отчитане на спецификата на всеки от етапите и дейностите в тях</w:t>
            </w:r>
            <w:r w:rsidR="00C566C6" w:rsidRPr="00C566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6F" w:rsidRPr="000E0E3D" w:rsidRDefault="00C566C6" w:rsidP="0061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10</w:t>
            </w:r>
            <w:r w:rsidR="00617A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6F" w:rsidRPr="000E0E3D" w:rsidRDefault="00617A6F" w:rsidP="0061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17A6F" w:rsidRPr="000E0E3D" w:rsidTr="003F1EF5">
        <w:trPr>
          <w:trHeight w:val="885"/>
        </w:trPr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6F" w:rsidRPr="00C566C6" w:rsidRDefault="00617A6F" w:rsidP="00617A6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Предложената „Методология за управление на проекта“ осигурява изпълнението на минималните изисквания на Възложителя, посочени в т. 5.3 „Управление на проекта“ от Техническата спецификация. Описани са: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 xml:space="preserve">дейности от обхвата на поръчката; 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 xml:space="preserve">организация на изпълнение: структура на екипа на Изпълнителя; начин на взаимодействие между членовете на екипа на Изпълнителя; връзки за взаимодействие с екипа на Възложителя; </w:t>
            </w:r>
          </w:p>
          <w:p w:rsidR="00617A6F" w:rsidRPr="00C566C6" w:rsidRDefault="00617A6F" w:rsidP="00617A6F">
            <w:pPr>
              <w:pStyle w:val="ListParagraph"/>
              <w:numPr>
                <w:ilvl w:val="0"/>
                <w:numId w:val="8"/>
              </w:numPr>
              <w:ind w:right="-2"/>
              <w:rPr>
                <w:szCs w:val="24"/>
                <w:lang w:val="bg-BG"/>
              </w:rPr>
            </w:pPr>
            <w:r w:rsidRPr="00C566C6">
              <w:rPr>
                <w:szCs w:val="24"/>
                <w:lang w:val="bg-BG"/>
              </w:rPr>
              <w:t>управление на качеството;</w:t>
            </w:r>
          </w:p>
          <w:p w:rsidR="00617A6F" w:rsidRPr="00C566C6" w:rsidRDefault="00617A6F" w:rsidP="00617A6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306" w:firstLine="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график за изпълнение на проекта</w:t>
            </w:r>
            <w:r w:rsidRPr="00C566C6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.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и са налице </w:t>
            </w:r>
            <w:r w:rsidRPr="00C566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две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следните допълнения: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Направена е обосновка за избор на Методология за управление на проекта, в съответствие с обхвата на обществената поръчка. Изтъкнато е с какво предложената от участника методология за управление на поръчката ще допринесе за по-качественото постигане на очакваните резултати от изпълнението на поръчката.</w:t>
            </w:r>
          </w:p>
          <w:p w:rsidR="00617A6F" w:rsidRPr="00C566C6" w:rsidRDefault="00617A6F" w:rsidP="00617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Представени са всички междинни и крайни резултати по етапи/дейности/поддейности за изпълнение на поръчката като за всяка дейност и поддейност е представена тяхната ресурсна обезпеченост. </w:t>
            </w:r>
          </w:p>
          <w:p w:rsidR="00C566C6" w:rsidRDefault="00617A6F" w:rsidP="00C56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Описана е последователност от действия/стъпки, 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които ще бъдат извършени в рамките на етапи/дейности/поддейности на изпълнение на поръчката, с която се гарантира навременното и пълноценно изпълнение на поръчката в цялост, с всички негови компоненти. Последователността е представена така, че  може да бъде проследена от Възложителя.</w:t>
            </w:r>
          </w:p>
          <w:p w:rsidR="00617A6F" w:rsidRPr="00C566C6" w:rsidRDefault="00617A6F" w:rsidP="00C566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Участникът е описал конкретни мерки за мониторинг и контрол (включително вътрешен), които ще упражнява, с оглед качествено и навременно изпълнение на поръчката, с отчитане на спецификата на всеки от етапите и </w:t>
            </w:r>
            <w:r w:rsidR="00C566C6"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дейностите в тях.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6F" w:rsidRPr="000E0E3D" w:rsidRDefault="00C566C6" w:rsidP="0061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15</w:t>
            </w:r>
            <w:r w:rsidR="00617A6F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="00617A6F" w:rsidRPr="000E0E3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A6F" w:rsidRPr="000E0E3D" w:rsidRDefault="00617A6F" w:rsidP="0061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566C6" w:rsidRPr="000E0E3D" w:rsidTr="003F1EF5">
        <w:trPr>
          <w:trHeight w:val="885"/>
        </w:trPr>
        <w:tc>
          <w:tcPr>
            <w:tcW w:w="5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Предложената „Методология за управление на проекта“ осигурява изпълнението на минималните изисквания на Възложителя, посочени в т. 5.3 „Управление на риска“ от Техническата спецификация. Описани са:</w:t>
            </w:r>
          </w:p>
          <w:p w:rsidR="00C566C6" w:rsidRPr="00C566C6" w:rsidRDefault="00C566C6" w:rsidP="00C566C6">
            <w:pPr>
              <w:numPr>
                <w:ilvl w:val="0"/>
                <w:numId w:val="8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дейности от обхвата на поръчката; </w:t>
            </w:r>
          </w:p>
          <w:p w:rsidR="00C566C6" w:rsidRPr="00C566C6" w:rsidRDefault="00C566C6" w:rsidP="00C566C6">
            <w:pPr>
              <w:numPr>
                <w:ilvl w:val="0"/>
                <w:numId w:val="8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 на изпълнение: структура на екипа на Изпълнителя; начин на взаимодействие между членовете на екипа на Изпълнителя; връзки за взаимодействие с екипа на Възложителя; </w:t>
            </w:r>
          </w:p>
          <w:p w:rsidR="00C566C6" w:rsidRPr="00C566C6" w:rsidRDefault="00C566C6" w:rsidP="00C566C6">
            <w:pPr>
              <w:numPr>
                <w:ilvl w:val="0"/>
                <w:numId w:val="8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управление на качеството;</w:t>
            </w:r>
          </w:p>
          <w:p w:rsidR="00C566C6" w:rsidRPr="00C566C6" w:rsidRDefault="00C566C6" w:rsidP="00C566C6">
            <w:pPr>
              <w:numPr>
                <w:ilvl w:val="0"/>
                <w:numId w:val="7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график за изпълнение на проекта.</w:t>
            </w:r>
          </w:p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Техническото предложение надгражда минималните изисквания на Възложителя, посочени в Техническата спецификация и са налице </w:t>
            </w:r>
            <w:r w:rsidRPr="00C566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всички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следните допълнения:</w:t>
            </w:r>
          </w:p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Направена е обосновка за избор на Методология за управление на проекта, в съответствие с обхвата на обществената поръчка. Изтъкнато е с какво предложената от участника методология за управление на поръчката ще допринесе за по-качественото 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постигане на очакваните резултати от изпълнението на поръчката.</w:t>
            </w:r>
          </w:p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 xml:space="preserve">Представени са всички междинни и крайни резултати по етапи/дейности/поддейности за изпълнение на поръчката като за всяка дейност и поддейност е представена тяхната ресурсна обезпеченост. </w:t>
            </w:r>
          </w:p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Описана е последователност от действия/стъпки, които ще бъдат извършени в рамките на етапи/дейности/поддейности на изпълнение на поръчката, с която се гарантира навременното и пълноценно изпълнение на поръчката в цялост, с всички негови компоненти. Последователността е представена така, че  може да бъде проследена от Възложителя.</w:t>
            </w:r>
          </w:p>
          <w:p w:rsidR="00C566C6" w:rsidRPr="00C566C6" w:rsidRDefault="00C566C6" w:rsidP="00C566C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Pr="00C566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ab/>
              <w:t>Участникът е описал конкретни мерки за мониторинг и контрол (включително вътрешен), които ще упражнява, с оглед качествено и навременно изпълнение на поръчката, с отчитане на спецификата на всеки от етапите и дейностите в тях.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C6" w:rsidRDefault="00C566C6" w:rsidP="00C5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20 т.</w:t>
            </w:r>
          </w:p>
          <w:p w:rsidR="00C566C6" w:rsidRDefault="00C566C6" w:rsidP="00617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C6" w:rsidRPr="000E0E3D" w:rsidRDefault="00C566C6" w:rsidP="00617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AA2B7A" w:rsidRPr="00331D0D" w:rsidRDefault="00AA2B7A" w:rsidP="00AA2B7A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Максималната възможна стойност н</w:t>
      </w:r>
      <w:r w:rsidR="00801DB5"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а П2</w:t>
      </w: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 </w:t>
      </w:r>
      <w:r w:rsidR="0046070B"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2</w:t>
      </w: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0 точки.</w:t>
      </w:r>
    </w:p>
    <w:p w:rsidR="00AA2B7A" w:rsidRPr="000E0E3D" w:rsidRDefault="00AA2B7A" w:rsidP="00AA2B7A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A2B7A" w:rsidRPr="000E0E3D" w:rsidRDefault="00AA2B7A" w:rsidP="00F85E97">
      <w:pPr>
        <w:ind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</w:pPr>
      <w:r w:rsidRPr="000E0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П</w:t>
      </w:r>
      <w:r w:rsidR="004815AD" w:rsidRPr="000E0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3</w:t>
      </w:r>
      <w:r w:rsidRPr="000E0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 </w:t>
      </w:r>
      <w:r w:rsidR="0097476B" w:rsidRPr="000E0E3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bg-BG"/>
        </w:rPr>
        <w:t>Предложение за управление на риска при изпълнение на поръчката</w:t>
      </w:r>
    </w:p>
    <w:p w:rsidR="00AA2B7A" w:rsidRPr="000E0E3D" w:rsidRDefault="00811982" w:rsidP="00AA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този под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показател ще се оценява цялостната концепция за управление на риска, свързан с дейностите по изпълнение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обществената поръчка. По под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показател </w:t>
      </w:r>
      <w:r w:rsidR="00801DB5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П3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техническото предложение, участник може да получи 1</w:t>
      </w:r>
      <w:r w:rsidR="00F85E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F85E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801DB5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 </w:t>
      </w:r>
      <w:r w:rsidR="00F85E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AA2B7A" w:rsidRPr="000E0E3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 т.:</w:t>
      </w:r>
    </w:p>
    <w:p w:rsidR="00AA2B7A" w:rsidRPr="000E0E3D" w:rsidRDefault="00AA2B7A" w:rsidP="00AA2B7A">
      <w:pPr>
        <w:tabs>
          <w:tab w:val="left" w:pos="284"/>
        </w:tabs>
        <w:autoSpaceDE w:val="0"/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1826"/>
        <w:gridCol w:w="1733"/>
      </w:tblGrid>
      <w:tr w:rsidR="005A4FE5" w:rsidRPr="008D4875" w:rsidTr="007C569D">
        <w:trPr>
          <w:trHeight w:val="510"/>
          <w:tblHeader/>
        </w:trPr>
        <w:tc>
          <w:tcPr>
            <w:tcW w:w="3127" w:type="pct"/>
            <w:vMerge w:val="restart"/>
            <w:shd w:val="clear" w:color="auto" w:fill="BDD6EE" w:themeFill="accent1" w:themeFillTint="66"/>
            <w:vAlign w:val="center"/>
          </w:tcPr>
          <w:p w:rsidR="00AA2B7A" w:rsidRPr="008D4875" w:rsidRDefault="00AA2B7A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  <w:t>Подпоказател описание</w:t>
            </w:r>
          </w:p>
        </w:tc>
        <w:tc>
          <w:tcPr>
            <w:tcW w:w="961" w:type="pct"/>
            <w:vMerge w:val="restart"/>
            <w:shd w:val="clear" w:color="auto" w:fill="BDD6EE" w:themeFill="accent1" w:themeFillTint="66"/>
            <w:vAlign w:val="center"/>
          </w:tcPr>
          <w:p w:rsidR="00AA2B7A" w:rsidRPr="008D4875" w:rsidRDefault="00AA2B7A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  <w:t>Максимален брой точки</w:t>
            </w:r>
          </w:p>
        </w:tc>
        <w:tc>
          <w:tcPr>
            <w:tcW w:w="912" w:type="pct"/>
            <w:vMerge w:val="restart"/>
            <w:shd w:val="clear" w:color="auto" w:fill="BDD6EE" w:themeFill="accent1" w:themeFillTint="66"/>
            <w:vAlign w:val="center"/>
          </w:tcPr>
          <w:p w:rsidR="00AA2B7A" w:rsidRPr="008D4875" w:rsidRDefault="00AA2B7A" w:rsidP="005A4FE5">
            <w:pPr>
              <w:spacing w:after="0" w:line="240" w:lineRule="auto"/>
              <w:ind w:hanging="102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g-BG" w:eastAsia="bg-BG"/>
              </w:rPr>
              <w:t>Мотиви и аргументи на комисията</w:t>
            </w:r>
          </w:p>
        </w:tc>
      </w:tr>
      <w:tr w:rsidR="005A4FE5" w:rsidRPr="008D4875" w:rsidTr="007C569D">
        <w:trPr>
          <w:trHeight w:val="510"/>
        </w:trPr>
        <w:tc>
          <w:tcPr>
            <w:tcW w:w="3127" w:type="pct"/>
            <w:vMerge/>
            <w:shd w:val="clear" w:color="auto" w:fill="BDD6EE" w:themeFill="accent1" w:themeFillTint="66"/>
          </w:tcPr>
          <w:p w:rsidR="00AA2B7A" w:rsidRPr="008D4875" w:rsidRDefault="00AA2B7A" w:rsidP="00AA2B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61" w:type="pct"/>
            <w:vMerge/>
            <w:shd w:val="clear" w:color="auto" w:fill="BDD6EE" w:themeFill="accent1" w:themeFillTint="66"/>
          </w:tcPr>
          <w:p w:rsidR="00AA2B7A" w:rsidRPr="008D4875" w:rsidRDefault="00AA2B7A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bg-BG" w:eastAsia="bg-BG"/>
              </w:rPr>
            </w:pPr>
          </w:p>
        </w:tc>
        <w:tc>
          <w:tcPr>
            <w:tcW w:w="912" w:type="pct"/>
            <w:vMerge/>
            <w:shd w:val="clear" w:color="auto" w:fill="BDD6EE" w:themeFill="accent1" w:themeFillTint="66"/>
          </w:tcPr>
          <w:p w:rsidR="00AA2B7A" w:rsidRPr="008D4875" w:rsidRDefault="00AA2B7A" w:rsidP="00AA2B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5A4FE5" w:rsidRPr="008D4875" w:rsidTr="005A4FE5">
        <w:trPr>
          <w:trHeight w:val="255"/>
        </w:trPr>
        <w:tc>
          <w:tcPr>
            <w:tcW w:w="3127" w:type="pct"/>
            <w:shd w:val="clear" w:color="auto" w:fill="auto"/>
          </w:tcPr>
          <w:p w:rsidR="001B6B0C" w:rsidRPr="008D4875" w:rsidRDefault="001B6B0C" w:rsidP="008D4875">
            <w:pPr>
              <w:pStyle w:val="ListParagraph"/>
              <w:numPr>
                <w:ilvl w:val="0"/>
                <w:numId w:val="11"/>
              </w:numPr>
              <w:ind w:left="20" w:right="84" w:firstLine="467"/>
              <w:rPr>
                <w:snapToGrid w:val="0"/>
                <w:szCs w:val="24"/>
                <w:lang w:val="bg-BG" w:eastAsia="bg-BG"/>
              </w:rPr>
            </w:pPr>
            <w:r w:rsidRPr="008D4875">
              <w:rPr>
                <w:szCs w:val="24"/>
                <w:lang w:val="bg-BG"/>
              </w:rPr>
              <w:t xml:space="preserve">За идентифицираните в Техническата спецификация на Възложителите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</w:t>
            </w:r>
            <w:r w:rsidRPr="008D4875">
              <w:rPr>
                <w:szCs w:val="24"/>
                <w:lang w:val="bg-BG"/>
              </w:rPr>
              <w:lastRenderedPageBreak/>
              <w:t>сферата им на влияние.</w:t>
            </w:r>
          </w:p>
        </w:tc>
        <w:tc>
          <w:tcPr>
            <w:tcW w:w="961" w:type="pct"/>
            <w:shd w:val="clear" w:color="auto" w:fill="auto"/>
          </w:tcPr>
          <w:p w:rsidR="00AA2B7A" w:rsidRPr="008D4875" w:rsidRDefault="00B72BE2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lastRenderedPageBreak/>
              <w:t>1</w:t>
            </w:r>
            <w:r w:rsidR="00F85E97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0</w:t>
            </w:r>
            <w:r w:rsidR="00AA2B7A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т.</w:t>
            </w:r>
          </w:p>
        </w:tc>
        <w:tc>
          <w:tcPr>
            <w:tcW w:w="912" w:type="pct"/>
          </w:tcPr>
          <w:p w:rsidR="00AA2B7A" w:rsidRPr="008D4875" w:rsidRDefault="00AA2B7A" w:rsidP="00AA2B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</w:p>
        </w:tc>
      </w:tr>
      <w:tr w:rsidR="005A4FE5" w:rsidRPr="008D4875" w:rsidTr="005A4FE5">
        <w:trPr>
          <w:trHeight w:val="255"/>
        </w:trPr>
        <w:tc>
          <w:tcPr>
            <w:tcW w:w="3127" w:type="pct"/>
            <w:shd w:val="clear" w:color="auto" w:fill="auto"/>
          </w:tcPr>
          <w:p w:rsidR="001B6B0C" w:rsidRPr="008D4875" w:rsidRDefault="001B6B0C" w:rsidP="006F29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380"/>
              <w:rPr>
                <w:szCs w:val="24"/>
                <w:lang w:val="bg-BG"/>
              </w:rPr>
            </w:pPr>
            <w:r w:rsidRPr="008D4875">
              <w:rPr>
                <w:szCs w:val="24"/>
                <w:lang w:val="bg-BG"/>
              </w:rPr>
              <w:lastRenderedPageBreak/>
              <w:t>За идентифицираните в Техническата спецификация на Възложителите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сферата им на влияние.</w:t>
            </w:r>
          </w:p>
          <w:p w:rsidR="006F2997" w:rsidRPr="008D4875" w:rsidRDefault="001B6B0C" w:rsidP="006F29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40"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 са мерки за предотвратяване на всеки един от рисковете.</w:t>
            </w:r>
          </w:p>
          <w:p w:rsidR="00AA2B7A" w:rsidRPr="008D4875" w:rsidRDefault="001B6B0C" w:rsidP="006F29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-40"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Изпълнителят е изготвил анализ с обосновка как предложените мерки ще доведат до предотвратяване на всеки от посочените рискове.</w:t>
            </w:r>
          </w:p>
        </w:tc>
        <w:tc>
          <w:tcPr>
            <w:tcW w:w="961" w:type="pct"/>
            <w:shd w:val="clear" w:color="auto" w:fill="auto"/>
          </w:tcPr>
          <w:p w:rsidR="00AA2B7A" w:rsidRPr="008D4875" w:rsidRDefault="00F85E97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2</w:t>
            </w:r>
            <w:r w:rsidR="00B72BE2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0</w:t>
            </w:r>
            <w:r w:rsidR="00AA2B7A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т.</w:t>
            </w:r>
          </w:p>
        </w:tc>
        <w:tc>
          <w:tcPr>
            <w:tcW w:w="912" w:type="pct"/>
          </w:tcPr>
          <w:p w:rsidR="00AA2B7A" w:rsidRPr="008D4875" w:rsidRDefault="00AA2B7A" w:rsidP="00AA2B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</w:p>
        </w:tc>
      </w:tr>
      <w:tr w:rsidR="005A4FE5" w:rsidRPr="008D4875" w:rsidTr="005A4FE5">
        <w:trPr>
          <w:trHeight w:val="255"/>
        </w:trPr>
        <w:tc>
          <w:tcPr>
            <w:tcW w:w="3127" w:type="pct"/>
            <w:shd w:val="clear" w:color="auto" w:fill="auto"/>
          </w:tcPr>
          <w:p w:rsidR="008D4875" w:rsidRDefault="006F2997" w:rsidP="008D48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идентифицираните в Техническата спецификация на Възложителите възможни рискове в предложението си, участникът е анализирал рисковете, по отношение на вероятността от тяхното настъпване, въздействието им върху изпълнението на дейностите и сферата им на влияние.</w:t>
            </w:r>
          </w:p>
          <w:p w:rsidR="006F2997" w:rsidRPr="008D4875" w:rsidRDefault="006F2997" w:rsidP="008D487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Предложени са мерки за предотвратяване на всеки един от рисковете.</w:t>
            </w:r>
          </w:p>
          <w:p w:rsidR="006F2997" w:rsidRPr="008D4875" w:rsidRDefault="006F2997" w:rsidP="006F29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Изпълнителят е изготвил анализ с обосновка как предложените мерки ще доведат до предотвратяване на всеки от посочените рискове.</w:t>
            </w:r>
          </w:p>
          <w:p w:rsidR="00B72BE2" w:rsidRPr="008D4875" w:rsidRDefault="006F2997" w:rsidP="006F299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0" w:firstLine="31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Изпълнителят е изготвил анализ относно допълнителните относими към поръчката рискове и е предложил мерки за недопускане на възникването им и обосновани</w:t>
            </w:r>
            <w:r w:rsidR="007F1F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мерки за ефективното</w:t>
            </w:r>
            <w:r w:rsidRPr="008D487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**</w:t>
            </w:r>
            <w:r w:rsidR="007F1F17" w:rsidRPr="007F1F1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*</w:t>
            </w:r>
            <w:r w:rsidRPr="008D487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предотвратяване на тяхното негативно влияние върху изпълнението (при евентуално настъпване). Участникът е посочил областите на проявяването им, ефекта върху изпълнението на поръчката, както и възможните последици от тях. Предложените мерките са аргументирани, приложими и изпълними за премахване/минимизиране на всеки един от посочените рискове.</w:t>
            </w:r>
          </w:p>
        </w:tc>
        <w:tc>
          <w:tcPr>
            <w:tcW w:w="961" w:type="pct"/>
            <w:shd w:val="clear" w:color="auto" w:fill="auto"/>
          </w:tcPr>
          <w:p w:rsidR="00AA2B7A" w:rsidRPr="008D4875" w:rsidRDefault="00F85E97" w:rsidP="00A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  <w:r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4</w:t>
            </w:r>
            <w:r w:rsidR="00B72BE2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0</w:t>
            </w:r>
            <w:r w:rsidR="00AA2B7A" w:rsidRPr="008D48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  <w:t>т.</w:t>
            </w:r>
          </w:p>
        </w:tc>
        <w:tc>
          <w:tcPr>
            <w:tcW w:w="912" w:type="pct"/>
          </w:tcPr>
          <w:p w:rsidR="00AA2B7A" w:rsidRPr="008D4875" w:rsidRDefault="00AA2B7A" w:rsidP="00AA2B7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bg-BG" w:eastAsia="bg-BG"/>
              </w:rPr>
            </w:pPr>
          </w:p>
        </w:tc>
      </w:tr>
    </w:tbl>
    <w:p w:rsidR="00AA2B7A" w:rsidRDefault="00AA2B7A" w:rsidP="00AA2B7A">
      <w:pPr>
        <w:tabs>
          <w:tab w:val="left" w:pos="284"/>
        </w:tabs>
        <w:autoSpaceDE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Максималната възможна стойност на П</w:t>
      </w:r>
      <w:r w:rsidR="00801DB5"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3</w:t>
      </w: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е </w:t>
      </w:r>
      <w:r w:rsidR="00F85E97"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</w:t>
      </w:r>
      <w:r w:rsidRPr="00331D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0 точки.</w:t>
      </w:r>
    </w:p>
    <w:p w:rsidR="005A4FE5" w:rsidRPr="000E0E3D" w:rsidRDefault="005A4FE5" w:rsidP="005A4FE5">
      <w:pPr>
        <w:tabs>
          <w:tab w:val="left" w:pos="284"/>
        </w:tabs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Окончателната оценка по ТП се формира както следва: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0E0E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  <w:t>ТП = П1+ П2 + П3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>Поставян</w:t>
      </w:r>
      <w:r w:rsidR="00811982">
        <w:rPr>
          <w:rFonts w:ascii="Times New Roman" w:eastAsia="Times New Roman" w:hAnsi="Times New Roman" w:cs="Times New Roman"/>
          <w:sz w:val="24"/>
          <w:szCs w:val="24"/>
          <w:lang w:val="bg-BG"/>
        </w:rPr>
        <w:t>ето на оценки по изброените под</w:t>
      </w: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показатели се осъществява въз основа на предложението за изпълнение на поръчката, представено от участника в неговата техническа оферта и изготвено съгласно изискванията на техническата спецификация и всички останали изисквания на Възложителя съгласно документацията за участие. Общата оценка се формира чрез сумиране на оценките, дадени от комисията на техническото предложение на участника по отделните показатели. 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g-BG"/>
        </w:rPr>
      </w:pPr>
      <w:r w:rsidRPr="000E0E3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Максималната възможна стойност на ТП е 100 точки, </w:t>
      </w:r>
      <w:r w:rsidR="0081198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разпределени по оценяваните под</w:t>
      </w:r>
      <w:r w:rsidRPr="000E0E3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показатели.</w:t>
      </w:r>
    </w:p>
    <w:p w:rsidR="00AA2B7A" w:rsidRPr="000E0E3D" w:rsidRDefault="00AA2B7A" w:rsidP="00AA2B7A">
      <w:pPr>
        <w:tabs>
          <w:tab w:val="left" w:pos="284"/>
        </w:tabs>
        <w:autoSpaceDE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A4FE5" w:rsidRPr="000E0E3D" w:rsidRDefault="005A4FE5" w:rsidP="005A4FE5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spacing w:after="240" w:line="360" w:lineRule="auto"/>
        <w:rPr>
          <w:rFonts w:ascii="Times New Roman Bold" w:hAnsi="Times New Roman Bold"/>
          <w:b/>
          <w:smallCaps/>
          <w:szCs w:val="24"/>
          <w:lang w:val="bg-BG"/>
        </w:rPr>
      </w:pPr>
      <w:r w:rsidRPr="000E0E3D">
        <w:rPr>
          <w:rFonts w:ascii="Times New Roman Bold" w:hAnsi="Times New Roman Bold"/>
          <w:b/>
          <w:smallCaps/>
          <w:szCs w:val="24"/>
          <w:lang w:val="bg-BG"/>
        </w:rPr>
        <w:t>Финансов показател (ФП)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>Оценката по този показател се изчислява по следната формула: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ФП = (Цmin / Цn) х 100 (брой точки)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Цmin – представлява предложената най-ниска </w:t>
      </w:r>
      <w:r w:rsidR="005C4C8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обща </w:t>
      </w: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>цена за изпълнение на поръчката.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>Цn – представлява цената, предложена от n - тия  участник.</w:t>
      </w:r>
    </w:p>
    <w:p w:rsidR="005A4FE5" w:rsidRPr="000E0E3D" w:rsidRDefault="005A4FE5" w:rsidP="005A4FE5">
      <w:pPr>
        <w:tabs>
          <w:tab w:val="left" w:pos="1099"/>
        </w:tabs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0E3D">
        <w:rPr>
          <w:rFonts w:ascii="Times New Roman" w:eastAsia="Times New Roman" w:hAnsi="Times New Roman" w:cs="Times New Roman"/>
          <w:sz w:val="24"/>
          <w:szCs w:val="24"/>
          <w:lang w:val="bg-BG"/>
        </w:rPr>
        <w:t>Максималната възможна стойност на ФП е 100 точки.</w:t>
      </w:r>
    </w:p>
    <w:p w:rsidR="00AA2B7A" w:rsidRPr="000E0E3D" w:rsidRDefault="00AA2B7A" w:rsidP="00497B4B">
      <w:pP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sectPr w:rsidR="00AA2B7A" w:rsidRPr="000E0E3D" w:rsidSect="00406DE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1" w:rsidRDefault="00386211" w:rsidP="004426AF">
      <w:pPr>
        <w:spacing w:after="0" w:line="240" w:lineRule="auto"/>
      </w:pPr>
      <w:r>
        <w:separator/>
      </w:r>
    </w:p>
  </w:endnote>
  <w:endnote w:type="continuationSeparator" w:id="0">
    <w:p w:rsidR="00386211" w:rsidRDefault="00386211" w:rsidP="0044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03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547" w:rsidRDefault="000745C2">
        <w:pPr>
          <w:pStyle w:val="Footer"/>
          <w:jc w:val="right"/>
        </w:pPr>
        <w:r>
          <w:fldChar w:fldCharType="begin"/>
        </w:r>
        <w:r w:rsidR="004F7547">
          <w:instrText xml:space="preserve"> PAGE   \* MERGEFORMAT </w:instrText>
        </w:r>
        <w:r>
          <w:fldChar w:fldCharType="separate"/>
        </w:r>
        <w:r w:rsidR="00020B2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F7547" w:rsidRDefault="004F7547" w:rsidP="004F7547">
    <w:pPr>
      <w:pStyle w:val="Footer"/>
      <w:tabs>
        <w:tab w:val="left" w:pos="4605"/>
      </w:tabs>
      <w:jc w:val="center"/>
    </w:pPr>
    <w:r>
      <w:rPr>
        <w:noProof/>
      </w:rPr>
      <w:drawing>
        <wp:inline distT="0" distB="0" distL="0" distR="0">
          <wp:extent cx="1704340" cy="768350"/>
          <wp:effectExtent l="0" t="0" r="0" b="0"/>
          <wp:docPr id="6" name="Picture 6" descr="Intereg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eg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47" w:rsidRDefault="00020B22" w:rsidP="004F7547">
    <w:pPr>
      <w:pStyle w:val="Footer"/>
      <w:tabs>
        <w:tab w:val="left" w:pos="4605"/>
      </w:tabs>
      <w:jc w:val="center"/>
      <w:rPr>
        <w:sz w:val="16"/>
        <w:szCs w:val="16"/>
      </w:rPr>
    </w:pPr>
    <w:hyperlink r:id="rId2" w:history="1">
      <w:r w:rsidR="004F7547">
        <w:rPr>
          <w:rStyle w:val="Hyperlink"/>
          <w:rFonts w:ascii="Trebuchet MS" w:eastAsia="TrebuchetMS" w:hAnsi="Trebuchet MS" w:cs="TrebuchetMS"/>
          <w:b/>
        </w:rPr>
        <w:t>www.interregrobg.eu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1" w:rsidRDefault="00386211" w:rsidP="004426AF">
      <w:pPr>
        <w:spacing w:after="0" w:line="240" w:lineRule="auto"/>
      </w:pPr>
      <w:r>
        <w:separator/>
      </w:r>
    </w:p>
  </w:footnote>
  <w:footnote w:type="continuationSeparator" w:id="0">
    <w:p w:rsidR="00386211" w:rsidRDefault="00386211" w:rsidP="0044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AF" w:rsidRDefault="004426AF" w:rsidP="004426AF">
    <w:pPr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>
          <wp:extent cx="2202180" cy="753745"/>
          <wp:effectExtent l="0" t="0" r="0" b="0"/>
          <wp:docPr id="4" name="Picture 4" descr="Logo EU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02030" cy="731520"/>
          <wp:effectExtent l="0" t="0" r="0" b="0"/>
          <wp:docPr id="3" name="Picture 3" descr="Logo-RO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OGov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126490" cy="753745"/>
          <wp:effectExtent l="0" t="0" r="0" b="0"/>
          <wp:docPr id="2" name="Picture 2" descr="Logo-BgGov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Gov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002030" cy="855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13"/>
    <w:multiLevelType w:val="hybridMultilevel"/>
    <w:tmpl w:val="60563850"/>
    <w:lvl w:ilvl="0" w:tplc="9D9C0D24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06B4F"/>
    <w:multiLevelType w:val="hybridMultilevel"/>
    <w:tmpl w:val="3036CF10"/>
    <w:lvl w:ilvl="0" w:tplc="1862EA74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E2892"/>
    <w:multiLevelType w:val="hybridMultilevel"/>
    <w:tmpl w:val="CD1E80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A5354"/>
    <w:multiLevelType w:val="hybridMultilevel"/>
    <w:tmpl w:val="FA6205E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047CD"/>
    <w:multiLevelType w:val="hybridMultilevel"/>
    <w:tmpl w:val="B1D6EFDA"/>
    <w:lvl w:ilvl="0" w:tplc="0409000D">
      <w:start w:val="1"/>
      <w:numFmt w:val="bullet"/>
      <w:lvlText w:val="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5">
    <w:nsid w:val="4061032E"/>
    <w:multiLevelType w:val="hybridMultilevel"/>
    <w:tmpl w:val="2D26831C"/>
    <w:lvl w:ilvl="0" w:tplc="A170AC58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5B52F4"/>
    <w:multiLevelType w:val="hybridMultilevel"/>
    <w:tmpl w:val="56902822"/>
    <w:lvl w:ilvl="0" w:tplc="D90C2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867A4"/>
    <w:multiLevelType w:val="hybridMultilevel"/>
    <w:tmpl w:val="A0A0CBD4"/>
    <w:lvl w:ilvl="0" w:tplc="C36ED67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24B0"/>
    <w:multiLevelType w:val="hybridMultilevel"/>
    <w:tmpl w:val="AFB688D4"/>
    <w:lvl w:ilvl="0" w:tplc="39EEEDC8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9">
    <w:nsid w:val="58F31CB5"/>
    <w:multiLevelType w:val="hybridMultilevel"/>
    <w:tmpl w:val="0CEAC148"/>
    <w:lvl w:ilvl="0" w:tplc="0409000D">
      <w:start w:val="1"/>
      <w:numFmt w:val="bullet"/>
      <w:lvlText w:val="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0">
    <w:nsid w:val="634E7FF5"/>
    <w:multiLevelType w:val="hybridMultilevel"/>
    <w:tmpl w:val="5AAE3A04"/>
    <w:lvl w:ilvl="0" w:tplc="DFA08DF0">
      <w:start w:val="2"/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7E5C5D9F"/>
    <w:multiLevelType w:val="hybridMultilevel"/>
    <w:tmpl w:val="EDF43342"/>
    <w:lvl w:ilvl="0" w:tplc="DFA08DF0">
      <w:start w:val="2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ser Kirilov Petrov">
    <w15:presenceInfo w15:providerId="AD" w15:userId="S-1-5-21-1317688871-344346550-1734353810-9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FB"/>
    <w:rsid w:val="00016114"/>
    <w:rsid w:val="00020B22"/>
    <w:rsid w:val="00031D28"/>
    <w:rsid w:val="00061AB1"/>
    <w:rsid w:val="000745C2"/>
    <w:rsid w:val="000921DE"/>
    <w:rsid w:val="000E0E3D"/>
    <w:rsid w:val="0013094E"/>
    <w:rsid w:val="00157D99"/>
    <w:rsid w:val="001711DB"/>
    <w:rsid w:val="00193AEA"/>
    <w:rsid w:val="001B6B0C"/>
    <w:rsid w:val="001E7ADD"/>
    <w:rsid w:val="001F6B28"/>
    <w:rsid w:val="0022766B"/>
    <w:rsid w:val="00246C8A"/>
    <w:rsid w:val="0026092E"/>
    <w:rsid w:val="00265384"/>
    <w:rsid w:val="002D49EF"/>
    <w:rsid w:val="002E73D5"/>
    <w:rsid w:val="00331D0D"/>
    <w:rsid w:val="003471EA"/>
    <w:rsid w:val="00363F40"/>
    <w:rsid w:val="00386211"/>
    <w:rsid w:val="00394097"/>
    <w:rsid w:val="003A757A"/>
    <w:rsid w:val="00406DED"/>
    <w:rsid w:val="00434063"/>
    <w:rsid w:val="00441B31"/>
    <w:rsid w:val="004426AF"/>
    <w:rsid w:val="00447575"/>
    <w:rsid w:val="0045557E"/>
    <w:rsid w:val="0046070B"/>
    <w:rsid w:val="00475FCF"/>
    <w:rsid w:val="004815AD"/>
    <w:rsid w:val="00497B4B"/>
    <w:rsid w:val="004A3B45"/>
    <w:rsid w:val="004B1D68"/>
    <w:rsid w:val="004F7547"/>
    <w:rsid w:val="005A4FE5"/>
    <w:rsid w:val="005C4C88"/>
    <w:rsid w:val="005E7448"/>
    <w:rsid w:val="005E7B8A"/>
    <w:rsid w:val="00617A6F"/>
    <w:rsid w:val="00636BC4"/>
    <w:rsid w:val="00650CC9"/>
    <w:rsid w:val="006B43D6"/>
    <w:rsid w:val="006E75FB"/>
    <w:rsid w:val="006F2997"/>
    <w:rsid w:val="007406C4"/>
    <w:rsid w:val="0074227F"/>
    <w:rsid w:val="00760410"/>
    <w:rsid w:val="00766C7D"/>
    <w:rsid w:val="00784FE1"/>
    <w:rsid w:val="007907E8"/>
    <w:rsid w:val="007C569D"/>
    <w:rsid w:val="007F1F17"/>
    <w:rsid w:val="007F399A"/>
    <w:rsid w:val="00801DB5"/>
    <w:rsid w:val="00804690"/>
    <w:rsid w:val="00811982"/>
    <w:rsid w:val="00823BB5"/>
    <w:rsid w:val="00842E50"/>
    <w:rsid w:val="008A1BC6"/>
    <w:rsid w:val="008A2AAC"/>
    <w:rsid w:val="008A5E18"/>
    <w:rsid w:val="008D4875"/>
    <w:rsid w:val="0097476B"/>
    <w:rsid w:val="0099409A"/>
    <w:rsid w:val="009E31E9"/>
    <w:rsid w:val="00A4276D"/>
    <w:rsid w:val="00A97678"/>
    <w:rsid w:val="00AA2B7A"/>
    <w:rsid w:val="00AB2460"/>
    <w:rsid w:val="00AE3BED"/>
    <w:rsid w:val="00AF047E"/>
    <w:rsid w:val="00B06687"/>
    <w:rsid w:val="00B72BE2"/>
    <w:rsid w:val="00BA428A"/>
    <w:rsid w:val="00BE7E4F"/>
    <w:rsid w:val="00BF4290"/>
    <w:rsid w:val="00C566C6"/>
    <w:rsid w:val="00C82F52"/>
    <w:rsid w:val="00CA15D8"/>
    <w:rsid w:val="00D01094"/>
    <w:rsid w:val="00D123F6"/>
    <w:rsid w:val="00D455B7"/>
    <w:rsid w:val="00D533A6"/>
    <w:rsid w:val="00D60743"/>
    <w:rsid w:val="00D7520B"/>
    <w:rsid w:val="00D878DA"/>
    <w:rsid w:val="00DA2E37"/>
    <w:rsid w:val="00DC015A"/>
    <w:rsid w:val="00DF367A"/>
    <w:rsid w:val="00DF63B0"/>
    <w:rsid w:val="00E032BD"/>
    <w:rsid w:val="00E309D6"/>
    <w:rsid w:val="00E31D04"/>
    <w:rsid w:val="00E55490"/>
    <w:rsid w:val="00EA0C1B"/>
    <w:rsid w:val="00EC1F7F"/>
    <w:rsid w:val="00EE3DD1"/>
    <w:rsid w:val="00F245AB"/>
    <w:rsid w:val="00F85E97"/>
    <w:rsid w:val="00F94C65"/>
    <w:rsid w:val="00FB3364"/>
    <w:rsid w:val="00FD0051"/>
    <w:rsid w:val="00FD5F2D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B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497B4B"/>
    <w:rPr>
      <w:rFonts w:ascii="Times New Roman" w:eastAsia="Times New Roman" w:hAnsi="Times New Roman"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F"/>
  </w:style>
  <w:style w:type="paragraph" w:styleId="Footer">
    <w:name w:val="footer"/>
    <w:basedOn w:val="Normal"/>
    <w:link w:val="FooterChar"/>
    <w:uiPriority w:val="99"/>
    <w:unhideWhenUsed/>
    <w:rsid w:val="0044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F"/>
  </w:style>
  <w:style w:type="character" w:styleId="Hyperlink">
    <w:name w:val="Hyperlink"/>
    <w:semiHidden/>
    <w:unhideWhenUsed/>
    <w:rsid w:val="004F754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7B4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497B4B"/>
    <w:rPr>
      <w:rFonts w:ascii="Times New Roman" w:eastAsia="Times New Roman" w:hAnsi="Times New Roman" w:cs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B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AF"/>
  </w:style>
  <w:style w:type="paragraph" w:styleId="Footer">
    <w:name w:val="footer"/>
    <w:basedOn w:val="Normal"/>
    <w:link w:val="FooterChar"/>
    <w:uiPriority w:val="99"/>
    <w:unhideWhenUsed/>
    <w:rsid w:val="00442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AF"/>
  </w:style>
  <w:style w:type="character" w:styleId="Hyperlink">
    <w:name w:val="Hyperlink"/>
    <w:semiHidden/>
    <w:unhideWhenUsed/>
    <w:rsid w:val="004F754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regrobg.e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4A8D-122F-4489-A340-F50B211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Dimitrova</dc:creator>
  <cp:lastModifiedBy>Radostina Dimitrova</cp:lastModifiedBy>
  <cp:revision>13</cp:revision>
  <cp:lastPrinted>2018-03-07T13:22:00Z</cp:lastPrinted>
  <dcterms:created xsi:type="dcterms:W3CDTF">2018-03-07T12:11:00Z</dcterms:created>
  <dcterms:modified xsi:type="dcterms:W3CDTF">2018-03-07T14:04:00Z</dcterms:modified>
</cp:coreProperties>
</file>