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DB" w:rsidRPr="004E70CE" w:rsidRDefault="009C19DB" w:rsidP="009C19DB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>Образец № 2а</w:t>
      </w:r>
    </w:p>
    <w:p w:rsidR="009C19DB" w:rsidRPr="004E70CE" w:rsidRDefault="009C19DB" w:rsidP="009C19DB">
      <w:pPr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 xml:space="preserve">ТЕХНИЧЕСКО ПРЕДЛОЖЕНИЕ </w:t>
      </w:r>
    </w:p>
    <w:p w:rsidR="009C19DB" w:rsidRPr="004E70CE" w:rsidRDefault="009C19DB" w:rsidP="009C19DB">
      <w:pPr>
        <w:jc w:val="center"/>
        <w:rPr>
          <w:b/>
          <w:lang w:eastAsia="bg-BG"/>
        </w:rPr>
      </w:pPr>
    </w:p>
    <w:p w:rsidR="009C19DB" w:rsidRPr="004E70CE" w:rsidRDefault="009C19DB" w:rsidP="009C19DB">
      <w:pPr>
        <w:spacing w:after="240"/>
        <w:ind w:firstLine="720"/>
        <w:jc w:val="both"/>
        <w:rPr>
          <w:i/>
          <w:lang w:eastAsia="bg-BG"/>
        </w:rPr>
      </w:pPr>
      <w:r w:rsidRPr="004E70CE">
        <w:rPr>
          <w:lang w:eastAsia="bg-BG"/>
        </w:rPr>
        <w:t xml:space="preserve">ЗА УЧАСТИЕ В ОТКРИТА ПРОЦЕДУРА ЗА ВЪЗЛАГАНЕ НА ОБЩЕСТВЕНА ПОРЪЧКА С ПРЕДМЕТ: </w:t>
      </w:r>
      <w:r w:rsidRPr="004E70CE">
        <w:t>„Усъвършенстване на съществуващата сървърна инфраструктура чрез надграждане на налични и закупуване, инсталиране и въвеждане в експлоатация на</w:t>
      </w:r>
      <w:r w:rsidRPr="00537E85">
        <w:rPr>
          <w:lang w:val="ru-RU"/>
        </w:rPr>
        <w:t xml:space="preserve"> </w:t>
      </w:r>
      <w:r w:rsidRPr="004E70CE">
        <w:t xml:space="preserve">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lang w:eastAsia="bg-BG"/>
        </w:rPr>
        <w:t xml:space="preserve"> по обособена позиция № 1: </w:t>
      </w:r>
      <w:r w:rsidRPr="004E70CE">
        <w:rPr>
          <w:i/>
          <w:lang w:eastAsia="bg-BG"/>
        </w:rPr>
        <w:t>„Надграждане на съществуващи сървъри, доставка, инсталиране и въвеждане в експлоатация</w:t>
      </w:r>
      <w:r w:rsidRPr="004E70CE">
        <w:rPr>
          <w:rFonts w:ascii="Arial" w:hAnsi="Arial"/>
          <w:b/>
          <w:i/>
          <w:lang w:eastAsia="bg-BG"/>
        </w:rPr>
        <w:t xml:space="preserve"> </w:t>
      </w:r>
      <w:r w:rsidRPr="004E70CE">
        <w:rPr>
          <w:i/>
          <w:lang w:eastAsia="bg-BG"/>
        </w:rPr>
        <w:t xml:space="preserve">на сървърна система, разширение на съществуващи дискови масиви за съхраняване на данни, надграждане до последна версия и закупуване на съответния брой нови софтуерни лицензи за базов и приложен софтуер, </w:t>
      </w:r>
      <w:proofErr w:type="spellStart"/>
      <w:r w:rsidRPr="004E70CE">
        <w:rPr>
          <w:i/>
          <w:lang w:eastAsia="bg-BG"/>
        </w:rPr>
        <w:t>виртуализационна</w:t>
      </w:r>
      <w:proofErr w:type="spellEnd"/>
      <w:r w:rsidRPr="004E70CE">
        <w:rPr>
          <w:i/>
          <w:lang w:eastAsia="bg-BG"/>
        </w:rPr>
        <w:t xml:space="preserve"> среда.</w:t>
      </w:r>
      <w:r w:rsidRPr="004E70CE">
        <w:rPr>
          <w:i/>
        </w:rPr>
        <w:t xml:space="preserve"> Разширение на лицензи за </w:t>
      </w:r>
      <w:proofErr w:type="spellStart"/>
      <w:r w:rsidRPr="004E70CE">
        <w:rPr>
          <w:i/>
        </w:rPr>
        <w:t>Wi-Fi</w:t>
      </w:r>
      <w:proofErr w:type="spellEnd"/>
      <w:r w:rsidRPr="004E70CE">
        <w:rPr>
          <w:i/>
        </w:rPr>
        <w:t xml:space="preserve"> контролера, доставка и монтаж на 4 броя нови АР“</w:t>
      </w:r>
      <w:r w:rsidRPr="004E70CE">
        <w:rPr>
          <w:i/>
          <w:lang w:eastAsia="bg-BG"/>
        </w:rPr>
        <w:t xml:space="preserve"> </w:t>
      </w:r>
    </w:p>
    <w:p w:rsidR="009C19DB" w:rsidRPr="004E70CE" w:rsidRDefault="009C19DB" w:rsidP="009C19DB">
      <w:pPr>
        <w:ind w:firstLine="456"/>
        <w:rPr>
          <w:lang w:eastAsia="bg-BG"/>
        </w:rPr>
      </w:pPr>
      <w:r w:rsidRPr="004E70CE">
        <w:rPr>
          <w:lang w:eastAsia="bg-BG"/>
        </w:rPr>
        <w:t>Предлаганото от нас оборудване ще бъде: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b/>
          <w:lang w:eastAsia="bg-BG"/>
        </w:rPr>
      </w:pPr>
      <w:r w:rsidRPr="004E70CE">
        <w:rPr>
          <w:lang w:eastAsia="bg-BG"/>
        </w:rPr>
        <w:t>от производители, сертифицирани по стандарта за качество БДС EN ISO 9001:2008 или еквивалентен, или притежаващи други доказателства за еквивалентни мерки за осигуряване на качеството за дейностите по предмета на поръчката, издадени от акредитиран сертифициращ орган;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ново, неупотребявано, с оригинални компоненти от производителя и с посочени продуктови номера;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в съответствие с Европейски и международни стандарти за радиочестотни смущения, електромагнитна съвместимост, безопасност и нива на шум, доказано с декларация на производителя;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с гарантирана от производителя възможност за доставка на резервни части за период минимум 2 (две) години след изтичане на гаранционния срок;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Сървърите ще бъдат заводски комплектувани за монтаж в 19” RACK, с необходимите водачи за кабели – захранващи, мрежови и </w:t>
      </w:r>
      <w:proofErr w:type="spellStart"/>
      <w:r w:rsidRPr="004E70CE">
        <w:rPr>
          <w:lang w:eastAsia="bg-BG"/>
        </w:rPr>
        <w:t>пр</w:t>
      </w:r>
      <w:proofErr w:type="spellEnd"/>
      <w:r w:rsidRPr="004E70CE">
        <w:rPr>
          <w:lang w:eastAsia="bg-BG"/>
        </w:rPr>
        <w:t>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Сървърите ще имат интерфейс за предоставяне на информация за конфигурацията на хардуера, състоянието на компонентите (CPU, </w:t>
      </w:r>
      <w:proofErr w:type="spellStart"/>
      <w:r w:rsidRPr="004E70CE">
        <w:rPr>
          <w:lang w:eastAsia="bg-BG"/>
        </w:rPr>
        <w:t>memory</w:t>
      </w:r>
      <w:proofErr w:type="spellEnd"/>
      <w:r w:rsidRPr="004E70CE">
        <w:rPr>
          <w:lang w:eastAsia="bg-BG"/>
        </w:rPr>
        <w:t xml:space="preserve">, </w:t>
      </w:r>
      <w:proofErr w:type="spellStart"/>
      <w:r w:rsidRPr="004E70CE">
        <w:rPr>
          <w:lang w:eastAsia="bg-BG"/>
        </w:rPr>
        <w:t>storage</w:t>
      </w:r>
      <w:proofErr w:type="spellEnd"/>
      <w:r w:rsidRPr="004E70CE">
        <w:rPr>
          <w:lang w:eastAsia="bg-BG"/>
        </w:rPr>
        <w:t xml:space="preserve"> </w:t>
      </w:r>
      <w:proofErr w:type="spellStart"/>
      <w:r w:rsidRPr="004E70CE">
        <w:rPr>
          <w:lang w:eastAsia="bg-BG"/>
        </w:rPr>
        <w:t>controller</w:t>
      </w:r>
      <w:proofErr w:type="spellEnd"/>
      <w:r w:rsidRPr="004E70CE">
        <w:rPr>
          <w:lang w:eastAsia="bg-BG"/>
        </w:rPr>
        <w:t xml:space="preserve">, NIC, </w:t>
      </w:r>
      <w:proofErr w:type="spellStart"/>
      <w:r w:rsidRPr="004E70CE">
        <w:rPr>
          <w:lang w:eastAsia="bg-BG"/>
        </w:rPr>
        <w:t>cooling</w:t>
      </w:r>
      <w:proofErr w:type="spellEnd"/>
      <w:r w:rsidRPr="004E70CE">
        <w:rPr>
          <w:lang w:eastAsia="bg-BG"/>
        </w:rPr>
        <w:t xml:space="preserve">), с възможност за известяване на администраторите по </w:t>
      </w:r>
      <w:proofErr w:type="spellStart"/>
      <w:r w:rsidRPr="004E70CE">
        <w:rPr>
          <w:lang w:eastAsia="bg-BG"/>
        </w:rPr>
        <w:t>email</w:t>
      </w:r>
      <w:proofErr w:type="spellEnd"/>
      <w:r w:rsidRPr="004E70CE">
        <w:rPr>
          <w:lang w:eastAsia="bg-BG"/>
        </w:rPr>
        <w:t xml:space="preserve"> (и др.) при възникване на проблеми по хардуера;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rFonts w:eastAsia="FreeSans"/>
          <w:lang w:eastAsia="bg-BG"/>
        </w:rPr>
        <w:t xml:space="preserve">Срокът за доставка на оборудването ще бъде 30 дни от датата на подписване на договора, </w:t>
      </w:r>
      <w:r w:rsidRPr="004E70CE">
        <w:rPr>
          <w:spacing w:val="-4"/>
          <w:lang w:eastAsia="bg-BG"/>
        </w:rPr>
        <w:t>на адрес посочен от Възложителя</w:t>
      </w:r>
      <w:r w:rsidRPr="004E70CE">
        <w:rPr>
          <w:rFonts w:eastAsia="FreeSans"/>
          <w:lang w:eastAsia="bg-BG"/>
        </w:rPr>
        <w:t xml:space="preserve">. 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rFonts w:eastAsia="FreeSans"/>
          <w:lang w:eastAsia="bg-BG"/>
        </w:rPr>
        <w:t xml:space="preserve">Срокът за монтаж, </w:t>
      </w:r>
      <w:r w:rsidRPr="004E70CE">
        <w:rPr>
          <w:lang w:eastAsia="bg-BG"/>
        </w:rPr>
        <w:t xml:space="preserve">инсталиране, конфигуриране, </w:t>
      </w:r>
      <w:r w:rsidRPr="004E70CE">
        <w:rPr>
          <w:rFonts w:eastAsia="FreeSans"/>
          <w:lang w:eastAsia="bg-BG"/>
        </w:rPr>
        <w:t>мигриране и пускане в експлоатация на оборудването</w:t>
      </w:r>
      <w:r w:rsidRPr="004E70CE">
        <w:rPr>
          <w:spacing w:val="-4"/>
          <w:lang w:eastAsia="bg-BG"/>
        </w:rPr>
        <w:t xml:space="preserve"> ще бъде 40 дни </w:t>
      </w:r>
      <w:r w:rsidRPr="004E70CE">
        <w:rPr>
          <w:rFonts w:eastAsia="FreeSans"/>
          <w:lang w:eastAsia="bg-BG"/>
        </w:rPr>
        <w:t>от приключване на доставката</w:t>
      </w:r>
      <w:r w:rsidRPr="004E70CE">
        <w:rPr>
          <w:spacing w:val="-4"/>
          <w:lang w:eastAsia="bg-BG"/>
        </w:rPr>
        <w:t>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с гаранционен срок </w:t>
      </w:r>
      <w:r w:rsidRPr="004E70CE">
        <w:rPr>
          <w:bCs/>
          <w:lang w:eastAsia="bg-BG"/>
        </w:rPr>
        <w:t>минимум 3 години</w:t>
      </w:r>
      <w:r w:rsidRPr="004E70CE">
        <w:rPr>
          <w:lang w:eastAsia="bg-BG"/>
        </w:rPr>
        <w:t xml:space="preserve"> от датата на </w:t>
      </w:r>
      <w:r w:rsidRPr="004E70CE">
        <w:rPr>
          <w:rFonts w:eastAsia="FreeSans"/>
          <w:lang w:eastAsia="bg-BG"/>
        </w:rPr>
        <w:t>пускане в експлоатация на оборудването</w:t>
      </w:r>
      <w:r w:rsidRPr="004E70CE">
        <w:rPr>
          <w:lang w:eastAsia="bg-BG"/>
        </w:rPr>
        <w:t>, там където не е посочено друго;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Гаранционното обслужване ще включва труд, материални и транспортни разходи; В рамките на гаранционното обслужване влиза веднъж годишно оглед на настройките и експлоатационните параметри на доставеното оборудване и софтуер.</w:t>
      </w:r>
    </w:p>
    <w:p w:rsidR="009C19DB" w:rsidRPr="004E70CE" w:rsidRDefault="009C19DB" w:rsidP="009C19DB">
      <w:pPr>
        <w:numPr>
          <w:ilvl w:val="0"/>
          <w:numId w:val="10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Гаранционното обслужване се извършва на място при Възложителя, през всички официални работни дни, като се предоставят модули за подмяна преди ремонта на дефектиралите от производителя (</w:t>
      </w:r>
      <w:proofErr w:type="spellStart"/>
      <w:r w:rsidRPr="004E70CE">
        <w:rPr>
          <w:lang w:eastAsia="bg-BG"/>
        </w:rPr>
        <w:t>Advanced</w:t>
      </w:r>
      <w:proofErr w:type="spellEnd"/>
      <w:r w:rsidRPr="004E70CE">
        <w:rPr>
          <w:lang w:eastAsia="bg-BG"/>
        </w:rPr>
        <w:t xml:space="preserve"> FRU </w:t>
      </w:r>
      <w:proofErr w:type="spellStart"/>
      <w:r w:rsidRPr="004E70CE">
        <w:rPr>
          <w:lang w:eastAsia="bg-BG"/>
        </w:rPr>
        <w:t>replacement</w:t>
      </w:r>
      <w:proofErr w:type="spellEnd"/>
      <w:r w:rsidRPr="004E70CE">
        <w:rPr>
          <w:lang w:eastAsia="bg-BG"/>
        </w:rPr>
        <w:t>)</w:t>
      </w:r>
    </w:p>
    <w:p w:rsidR="009C19DB" w:rsidRPr="004E70CE" w:rsidRDefault="009C19DB" w:rsidP="009C19DB">
      <w:pPr>
        <w:tabs>
          <w:tab w:val="left" w:pos="993"/>
        </w:tabs>
        <w:autoSpaceDE w:val="0"/>
        <w:jc w:val="both"/>
        <w:rPr>
          <w:b/>
          <w:bCs/>
          <w:lang w:eastAsia="bg-BG"/>
        </w:rPr>
      </w:pPr>
    </w:p>
    <w:p w:rsidR="009C19DB" w:rsidRPr="004E70CE" w:rsidRDefault="009C19DB" w:rsidP="009C19DB">
      <w:pPr>
        <w:tabs>
          <w:tab w:val="left" w:pos="993"/>
        </w:tabs>
        <w:autoSpaceDE w:val="0"/>
        <w:jc w:val="both"/>
        <w:rPr>
          <w:lang w:eastAsia="bg-BG"/>
        </w:rPr>
      </w:pPr>
      <w:r w:rsidRPr="004E70CE">
        <w:rPr>
          <w:b/>
          <w:bCs/>
          <w:lang w:eastAsia="bg-BG"/>
        </w:rPr>
        <w:tab/>
        <w:t>Времето за реакция</w:t>
      </w:r>
      <w:r w:rsidRPr="004E70CE">
        <w:rPr>
          <w:lang w:eastAsia="bg-BG"/>
        </w:rPr>
        <w:t xml:space="preserve"> на място след подаване на сигнал за повредена техника ще бъде максимум 4 часа, в рамките на работния ден, а ако сигналът е подаден след 13:00 часа – до 10:00 часа на следващия работен ден; </w:t>
      </w:r>
    </w:p>
    <w:p w:rsidR="009C19DB" w:rsidRPr="004E70CE" w:rsidRDefault="009C19DB" w:rsidP="009C19DB">
      <w:pPr>
        <w:tabs>
          <w:tab w:val="left" w:pos="993"/>
        </w:tabs>
        <w:autoSpaceDE w:val="0"/>
        <w:jc w:val="both"/>
        <w:rPr>
          <w:lang w:eastAsia="bg-BG"/>
        </w:rPr>
      </w:pPr>
      <w:r w:rsidRPr="004E70CE">
        <w:rPr>
          <w:b/>
          <w:bCs/>
          <w:lang w:eastAsia="bg-BG"/>
        </w:rPr>
        <w:lastRenderedPageBreak/>
        <w:tab/>
        <w:t>Време за отстраняване на повредата</w:t>
      </w:r>
      <w:r w:rsidRPr="004E70CE">
        <w:rPr>
          <w:lang w:eastAsia="bg-BG"/>
        </w:rPr>
        <w:t xml:space="preserve"> ще бъде максимум 24 часа след реакция. В случай, че повредата не може да се отстрани в тоз</w:t>
      </w:r>
      <w:bookmarkStart w:id="0" w:name="_GoBack"/>
      <w:bookmarkEnd w:id="0"/>
      <w:r w:rsidRPr="004E70CE">
        <w:rPr>
          <w:lang w:eastAsia="bg-BG"/>
        </w:rPr>
        <w:t>и срок, ще осигурим равностойна оборотна техника за времето на ремонта;</w:t>
      </w:r>
    </w:p>
    <w:p w:rsidR="009C19DB" w:rsidRPr="004E70CE" w:rsidRDefault="009C19DB" w:rsidP="009C19DB">
      <w:pPr>
        <w:tabs>
          <w:tab w:val="left" w:pos="993"/>
        </w:tabs>
        <w:autoSpaceDE w:val="0"/>
        <w:jc w:val="both"/>
        <w:rPr>
          <w:lang w:eastAsia="bg-BG"/>
        </w:rPr>
      </w:pPr>
    </w:p>
    <w:p w:rsidR="009C19DB" w:rsidRPr="004E70CE" w:rsidRDefault="009C19DB" w:rsidP="009C19DB">
      <w:pPr>
        <w:numPr>
          <w:ilvl w:val="0"/>
          <w:numId w:val="11"/>
        </w:numPr>
        <w:jc w:val="both"/>
        <w:rPr>
          <w:b/>
          <w:lang w:eastAsia="bg-BG"/>
        </w:rPr>
      </w:pPr>
      <w:r w:rsidRPr="004E70CE">
        <w:rPr>
          <w:b/>
          <w:lang w:eastAsia="bg-BG"/>
        </w:rPr>
        <w:t>Таблица - техническо предложение</w:t>
      </w:r>
    </w:p>
    <w:p w:rsidR="009C19DB" w:rsidRPr="004E70CE" w:rsidRDefault="009C19DB" w:rsidP="009C19DB">
      <w:pPr>
        <w:ind w:left="720"/>
        <w:jc w:val="both"/>
        <w:rPr>
          <w:b/>
          <w:lang w:eastAsia="bg-BG"/>
        </w:rPr>
      </w:pPr>
    </w:p>
    <w:tbl>
      <w:tblPr>
        <w:tblpPr w:leftFromText="180" w:rightFromText="180" w:vertAnchor="text" w:horzAnchor="margin" w:tblpY="180"/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23"/>
        <w:gridCol w:w="2879"/>
        <w:gridCol w:w="1645"/>
      </w:tblGrid>
      <w:tr w:rsidR="009C19DB" w:rsidRPr="004E70CE" w:rsidTr="00E367EC">
        <w:trPr>
          <w:trHeight w:val="699"/>
        </w:trPr>
        <w:tc>
          <w:tcPr>
            <w:tcW w:w="2205" w:type="pct"/>
            <w:shd w:val="clear" w:color="auto" w:fill="C0C0C0"/>
            <w:vAlign w:val="center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Описание/изисквания</w:t>
            </w:r>
          </w:p>
        </w:tc>
        <w:tc>
          <w:tcPr>
            <w:tcW w:w="430" w:type="pct"/>
            <w:shd w:val="clear" w:color="auto" w:fill="C0C0C0"/>
            <w:vAlign w:val="center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 xml:space="preserve">Брой </w:t>
            </w:r>
          </w:p>
        </w:tc>
        <w:tc>
          <w:tcPr>
            <w:tcW w:w="1505" w:type="pct"/>
            <w:shd w:val="clear" w:color="auto" w:fill="C0C0C0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860" w:type="pct"/>
            <w:shd w:val="clear" w:color="auto" w:fill="C0C0C0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9C19DB" w:rsidRPr="004E70CE" w:rsidTr="00E367EC">
        <w:trPr>
          <w:trHeight w:val="300"/>
        </w:trPr>
        <w:tc>
          <w:tcPr>
            <w:tcW w:w="2205" w:type="pct"/>
            <w:vAlign w:val="center"/>
          </w:tcPr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  <w:lang w:eastAsia="bg-BG"/>
              </w:rPr>
            </w:pPr>
            <w:r w:rsidRPr="004E70CE">
              <w:rPr>
                <w:b/>
                <w:sz w:val="22"/>
                <w:szCs w:val="22"/>
                <w:lang w:eastAsia="bg-BG"/>
              </w:rPr>
              <w:t xml:space="preserve">II.1.5.1 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Сървър за виртуализация 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Изисквания: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Сървърът да може да се монтира в 19 инчов рак и да е с размер не по-голям от 2U;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Сървърът да има поне: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8 слота за твърди дискове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2 захранвания 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USB портове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2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PCIe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слота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VGA конектор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1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мениджмънт порт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2 1Gbit/s порта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2 SD Flash слота;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Да се достави с не по-малко от 2 бр. процесора със следните параметри: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Тактова честота, не по-малка от 2.4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GHz</w:t>
            </w:r>
            <w:proofErr w:type="spellEnd"/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Брой на ядрата, не по-малък от 14 бр.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Размер на кеша, не по-малък от 35 MB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Да се достави с капацитет на оперативната памет не по-малък от 256 GB и да е от тип DDR4-2400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MHz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>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Да се достави с не по-малко от 2 бр. локални дискове със следните параметри: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Тип на шината за достъп: SAS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Капацитет за съхранение на данни, не по-малък от 300GB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Скорост на ротация, не по-малка от 10K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· Да поддържа поне RAID 0, 1 (HW базиран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RAID контролер);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или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минимум 2 броя SD флаш памет с размер поне 32 GB за инсталиране на OS;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Следва Изпълнителят да избере един от двата посочени варианта, в зависимост от предложения софтуер за виртуализация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Да се достави с мрежов контролер с минимум два: 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10Gb/s интерфейса с 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FCoE</w:t>
            </w:r>
            <w:proofErr w:type="spellEnd"/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lastRenderedPageBreak/>
              <w:t>· окомплектован с необходимите интерфейси за връзка на 10Gbit/s на 3 метра разстояние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· да позволява разделяне на минимум 8 виртуални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и HBA интерфейса общо.</w:t>
            </w:r>
          </w:p>
          <w:p w:rsidR="009C19DB" w:rsidRPr="00537E85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E70CE">
              <w:rPr>
                <w:rFonts w:eastAsia="Calibri"/>
                <w:sz w:val="22"/>
                <w:szCs w:val="22"/>
              </w:rPr>
              <w:t>Да поддържа следните стандарти: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• 10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Gigabit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Ethernet</w:t>
            </w:r>
            <w:proofErr w:type="spellEnd"/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802.3ae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802.3x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802.1q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802.1p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802.1Qaz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• IEEE 802.1Qbb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•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Jumbo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frames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up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to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9 KB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•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Fibre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Channel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Protocol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(FCP)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•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Small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Computer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System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Interface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(SCSI)-FCP</w:t>
            </w:r>
          </w:p>
          <w:p w:rsidR="009C19DB" w:rsidRPr="004E70CE" w:rsidRDefault="009C19DB" w:rsidP="00E367EC">
            <w:pPr>
              <w:spacing w:line="259" w:lineRule="auto"/>
              <w:ind w:left="391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• T11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FCoE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Да се достави с отделен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порт за управление, позволяващ пълно пренасочване на конзолата на сървъра (по TCP/IP), отдалечено спиране/пускане, възможност за използване на отдалечена медия (CD-ROM, DVD) и наблюдение(KVM);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Да се достави с резервирани захранващи модули от класа </w:t>
            </w:r>
            <w:r w:rsidRPr="004E70CE">
              <w:rPr>
                <w:rFonts w:eastAsia="Calibri"/>
                <w:b/>
                <w:bCs/>
                <w:sz w:val="22"/>
                <w:szCs w:val="22"/>
              </w:rPr>
              <w:t>80 PLUS</w:t>
            </w:r>
            <w:r w:rsidRPr="004E70CE">
              <w:rPr>
                <w:rFonts w:eastAsia="Calibri"/>
                <w:sz w:val="22"/>
                <w:szCs w:val="22"/>
              </w:rPr>
              <w:t xml:space="preserve"> и вентилатори с възможност за подмяна по време на работа.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Хардуерът да се достави с минимум 36 месеца гаранционна поддръжка от производителя със срок на реакция до 4 часа (вж.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разд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>. II.1.3, т. 14 и 18).</w:t>
            </w:r>
          </w:p>
        </w:tc>
        <w:tc>
          <w:tcPr>
            <w:tcW w:w="43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lastRenderedPageBreak/>
              <w:t>3</w:t>
            </w:r>
          </w:p>
        </w:tc>
        <w:tc>
          <w:tcPr>
            <w:tcW w:w="1505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6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9C19DB" w:rsidRPr="004E70CE" w:rsidTr="00E367EC">
        <w:trPr>
          <w:trHeight w:val="300"/>
        </w:trPr>
        <w:tc>
          <w:tcPr>
            <w:tcW w:w="2205" w:type="pct"/>
            <w:vAlign w:val="center"/>
          </w:tcPr>
          <w:p w:rsidR="009C19DB" w:rsidRPr="004E70CE" w:rsidRDefault="009C19DB" w:rsidP="00E367EC">
            <w:pPr>
              <w:ind w:left="34"/>
              <w:rPr>
                <w:rFonts w:eastAsia="Calibri"/>
                <w:sz w:val="22"/>
                <w:szCs w:val="22"/>
              </w:rPr>
            </w:pPr>
            <w:r w:rsidRPr="004E70CE">
              <w:rPr>
                <w:b/>
                <w:sz w:val="22"/>
                <w:szCs w:val="22"/>
                <w:lang w:eastAsia="bg-BG"/>
              </w:rPr>
              <w:lastRenderedPageBreak/>
              <w:t>II.1.5.2</w:t>
            </w:r>
            <w:r w:rsidRPr="00537E85">
              <w:rPr>
                <w:b/>
                <w:sz w:val="22"/>
                <w:szCs w:val="22"/>
                <w:lang w:val="ru-RU" w:eastAsia="bg-BG"/>
              </w:rPr>
              <w:t>.</w:t>
            </w:r>
            <w:r w:rsidRPr="004E70CE">
              <w:rPr>
                <w:b/>
                <w:sz w:val="22"/>
                <w:szCs w:val="22"/>
                <w:lang w:eastAsia="bg-BG"/>
              </w:rPr>
              <w:t xml:space="preserve"> 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Разширение на оперативната памет на двата съществуващи сървъра </w:t>
            </w:r>
            <w:r w:rsidRPr="004E70CE">
              <w:rPr>
                <w:rFonts w:eastAsia="Calibri"/>
                <w:sz w:val="22"/>
                <w:szCs w:val="22"/>
              </w:rPr>
              <w:t>по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т.</w:t>
            </w:r>
            <w:r w:rsidRPr="004E70CE">
              <w:rPr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II.1.1.1</w:t>
            </w:r>
            <w:r w:rsidRPr="00537E85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до 256 GB (допълнителни 8 x 16 GB) на всеки сървър</w:t>
            </w:r>
          </w:p>
          <w:p w:rsidR="009C19DB" w:rsidRPr="004E70CE" w:rsidRDefault="009C19DB" w:rsidP="00E367EC">
            <w:pPr>
              <w:spacing w:after="160"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Хардуерът да се достави с минимум 36 месеца гаранционна поддръжка от производителя със срок на реакция до 4 часа (вж.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разд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>. II.1.3, т. 14 и 18).</w:t>
            </w:r>
          </w:p>
        </w:tc>
        <w:tc>
          <w:tcPr>
            <w:tcW w:w="43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4E70C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05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</w:tr>
      <w:tr w:rsidR="009C19DB" w:rsidRPr="004E70CE" w:rsidTr="00E367EC">
        <w:trPr>
          <w:trHeight w:val="300"/>
        </w:trPr>
        <w:tc>
          <w:tcPr>
            <w:tcW w:w="2205" w:type="pct"/>
            <w:vAlign w:val="center"/>
          </w:tcPr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b/>
                <w:sz w:val="22"/>
                <w:szCs w:val="22"/>
                <w:lang w:eastAsia="bg-BG"/>
              </w:rPr>
              <w:t xml:space="preserve">II.1.5.3 </w:t>
            </w:r>
            <w:r w:rsidRPr="004E70CE">
              <w:rPr>
                <w:rFonts w:eastAsia="Calibri"/>
                <w:b/>
                <w:sz w:val="22"/>
                <w:szCs w:val="22"/>
              </w:rPr>
              <w:t>Добавяне на лицензи на софтуер за виртуализация и надграждане на съществуващите</w:t>
            </w:r>
            <w:r w:rsidRPr="00537E85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 xml:space="preserve">за разширяване на клъстер с още три възела 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Предложеният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 xml:space="preserve">Софтуер за виртуализация да притежава система за управление на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виртуализационната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среда;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Софтуерът за виртуализация, да бъде доставен с необходимите лицензи за инсталация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върху сървърите описани в т.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II.1.5.1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. </w:t>
            </w:r>
            <w:r w:rsidRPr="004E70CE">
              <w:rPr>
                <w:rFonts w:eastAsia="Calibri"/>
                <w:sz w:val="22"/>
                <w:szCs w:val="22"/>
              </w:rPr>
              <w:t xml:space="preserve">и за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Upgrade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на софтуера за виртуализация на наличните сървъри по т.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lastRenderedPageBreak/>
              <w:t>II.1.1.1, надградени по смисъла на т. II.1.5.2. Това означава:</w:t>
            </w:r>
          </w:p>
          <w:p w:rsidR="009C19DB" w:rsidRPr="004E70CE" w:rsidRDefault="009C19DB" w:rsidP="009C19DB">
            <w:pPr>
              <w:pStyle w:val="ListParagraph"/>
              <w:numPr>
                <w:ilvl w:val="0"/>
                <w:numId w:val="12"/>
              </w:numPr>
              <w:spacing w:after="200" w:line="259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4E70CE">
              <w:rPr>
                <w:rFonts w:eastAsia="Calibri"/>
                <w:sz w:val="22"/>
                <w:szCs w:val="22"/>
              </w:rPr>
              <w:t>upgrade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на доставените лицензи (софтуер на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VMware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с продуктови номера: 4 бр. VS6-ENT-C-L1, 4 бр.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VS6-ENT-3G-SSS-C, 1 бр.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VCS6-STD-C-L1, 1 бр.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 xml:space="preserve">VCS6-STD-3G-SSS-C) до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VMware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Enterprise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plus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лицензи с включен VM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Operations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за тях и три години гаранция;</w:t>
            </w:r>
          </w:p>
          <w:p w:rsidR="009C19DB" w:rsidRPr="004E70CE" w:rsidRDefault="009C19DB" w:rsidP="009C19DB">
            <w:pPr>
              <w:pStyle w:val="ListParagraph"/>
              <w:numPr>
                <w:ilvl w:val="0"/>
                <w:numId w:val="12"/>
              </w:numPr>
              <w:spacing w:after="20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доставка на софтуер за виртуализация за изграждане на клъстер с три възела.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Новодоставеният софтуер за виртуализация, трябва да отговаря на следните минимални технически изисквания: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4E70CE">
              <w:rPr>
                <w:rFonts w:eastAsia="Calibri"/>
                <w:b/>
                <w:sz w:val="22"/>
                <w:szCs w:val="22"/>
              </w:rPr>
              <w:t>Хайпервайзор</w:t>
            </w:r>
            <w:proofErr w:type="spellEnd"/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разнородни гост-операционни системи вкл. 64-битови (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Guest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OS) –MS Windows Server 2008, MS Windows Server 2008R2, MS Windows Server 2012, MS Windows Server 2012R2, MS Windows 7, MS Windows 8.1, MS Windows XP, RHEL7, SLES12, Ubuntu14, FreeBSD10.1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64-битов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хайпервайзор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, с възможност за инсталиране директно върху сертифициран хардуер без необходимост от хост Операционна Система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Пълна виртуализация на паметта, процесорите, логическите дискове и мрежовите адаптери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системни технологии за хардуерна виртуализация - Минимум AMD-V, Intel® VT (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Virtualization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Technology) / AMD RVI, Intel EPT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до 1024 едновременно работещи виртуални машини върху един хост сървър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инсталация и зареждане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хайпервайзора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от USB диск</w:t>
            </w:r>
          </w:p>
          <w:p w:rsidR="009C19DB" w:rsidRPr="004E70CE" w:rsidRDefault="009C19DB" w:rsidP="009C19DB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Boot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from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SAN за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хайпервайзор</w:t>
            </w:r>
            <w:proofErr w:type="spellEnd"/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Ресурс: процесор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задаване на минимално гарантирано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процесорно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време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 xml:space="preserve">Поддръжка задаване на максимално допустимо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процесорно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време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задаване на относителен приоритет на една виртуална машина спрямо друга, по отношение на използваните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процесорни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ресурси и динамичното им преразпределяне в зависимост от моментните натоварвания на отделните виртуални машини и зададения им приоритет. (QOS)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Поддържани виртуални процесори на отделен физически сървър – 1024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Ресурс: памет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задаване на минимално гарантирано количество памет, физически заделено за една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</w:t>
            </w:r>
            <w:r w:rsidRPr="00537E85">
              <w:rPr>
                <w:rFonts w:eastAsia="Calibri"/>
                <w:sz w:val="22"/>
                <w:szCs w:val="22"/>
                <w:lang w:val="ru-RU" w:eastAsia="bg-BG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  <w:lang w:eastAsia="bg-BG"/>
              </w:rPr>
              <w:t>преразпределяне (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oversubscription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/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overcomittment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 на наличната физическа памет, така че виртуалните машини да „виждат” и да разполагат с по-голям обем, отколкото съществува физически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задаване на максимално допустимо количество памет, физически заделено за отделна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задаване на относителен приоритет на една виртуална машина спрямо друга, по отношение на физически заделената памет и динамичното</w:t>
            </w:r>
            <w:r w:rsidRPr="00537E85">
              <w:rPr>
                <w:rFonts w:eastAsia="Calibri"/>
                <w:sz w:val="22"/>
                <w:szCs w:val="22"/>
                <w:lang w:val="ru-RU" w:eastAsia="bg-BG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  <w:lang w:eastAsia="bg-BG"/>
              </w:rPr>
              <w:t>и преразпределяне в зависимост от моментните натоварвания на отделните виртуални машини и зададения им приоритет. (QOS)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Поддържано количество памет от отделен физически сървър - 6TB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Layer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2 механизми за повишаване сигурността за виртуалните мрежови комутатори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VLAN, VLAN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tagging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(IEEE 802.1q) и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private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VLANs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VLAN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trunking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за портовете на виртуалните мрежови комутатори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 xml:space="preserve">Поддръжка на NIC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Teaming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и NIC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Aggregation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(IEEE 802.3ad) с балансиране на товара измежду виртуалните машини за повишена надеждност и производителност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Jumbo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Frames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10Gbps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адаптери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Cisco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Discovery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Protocol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(CDP),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Link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Layer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Discovery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Protocol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(LLDP)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Поддръжката на IPv6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40Gbps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адаптери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Wake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-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-LAN за виртуалните мрежови адаптери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DirectPath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I/O:</w:t>
            </w:r>
          </w:p>
          <w:p w:rsidR="009C19DB" w:rsidRPr="004E70CE" w:rsidRDefault="009C19DB" w:rsidP="009C19DB">
            <w:pPr>
              <w:numPr>
                <w:ilvl w:val="1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Intel VT-d</w:t>
            </w:r>
          </w:p>
          <w:p w:rsidR="009C19DB" w:rsidRPr="004E70CE" w:rsidRDefault="009C19DB" w:rsidP="009C19DB">
            <w:pPr>
              <w:numPr>
                <w:ilvl w:val="1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AMD I/O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Virtualization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Technology</w:t>
            </w:r>
          </w:p>
          <w:p w:rsidR="009C19DB" w:rsidRPr="004E70CE" w:rsidRDefault="009C19DB" w:rsidP="009C19DB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SR-IOV на ниво физически мрежови адаптери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 xml:space="preserve">Ресурс: Дискове / дискови адаптери 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създаване на виртуални дискове, с възможност за динамично увеличаване на размера им (на работеща виртуална машина)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създаване на „тънки“ виртуални дискове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клъстерна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файлова система даваща възможност за работа на до 64 сървъра върху едни и същи дискови масиви.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DAS (локални дискове), FC,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FCoE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iSCSI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(HW/SW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Initiators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), NFS дискови масиви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DirectPath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I/O:</w:t>
            </w:r>
          </w:p>
          <w:p w:rsidR="009C19DB" w:rsidRPr="004E70CE" w:rsidRDefault="009C19DB" w:rsidP="009C19DB">
            <w:pPr>
              <w:numPr>
                <w:ilvl w:val="1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Intel VT-d</w:t>
            </w:r>
          </w:p>
          <w:p w:rsidR="009C19DB" w:rsidRPr="004E70CE" w:rsidRDefault="009C19DB" w:rsidP="009C19DB">
            <w:pPr>
              <w:numPr>
                <w:ilvl w:val="1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AMD I/O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Virtualization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Technology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16Gbit FC HBA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директно използване на физически дискове (LUN) от хост средата във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динамично добавяне (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hot-add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 на физически дискове към физически хост, вкл. и SSD дискове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>Възможност за създаване на дискове на виртуални машини на ниво физически дискови системи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multipathing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политики за гарантиране достъпа до дисковите системи и възможност за интеграция на такива политики от трети производители.</w:t>
            </w:r>
          </w:p>
          <w:p w:rsidR="009C19DB" w:rsidRPr="004E70CE" w:rsidRDefault="009C19DB" w:rsidP="009C19DB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Възможност за активиране на компресия,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дедупликация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, криптиране и други дискови функционалности, за индивидуална машина.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Виртуални машини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създаване на шаблони на виртуални машини (вкл. от работещи виртуални машини)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клониране на работещи виртуални машини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динамично мигриране на работещи инсталации от физически машини във виртуална машина.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създаване на клъстери във виртуални машини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Поддържани до 10 виртуални мрежови адаптера в една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поддържани до 128 виртуални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процесорни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ядра в една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интеграция с антивирусен софтуер от трети производители, посредством директен достъп на ниво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хайпервайзор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даващо възможност за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безагентно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сканиране на данните във виртуалните машини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автоматизирана асинхронна репликация на данните на отделна работеща виртуална машина, с цел възстановяване на данните при необходимост, както и възможност за възстановяване на повече от едно състояние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Поддържане до 62TB обем на виртуален твърд диск на виртуална машина.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Поддържани до 60 дискови устройства към виртуална машина.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>Поддръжка на добавяне на допълнителни процесори и памет във виртуална машина, без необходимост от нейното спиране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динамично добавяне на нов мрежов адаптер към работеща виртуална машина, без необходимост от нейното спиране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динамично добавяне на нов виртуален диск към работеща виртуална машина, без необходимост от нейното спиране</w:t>
            </w:r>
          </w:p>
          <w:p w:rsidR="009C19DB" w:rsidRPr="004E70CE" w:rsidRDefault="009C19DB" w:rsidP="009C19DB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хардуерно видео ускорение както за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Linux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, така и за Windows виртуални машини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ind w:left="34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 xml:space="preserve">Управление на виртуалната среда 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Linux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и Windows операционни системи от софтуера за управление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дублиране на състоянието на работеща мултипроцесорна виртуална машина върху втори физически сървър, така че да се осигури непрекъсваемост на работата при отпадане на първия физически сървър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прехвърляне на работещи виртуални машини, между физически сървъри, без прекъсване на работата им, без необходимост от споделени дискове между сървърите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Централизирано съхранение на конфигурационната информация за всички виртуални машини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динамична миграция на дисковете на работеща виртуална машина от един дисков масив върху друг, без прекъсване на нейната работа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Клиентско приложение с графичен интерфейс (GUI) работещо под Microsoft Windows за управление и мониторинг на виртуалните машини и цялостната платформа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Клиентско приложение с уеб интерфейс (GUI) работещо през стандартен Интернет браузър за управление и мониторинг на </w:t>
            </w: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>виртуалните машини и цялостната платформа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автоматично рестартиране на виртуални машини върху нов физически сървър, в случай на отпадане на този, върху когото работят. Наблюдението на статуса на физическите сървъри трябва да става както на ниво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Ethernet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мрежа, така и на ниво дискова (SAN) мрежа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автоматично рестартиране на виртуална машина при засичане на спиране работата на операционната система работеща в нея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за създаване на групи от виртуални машини и заделяне на определени физически ресурси (памет и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процесорно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време) към отделните групи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централизирано и автоматизирано управление на обновления, ъпгрейди и проследяване на софтуерните версии за виртуална среда предлагащо поддръжка за хостове, виртуални машини и виртуални устройства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динамично балансиране на натоварването, генерирано от няколко виртуални машини върху няколко физически хост машини. 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функционалност за оптимизиране на виртуалната среда, така че когато част от физическите ресурси не са необходими, те да бъдат изключвани с цел оптимизиране разходите свързани с поддръжката на средата.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функционалност за създаване, конфигуриране и прилагане на профили на физическите сървъри, използвани във виртуалната среда.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функционалност за централизирано създаване на конфигурация на виртуален комутатор, която след това да бъде наложена върху физическите сървъри.</w:t>
            </w:r>
          </w:p>
          <w:p w:rsidR="009C19DB" w:rsidRPr="004E70CE" w:rsidRDefault="009C19DB" w:rsidP="009C19DB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 xml:space="preserve">Поддръжка на интеграция с Microsoft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Active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Directory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OpenLDAP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както и възможност използване на вътрешна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директориината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услуга за оторизация на потребителите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Наблюдение на средата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наблюдение и получаване на известия за проблеми свързани със състоянието на физическите сървъри.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Поддръжка на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самообучаване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 на системата и адаптиране към натоварването на конкретната инфраструктура с цел генериране на по-малко известия при проблеми с производителността и състоянието на средата.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получаване на детайлна информация и статистика за ресурсите във виртуалната среда на ниво сървър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получаване на детайлна информация и статистика за ресурсите във виртуалната среда на ниво виртуална машина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за генериране на автоматични известявания при наличието на потенциални проблеми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Събиране на статистики за консумацията на ресурси по виртуални машини (CPU, RAM,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Storage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Network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Архивиране на статистики за консумацията на ресурси по виртуални машини (CPU, RAM,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Storage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Network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Визуализация на статистики за консумацията на ресурси по виртуални машини (CPU, RAM,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Storage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4E70CE">
              <w:rPr>
                <w:rFonts w:eastAsia="Calibri"/>
                <w:sz w:val="22"/>
                <w:szCs w:val="22"/>
                <w:lang w:eastAsia="bg-BG"/>
              </w:rPr>
              <w:t>Network</w:t>
            </w:r>
            <w:proofErr w:type="spellEnd"/>
            <w:r w:rsidRPr="004E70CE">
              <w:rPr>
                <w:rFonts w:eastAsia="Calibri"/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Поддръжка на графичен интерфейс (GUI) работещ под Microsoft Windows за наблюдение и управление на всички аларми и известия свързани с виртуалната инфраструктура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Възможност за самообучение на системата за мониторинг, за по-достоверно известяване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lastRenderedPageBreak/>
              <w:t>Поддръжка на автоматични препоръки за действие в случай на аларми и/или известия</w:t>
            </w:r>
          </w:p>
          <w:p w:rsidR="009C19DB" w:rsidRPr="004E70CE" w:rsidRDefault="009C19DB" w:rsidP="009C19DB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Възможност за анализиране на използваните ресурси във виртуалната инфраструктура и изваждане на информация за излишните такива, както и възможност за тяхното оптимално реконфигуриране.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 xml:space="preserve">Поддръжка 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Осигуряване на безплатни обновления и ъпгрейди към нови версии на виртуалната среда, в рамките на гаранционния срок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Осигурен директен контакт с производителя на софтуера за виртуализация, за поддръжка и разрешаване на възникнали проблеми в работно време.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Период на поддръжката – 3 години за новите лицензи</w:t>
            </w:r>
            <w:r w:rsidRPr="004E70CE">
              <w:rPr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върху сървърите описани в т.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II.1.5.1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и минимум 1 година удължаване срока на поддръжка за надгражданите лицензи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на наличните сървъри по т.</w:t>
            </w:r>
            <w:r w:rsidRPr="00537E8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II.1.5.2.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4E70CE">
              <w:rPr>
                <w:rFonts w:eastAsia="Calibri"/>
                <w:b/>
                <w:bCs/>
              </w:rPr>
              <w:lastRenderedPageBreak/>
              <w:t>10</w:t>
            </w:r>
          </w:p>
        </w:tc>
        <w:tc>
          <w:tcPr>
            <w:tcW w:w="1505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</w:tr>
      <w:tr w:rsidR="009C19DB" w:rsidRPr="004E70CE" w:rsidTr="00E367EC">
        <w:trPr>
          <w:trHeight w:val="300"/>
        </w:trPr>
        <w:tc>
          <w:tcPr>
            <w:tcW w:w="2205" w:type="pct"/>
            <w:vAlign w:val="center"/>
          </w:tcPr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b/>
                <w:sz w:val="22"/>
                <w:szCs w:val="22"/>
                <w:lang w:eastAsia="bg-BG"/>
              </w:rPr>
              <w:lastRenderedPageBreak/>
              <w:t xml:space="preserve">II.1.5.4 </w:t>
            </w:r>
            <w:r w:rsidRPr="004E70CE">
              <w:rPr>
                <w:rFonts w:eastAsia="Calibri"/>
                <w:b/>
                <w:sz w:val="22"/>
                <w:szCs w:val="22"/>
              </w:rPr>
              <w:t>Разширение на дисковите масиви</w:t>
            </w:r>
            <w:r w:rsidRPr="009C19D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по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т.</w:t>
            </w:r>
            <w:r w:rsidRPr="004E70CE">
              <w:rPr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II.1.1.2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с допълнителни дискове:</w:t>
            </w:r>
          </w:p>
          <w:p w:rsidR="009C19DB" w:rsidRPr="004E70CE" w:rsidRDefault="009C19DB" w:rsidP="00E367EC">
            <w:pPr>
              <w:spacing w:line="259" w:lineRule="auto"/>
              <w:ind w:left="394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4E70CE">
              <w:rPr>
                <w:rFonts w:eastAsia="Calibri"/>
                <w:sz w:val="22"/>
                <w:szCs w:val="22"/>
                <w:u w:val="single"/>
              </w:rPr>
              <w:t xml:space="preserve">За дисков масив HP 3PAR </w:t>
            </w:r>
            <w:proofErr w:type="spellStart"/>
            <w:r w:rsidRPr="004E70CE">
              <w:rPr>
                <w:rFonts w:eastAsia="Calibri"/>
                <w:sz w:val="22"/>
                <w:szCs w:val="22"/>
                <w:u w:val="single"/>
              </w:rPr>
              <w:t>StoreServ</w:t>
            </w:r>
            <w:proofErr w:type="spellEnd"/>
            <w:r w:rsidRPr="004E70CE">
              <w:rPr>
                <w:rFonts w:eastAsia="Calibri"/>
                <w:sz w:val="22"/>
                <w:szCs w:val="22"/>
                <w:u w:val="single"/>
              </w:rPr>
              <w:t xml:space="preserve"> 7400c 2N</w:t>
            </w:r>
          </w:p>
          <w:p w:rsidR="009C19DB" w:rsidRPr="004E70CE" w:rsidRDefault="009C19DB" w:rsidP="009C19DB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8x920GB MLC SSD;</w:t>
            </w:r>
          </w:p>
          <w:p w:rsidR="009C19DB" w:rsidRPr="004E70CE" w:rsidRDefault="009C19DB" w:rsidP="009C19DB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8x900GB SAS HDD;</w:t>
            </w:r>
          </w:p>
          <w:p w:rsidR="009C19DB" w:rsidRPr="004E70CE" w:rsidRDefault="009C19DB" w:rsidP="009C19DB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Доставка на лицензи на софтуерните продукти за допълнителните дискове, осигуряващи на разширението и пълната функционалност на съществуващия дисков масив.</w:t>
            </w:r>
          </w:p>
          <w:p w:rsidR="009C19DB" w:rsidRPr="004E70CE" w:rsidRDefault="009C19DB" w:rsidP="00E367EC">
            <w:pPr>
              <w:spacing w:line="259" w:lineRule="auto"/>
              <w:ind w:left="394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  <w:u w:val="single"/>
              </w:rPr>
              <w:t xml:space="preserve">За дисков масив HP 3PAR </w:t>
            </w:r>
            <w:proofErr w:type="spellStart"/>
            <w:r w:rsidRPr="004E70CE">
              <w:rPr>
                <w:rFonts w:eastAsia="Calibri"/>
                <w:sz w:val="22"/>
                <w:szCs w:val="22"/>
                <w:u w:val="single"/>
              </w:rPr>
              <w:t>StoreServ</w:t>
            </w:r>
            <w:proofErr w:type="spellEnd"/>
            <w:r w:rsidRPr="004E70CE">
              <w:rPr>
                <w:rFonts w:eastAsia="Calibri"/>
                <w:sz w:val="22"/>
                <w:szCs w:val="22"/>
                <w:u w:val="single"/>
              </w:rPr>
              <w:t xml:space="preserve"> 7200c 2N</w:t>
            </w:r>
          </w:p>
          <w:p w:rsidR="009C19DB" w:rsidRPr="004E70CE" w:rsidRDefault="009C19DB" w:rsidP="009C19DB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8x450GB SAS 10K HDD;</w:t>
            </w:r>
          </w:p>
          <w:p w:rsidR="009C19DB" w:rsidRPr="004E70CE" w:rsidRDefault="009C19DB" w:rsidP="009C19DB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rFonts w:eastAsia="Calibri"/>
                <w:sz w:val="22"/>
                <w:szCs w:val="22"/>
                <w:lang w:eastAsia="bg-BG"/>
              </w:rPr>
              <w:t>Доставка на лицензи на софтуерните продукти за допълнителните дискове, осигуряващи на разширението и пълната функционалност на съществуващия дисков масив .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Хардуерът да се достави с минимум 36 месеца гаранционна поддръжка от производителя със срок на реакция до 4 часа (вж.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разд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>. II.1.1, т. 14 и 18).;</w:t>
            </w:r>
          </w:p>
          <w:p w:rsidR="009C19DB" w:rsidRPr="004E70CE" w:rsidRDefault="009C19DB" w:rsidP="00E367EC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lastRenderedPageBreak/>
              <w:t>Софтуерът да се достави с минимум 36 месеца поддръжка от производителя, включваща право на безплатен ъпдейт и ъпгрейд</w:t>
            </w:r>
          </w:p>
        </w:tc>
        <w:tc>
          <w:tcPr>
            <w:tcW w:w="43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4E70CE">
              <w:rPr>
                <w:rFonts w:eastAsia="Calibri"/>
                <w:b/>
                <w:bCs/>
              </w:rPr>
              <w:lastRenderedPageBreak/>
              <w:t>24</w:t>
            </w:r>
          </w:p>
        </w:tc>
        <w:tc>
          <w:tcPr>
            <w:tcW w:w="1505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</w:tr>
      <w:tr w:rsidR="009C19DB" w:rsidRPr="004E70CE" w:rsidTr="00E367EC">
        <w:trPr>
          <w:trHeight w:val="300"/>
        </w:trPr>
        <w:tc>
          <w:tcPr>
            <w:tcW w:w="2205" w:type="pct"/>
            <w:vAlign w:val="center"/>
          </w:tcPr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lastRenderedPageBreak/>
              <w:t xml:space="preserve">II.1.5.5 Разширение на </w:t>
            </w:r>
            <w:proofErr w:type="spellStart"/>
            <w:r w:rsidRPr="004E70CE">
              <w:rPr>
                <w:rFonts w:eastAsia="Calibri"/>
                <w:b/>
                <w:sz w:val="22"/>
                <w:szCs w:val="22"/>
              </w:rPr>
              <w:t>Wi-Fi</w:t>
            </w:r>
            <w:proofErr w:type="spellEnd"/>
            <w:r w:rsidRPr="004E70CE">
              <w:rPr>
                <w:rFonts w:eastAsia="Calibri"/>
                <w:b/>
                <w:sz w:val="22"/>
                <w:szCs w:val="22"/>
              </w:rPr>
              <w:t xml:space="preserve"> инфраструктурата</w:t>
            </w:r>
            <w:r w:rsidRPr="009C19D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по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>т.</w:t>
            </w:r>
            <w:r w:rsidRPr="004E70CE">
              <w:rPr>
                <w:sz w:val="22"/>
                <w:szCs w:val="22"/>
              </w:rPr>
              <w:t xml:space="preserve"> </w:t>
            </w:r>
            <w:r w:rsidRPr="004E70CE">
              <w:rPr>
                <w:rFonts w:eastAsia="Calibri"/>
                <w:sz w:val="22"/>
                <w:szCs w:val="22"/>
              </w:rPr>
              <w:t xml:space="preserve">II.1.1.3 </w:t>
            </w:r>
            <w:r w:rsidRPr="004E70CE">
              <w:rPr>
                <w:sz w:val="22"/>
                <w:szCs w:val="22"/>
              </w:rPr>
              <w:t>:</w:t>
            </w:r>
          </w:p>
          <w:p w:rsidR="009C19DB" w:rsidRPr="004E70CE" w:rsidRDefault="009C19DB" w:rsidP="00E367EC">
            <w:pPr>
              <w:spacing w:line="259" w:lineRule="auto"/>
              <w:ind w:left="34"/>
              <w:jc w:val="both"/>
              <w:rPr>
                <w:sz w:val="22"/>
                <w:szCs w:val="22"/>
              </w:rPr>
            </w:pP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 xml:space="preserve">II.1.5.5.1 </w:t>
            </w:r>
            <w:r w:rsidRPr="004E70CE">
              <w:rPr>
                <w:b/>
                <w:sz w:val="22"/>
                <w:szCs w:val="22"/>
              </w:rPr>
              <w:t xml:space="preserve">Доставка и инсталация на допълнителен брой лицензи – 35 бр. към съществуващ контролер (AIR-CT2504-5-K9) </w:t>
            </w:r>
            <w:r w:rsidRPr="004E70CE">
              <w:rPr>
                <w:sz w:val="22"/>
                <w:szCs w:val="22"/>
              </w:rPr>
              <w:t>за управление на точки за безжичен достъп.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>Доставените Лицензи трябва да отговарят на следните изисквания: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>Да са съвместими със съществуващия</w:t>
            </w:r>
            <w:r w:rsidRPr="009C19DB">
              <w:rPr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sz w:val="22"/>
                <w:szCs w:val="22"/>
              </w:rPr>
              <w:t>контролер за управление на точки за безжичен достъп.</w:t>
            </w:r>
          </w:p>
          <w:p w:rsidR="009C19DB" w:rsidRPr="004E70CE" w:rsidRDefault="009C19DB" w:rsidP="00E367EC">
            <w:pPr>
              <w:jc w:val="both"/>
              <w:rPr>
                <w:b/>
                <w:sz w:val="22"/>
                <w:szCs w:val="22"/>
              </w:rPr>
            </w:pP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II.1.5.5.2</w:t>
            </w:r>
            <w:r w:rsidRPr="009C19D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4E70CE">
              <w:rPr>
                <w:b/>
                <w:sz w:val="22"/>
                <w:szCs w:val="22"/>
              </w:rPr>
              <w:t>Доставка и монтаж на точка за безжичен достъп – 4 броя.</w:t>
            </w:r>
          </w:p>
          <w:p w:rsidR="009C19DB" w:rsidRPr="004E70CE" w:rsidRDefault="009C19DB" w:rsidP="00E367EC">
            <w:pPr>
              <w:jc w:val="both"/>
              <w:rPr>
                <w:b/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>Всяка от доставените точки за безжичен достъп трябва да отговаря на следните минимални технически изисквания: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е съвместима с наличния контролер модел AIR-CT2504-5-K9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разполага с два радио интерфейса за 2.4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и 5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поддържа следните стандарти</w:t>
            </w:r>
            <w:r w:rsidRPr="009C19DB">
              <w:rPr>
                <w:sz w:val="22"/>
                <w:szCs w:val="22"/>
                <w:lang w:val="ru-RU" w:eastAsia="bg-BG"/>
              </w:rPr>
              <w:t xml:space="preserve"> </w:t>
            </w:r>
            <w:r w:rsidRPr="004E70CE">
              <w:rPr>
                <w:sz w:val="22"/>
                <w:szCs w:val="22"/>
                <w:lang w:eastAsia="bg-BG"/>
              </w:rPr>
              <w:t>802.11a/g/n/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ac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Wave1 и Wave2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поддържа 802.11n версия 2.0 със следните изисквания: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4x4 MIMO с четири независими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стриима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.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t>Maximal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ratio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combining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(MRC)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802.11n и 802.11a/g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beamforming</w:t>
            </w:r>
            <w:proofErr w:type="spellEnd"/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20- и 40-MHz канали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PHY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data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rates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до 600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Mbps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(40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при 5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t>Packet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aggregation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: A-MPDU (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Tx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), A-MSDU (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Tx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802.11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dynamic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frequency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selection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(DFS)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t>Cyclic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shift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diversity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(CSD)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поддържа 802.11ac със следните изисквания: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4x4 MIMO с четири</w:t>
            </w:r>
            <w:r w:rsidRPr="009C19DB">
              <w:rPr>
                <w:sz w:val="22"/>
                <w:szCs w:val="22"/>
                <w:lang w:val="ru-RU" w:eastAsia="bg-BG"/>
              </w:rPr>
              <w:t xml:space="preserve"> </w:t>
            </w:r>
            <w:r w:rsidRPr="004E70CE">
              <w:rPr>
                <w:sz w:val="22"/>
                <w:szCs w:val="22"/>
                <w:lang w:eastAsia="bg-BG"/>
              </w:rPr>
              <w:t xml:space="preserve">едновременни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стрийма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при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single-user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MIMO технологията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4х4 MIMO с три едновременно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стрийма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при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multiuser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MIMO технологията</w:t>
            </w:r>
            <w:r w:rsidRPr="009C19DB">
              <w:rPr>
                <w:sz w:val="22"/>
                <w:szCs w:val="22"/>
                <w:lang w:val="ru-RU" w:eastAsia="bg-BG"/>
              </w:rPr>
              <w:t xml:space="preserve">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lastRenderedPageBreak/>
              <w:t>Maximal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ratio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combining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(MRC)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802.11ac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beamforming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20-, 40-, и 80-MHz канали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PHY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data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rates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до 1.7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Gbps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(80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при 5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)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t>Packet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aggregation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: A-MPDU (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Tx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), A-MSDU (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Tx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Rx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)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802.11 DFS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CSD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поддържа 802.11a: 6, 9, 12, 18, 24, 36, 48, и 54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Mbps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поддържа 802.11g: 1, 2, 5.5, 6, 9, 11, 12, 18, 24, 36, 48,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and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54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Mbps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работи на следните честоти и канали: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2.412 до 2.472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; 13 канала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5.180 до 5.320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; 8 канала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5.500 до 5.700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; 8 канала, изключвайки 5.600 до 5.640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поддържа не по-малко от 3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незастъпващи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се канала на 2.4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802.11b/g (20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 и</w:t>
            </w:r>
            <w:r w:rsidRPr="009C19DB">
              <w:rPr>
                <w:sz w:val="22"/>
                <w:szCs w:val="22"/>
                <w:lang w:val="ru-RU" w:eastAsia="bg-BG"/>
              </w:rPr>
              <w:t xml:space="preserve"> </w:t>
            </w:r>
            <w:r w:rsidRPr="004E70CE">
              <w:rPr>
                <w:sz w:val="22"/>
                <w:szCs w:val="22"/>
                <w:lang w:eastAsia="bg-BG"/>
              </w:rPr>
              <w:t xml:space="preserve">802.11n (20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поддържа не по-малко от 21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незастъпващи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се канала на 5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802.11a: (20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) 802.11n (20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) 802.11ac (20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>)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разполага с не по-малко от 1x10/100/1000BASE-T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autosensing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(RJ-45) интерфейс за подаване на захранване и трансфер на данни.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1x10/100/1000BASE-T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autosensing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(RJ-45)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За трансфер на данни.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разполагат с протокол за агрегиране на физически интерфейси в един логически LAG 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разполага с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Management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console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port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(RJ-45) порт.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е окомплектована с 4 броя антени - 2.4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3dBi/5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GHz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5dBi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Low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Profile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Antenna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може да работи надеждно при температури от -0° до 40°C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разполага с 1 GB DRAM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Да разполага с 256 MB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flash</w:t>
            </w:r>
            <w:proofErr w:type="spellEnd"/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има възможност за захранване от 44 до 57 VDC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предоставя възможност за захранване по следните начини: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 xml:space="preserve">802.3at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PoE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+ </w:t>
            </w:r>
          </w:p>
          <w:p w:rsidR="009C19DB" w:rsidRPr="004E70CE" w:rsidRDefault="009C19DB" w:rsidP="009C19DB">
            <w:pPr>
              <w:numPr>
                <w:ilvl w:val="1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proofErr w:type="spellStart"/>
            <w:r w:rsidRPr="004E70CE">
              <w:rPr>
                <w:sz w:val="22"/>
                <w:szCs w:val="22"/>
                <w:lang w:eastAsia="bg-BG"/>
              </w:rPr>
              <w:t>Enhanced</w:t>
            </w:r>
            <w:proofErr w:type="spellEnd"/>
            <w:r w:rsidRPr="004E70CE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4E70CE">
              <w:rPr>
                <w:sz w:val="22"/>
                <w:szCs w:val="22"/>
                <w:lang w:eastAsia="bg-BG"/>
              </w:rPr>
              <w:t>PoE</w:t>
            </w:r>
            <w:proofErr w:type="spellEnd"/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lastRenderedPageBreak/>
              <w:t xml:space="preserve">Хардуерът да се достави с минимум 36 месеца гаранционна поддръжка от производителя със срок на реакция до 4 часа (вж. </w:t>
            </w:r>
            <w:proofErr w:type="spellStart"/>
            <w:r w:rsidRPr="004E70CE">
              <w:rPr>
                <w:sz w:val="22"/>
                <w:szCs w:val="22"/>
              </w:rPr>
              <w:t>разд</w:t>
            </w:r>
            <w:proofErr w:type="spellEnd"/>
            <w:r w:rsidRPr="004E70CE">
              <w:rPr>
                <w:sz w:val="22"/>
                <w:szCs w:val="22"/>
              </w:rPr>
              <w:t>. II.1.1, т. 18).;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>Софтуерът да се достави с минимум 36 месеца поддръжка от производителя, включваща право на безплатен ъпдейт и ъпгрейд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br/>
            </w:r>
            <w:r w:rsidRPr="004E70CE">
              <w:rPr>
                <w:rFonts w:eastAsia="Calibri"/>
                <w:b/>
                <w:sz w:val="22"/>
                <w:szCs w:val="22"/>
              </w:rPr>
              <w:t xml:space="preserve"> II.1.5.5.3 </w:t>
            </w:r>
            <w:r w:rsidRPr="004E70CE">
              <w:rPr>
                <w:b/>
                <w:sz w:val="22"/>
                <w:szCs w:val="22"/>
              </w:rPr>
              <w:t>Демонтаж, монтаж и опроводяване на 2 броя съществуващи (AIR-AP1572EAC-E-K9) точки за безжичен достъп за външно полагане</w:t>
            </w:r>
            <w:r w:rsidRPr="004E70CE">
              <w:rPr>
                <w:sz w:val="22"/>
                <w:szCs w:val="22"/>
              </w:rPr>
              <w:t>: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 xml:space="preserve">Точките за безжичен достъп трябва да бъдат преместени на места с оптимално покритие за обслужващите им клиенти. </w:t>
            </w:r>
          </w:p>
          <w:p w:rsidR="009C19DB" w:rsidRPr="004E70CE" w:rsidRDefault="009C19DB" w:rsidP="00E367EC">
            <w:pPr>
              <w:ind w:left="1080"/>
              <w:jc w:val="both"/>
              <w:rPr>
                <w:sz w:val="22"/>
                <w:szCs w:val="22"/>
              </w:rPr>
            </w:pP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II.1.5.5.4</w:t>
            </w:r>
            <w:r w:rsidRPr="009C19D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b/>
                <w:sz w:val="22"/>
                <w:szCs w:val="22"/>
              </w:rPr>
              <w:t>М</w:t>
            </w:r>
            <w:r w:rsidRPr="004E70CE">
              <w:rPr>
                <w:b/>
                <w:sz w:val="22"/>
                <w:szCs w:val="22"/>
              </w:rPr>
              <w:t>играция на 30 броя съществуващи (AIR-LAP1131AG-E-K9) точки за безжичен достъп: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 xml:space="preserve">Точките за безжичен достъп трябва да бъдат мигрирани от съществуващ контролер модел AIR-WLC4402 към съществуващ контролер AIR-CT2504-5-K9. </w:t>
            </w:r>
          </w:p>
          <w:p w:rsidR="009C19DB" w:rsidRPr="004E70CE" w:rsidRDefault="009C19DB" w:rsidP="00E367EC">
            <w:pPr>
              <w:ind w:left="1080"/>
              <w:jc w:val="both"/>
              <w:rPr>
                <w:rFonts w:eastAsia="Calibri"/>
                <w:sz w:val="22"/>
                <w:szCs w:val="22"/>
              </w:rPr>
            </w:pP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rFonts w:eastAsia="Calibri"/>
                <w:b/>
                <w:sz w:val="22"/>
                <w:szCs w:val="22"/>
              </w:rPr>
              <w:t>II.1.5.5.5</w:t>
            </w:r>
            <w:r w:rsidRPr="009C19D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4E70CE">
              <w:rPr>
                <w:rFonts w:eastAsia="Calibri"/>
                <w:b/>
                <w:sz w:val="22"/>
                <w:szCs w:val="22"/>
              </w:rPr>
              <w:t>Доставка, монтаж и настройка на р</w:t>
            </w:r>
            <w:r w:rsidRPr="004E70CE">
              <w:rPr>
                <w:b/>
                <w:sz w:val="22"/>
                <w:szCs w:val="22"/>
              </w:rPr>
              <w:t>езервиращ контролер на управление на точки за безжичен достъп - 1бр.</w:t>
            </w:r>
          </w:p>
          <w:p w:rsidR="009C19DB" w:rsidRPr="004E70CE" w:rsidRDefault="009C19DB" w:rsidP="00E367EC">
            <w:pPr>
              <w:jc w:val="both"/>
              <w:rPr>
                <w:sz w:val="22"/>
                <w:szCs w:val="22"/>
              </w:rPr>
            </w:pPr>
            <w:r w:rsidRPr="004E70CE">
              <w:rPr>
                <w:sz w:val="22"/>
                <w:szCs w:val="22"/>
              </w:rPr>
              <w:t>Доставеният контролер трябва да отговаря на следните изисквания: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е съвместим с текущия контролер за управление на точки на безжичен достъп модел AIR-CT2504-5-K9.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управлява минимум 36 бр. Точки за безжичен достъп.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разполага с възможност за работа в N+1 резервиращ режим на работа към съществуващите контролери</w:t>
            </w:r>
          </w:p>
          <w:p w:rsidR="009C19DB" w:rsidRPr="004E70CE" w:rsidRDefault="009C19DB" w:rsidP="009C19D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Да служи като резервна точка за управление при отпадане на главната.</w:t>
            </w:r>
          </w:p>
          <w:p w:rsidR="009C19DB" w:rsidRPr="004E70CE" w:rsidRDefault="009C19DB" w:rsidP="00E367EC">
            <w:pPr>
              <w:jc w:val="both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Хардуерът да се достави с минимум 36 месеца гаранционна поддръжка от производителя със срок на реакция до 4 часа (вж.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разд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>. II.1.1, т. 18).;</w:t>
            </w:r>
          </w:p>
          <w:p w:rsidR="009C19DB" w:rsidRPr="004E70CE" w:rsidRDefault="009C19DB" w:rsidP="00E367EC">
            <w:pPr>
              <w:spacing w:after="160" w:line="259" w:lineRule="auto"/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Софтуерът да се достави с минимум 36 месеца поддръжка от производителя, включваща право на безплатен ъпдейт и ъпгрейд.</w:t>
            </w:r>
          </w:p>
        </w:tc>
        <w:tc>
          <w:tcPr>
            <w:tcW w:w="43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35</w:t>
            </w: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4</w:t>
            </w: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2</w:t>
            </w: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30</w:t>
            </w: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4E70CE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505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pct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Cs/>
              </w:rPr>
            </w:pPr>
          </w:p>
        </w:tc>
      </w:tr>
    </w:tbl>
    <w:p w:rsidR="009C19DB" w:rsidRPr="004E70CE" w:rsidRDefault="009C19DB" w:rsidP="009C19DB">
      <w:pPr>
        <w:ind w:firstLine="708"/>
        <w:jc w:val="both"/>
        <w:rPr>
          <w:i/>
          <w:lang w:eastAsia="bg-BG"/>
        </w:rPr>
      </w:pPr>
    </w:p>
    <w:p w:rsidR="009C19DB" w:rsidRPr="004E70CE" w:rsidRDefault="009C19DB" w:rsidP="009C19DB">
      <w:pPr>
        <w:ind w:firstLine="708"/>
        <w:jc w:val="both"/>
        <w:rPr>
          <w:i/>
          <w:lang w:eastAsia="bg-BG"/>
        </w:rPr>
      </w:pPr>
    </w:p>
    <w:p w:rsidR="009C19DB" w:rsidRPr="004E70CE" w:rsidRDefault="009C19DB" w:rsidP="009C19DB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 xml:space="preserve">Техническото предложение следва да съдържа информация по всички показатели, заложени като минимални технически изисквания в техническата спецификация ( раздел </w:t>
      </w:r>
      <w:r w:rsidRPr="004E70CE">
        <w:rPr>
          <w:i/>
          <w:lang w:eastAsia="bg-BG"/>
        </w:rPr>
        <w:lastRenderedPageBreak/>
        <w:t>II. „Технически спецификации”, т. II.1.5 „Детайлна спецификация на изискваното оборудване”).</w:t>
      </w:r>
    </w:p>
    <w:p w:rsidR="009C19DB" w:rsidRPr="004E70CE" w:rsidRDefault="009C19DB" w:rsidP="009C19DB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>При наличие на празни/</w:t>
      </w:r>
      <w:proofErr w:type="spellStart"/>
      <w:r w:rsidRPr="004E70CE">
        <w:rPr>
          <w:i/>
          <w:lang w:eastAsia="bg-BG"/>
        </w:rPr>
        <w:t>непопълнени</w:t>
      </w:r>
      <w:proofErr w:type="spellEnd"/>
      <w:r w:rsidRPr="004E70CE">
        <w:rPr>
          <w:i/>
          <w:lang w:eastAsia="bg-BG"/>
        </w:rPr>
        <w:t xml:space="preserve"> полета в колона „Предложение на участника”, участникът се отстранява от участие.</w:t>
      </w:r>
    </w:p>
    <w:p w:rsidR="009C19DB" w:rsidRPr="004E70CE" w:rsidRDefault="009C19DB" w:rsidP="009C19DB">
      <w:pPr>
        <w:ind w:firstLine="708"/>
        <w:jc w:val="both"/>
        <w:rPr>
          <w:lang w:eastAsia="bg-BG"/>
        </w:rPr>
      </w:pPr>
      <w:r w:rsidRPr="004E70CE">
        <w:rPr>
          <w:lang w:eastAsia="bg-BG"/>
        </w:rPr>
        <w:t>Освен описание на предложените за доставка хардуер и софтуер Техническото предложение трябва да включва описание на изискуемите дейности. Това се постига чрез попълване на таблицата по-долу:</w:t>
      </w:r>
    </w:p>
    <w:p w:rsidR="009C19DB" w:rsidRPr="004E70CE" w:rsidRDefault="009C19DB" w:rsidP="009C19DB">
      <w:pPr>
        <w:ind w:firstLine="708"/>
        <w:jc w:val="both"/>
        <w:rPr>
          <w:lang w:eastAsia="bg-BG"/>
        </w:rPr>
      </w:pPr>
    </w:p>
    <w:p w:rsidR="009C19DB" w:rsidRPr="004E70CE" w:rsidRDefault="009C19DB" w:rsidP="009C19DB">
      <w:pPr>
        <w:ind w:firstLine="708"/>
        <w:jc w:val="both"/>
        <w:rPr>
          <w:lang w:eastAsia="bg-BG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095"/>
      </w:tblGrid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4E70CE">
              <w:rPr>
                <w:rFonts w:eastAsia="Calibri"/>
                <w:b/>
              </w:rPr>
              <w:t>Дейност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4E70CE">
              <w:rPr>
                <w:rFonts w:eastAsia="Calibri"/>
                <w:b/>
              </w:rPr>
              <w:t>Предложение на участника (кратко описание на принципите и начина на реализация на дейността)</w:t>
            </w: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Свързване на новите сървъри към дисковия масив в основната сграда на МТИТС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sz w:val="22"/>
                <w:szCs w:val="22"/>
                <w:lang w:eastAsia="bg-BG"/>
              </w:rPr>
            </w:pPr>
            <w:r w:rsidRPr="004E70CE">
              <w:rPr>
                <w:sz w:val="22"/>
                <w:szCs w:val="22"/>
                <w:lang w:eastAsia="bg-BG"/>
              </w:rPr>
              <w:t>Създаване на техническо описание на новодоставените сървъри и интеграцията им към съществуващата комуникационна инфраструктура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Реорганизация и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преконфигурация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на надградените дискови масиви при запазване на информацията върху съществуващите в тях дискове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Създаване на техническо описание на надградените дискови масиви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Софтуерно надграждане на съществуващия клъстер с два сървъра чрез доставеното надграждане на съществуващия софтуер за виртуализация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Създаване, чрез новодоставения софтуер за виртуализация, на клъстер с три възела, базиран на новодоставените сървъри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Интеграция на изграденото решение за виртуализация с текущите мрежи и дискови масиви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Миграция на поне три съществуващи приложения върху новосъздадения клъстер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Създаване на техническо описание на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новоизградената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виртуална инфраструктура и интеграцията й със съществуващата инфраструктура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Демонтаж, монтаж и опроводяване на 2 броя съществуващи (AIR-AP1572EAC-E-K9) точки за безжичен достъп за външно полагане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Инсталация и конфигурация на 30 броя съществуващи (AIR-LAP1131AG-E-K9) точки за безжичен достъп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lastRenderedPageBreak/>
              <w:t xml:space="preserve">Създаване на техническо описание на новосъздадената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WiFi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инфраструктура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9C19DB" w:rsidRPr="004E70CE" w:rsidTr="00E367EC">
        <w:trPr>
          <w:jc w:val="center"/>
        </w:trPr>
        <w:tc>
          <w:tcPr>
            <w:tcW w:w="4390" w:type="dxa"/>
            <w:shd w:val="clear" w:color="auto" w:fill="auto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 xml:space="preserve">Тристепенно запознаване/обучение на специалисти на Възложителя с </w:t>
            </w:r>
            <w:proofErr w:type="spellStart"/>
            <w:r w:rsidRPr="004E70CE">
              <w:rPr>
                <w:rFonts w:eastAsia="Calibri"/>
                <w:sz w:val="22"/>
                <w:szCs w:val="22"/>
              </w:rPr>
              <w:t>новоизградената</w:t>
            </w:r>
            <w:proofErr w:type="spellEnd"/>
            <w:r w:rsidRPr="004E70CE">
              <w:rPr>
                <w:rFonts w:eastAsia="Calibri"/>
                <w:sz w:val="22"/>
                <w:szCs w:val="22"/>
              </w:rPr>
              <w:t xml:space="preserve"> инфраструктура, интеграцията й със съществуващата инфраструктура и начини и практически умения за експлоатацията й. Запознаването/обучението следва да включва функционалностите на средата и възможността за използването им.</w:t>
            </w:r>
          </w:p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Запознаването/обучението се извършва:</w:t>
            </w:r>
          </w:p>
          <w:p w:rsidR="009C19DB" w:rsidRPr="004E70CE" w:rsidRDefault="009C19DB" w:rsidP="009C19D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По време на планирането изпълнението на съответните дейности;</w:t>
            </w:r>
          </w:p>
          <w:p w:rsidR="009C19DB" w:rsidRPr="004E70CE" w:rsidRDefault="009C19DB" w:rsidP="009C19D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По време на извършване на дейностите;</w:t>
            </w:r>
          </w:p>
          <w:p w:rsidR="009C19DB" w:rsidRPr="004E70CE" w:rsidRDefault="009C19DB" w:rsidP="009C19D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4E70CE">
              <w:rPr>
                <w:rFonts w:eastAsia="Calibri"/>
                <w:sz w:val="22"/>
                <w:szCs w:val="22"/>
              </w:rPr>
              <w:t>Консултации и висококвалифицирана помощ по време на гаранционния период</w:t>
            </w:r>
            <w:r w:rsidRPr="004E70CE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19DB" w:rsidRPr="004E70CE" w:rsidRDefault="009C19DB" w:rsidP="00E367EC">
            <w:pPr>
              <w:spacing w:after="160" w:line="259" w:lineRule="auto"/>
              <w:rPr>
                <w:rFonts w:eastAsia="Calibri"/>
              </w:rPr>
            </w:pPr>
          </w:p>
        </w:tc>
      </w:tr>
    </w:tbl>
    <w:p w:rsidR="009C19DB" w:rsidRPr="004E70CE" w:rsidRDefault="009C19DB" w:rsidP="009C19DB">
      <w:pPr>
        <w:ind w:firstLine="708"/>
        <w:jc w:val="both"/>
        <w:rPr>
          <w:lang w:eastAsia="bg-BG"/>
        </w:rPr>
      </w:pPr>
    </w:p>
    <w:p w:rsidR="009C19DB" w:rsidRPr="004E70CE" w:rsidRDefault="009C19DB" w:rsidP="009C19DB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>При наличие на празни/</w:t>
      </w:r>
      <w:proofErr w:type="spellStart"/>
      <w:r w:rsidRPr="004E70CE">
        <w:rPr>
          <w:i/>
          <w:lang w:eastAsia="bg-BG"/>
        </w:rPr>
        <w:t>непопълнени</w:t>
      </w:r>
      <w:proofErr w:type="spellEnd"/>
      <w:r w:rsidRPr="004E70CE">
        <w:rPr>
          <w:i/>
          <w:lang w:eastAsia="bg-BG"/>
        </w:rPr>
        <w:t xml:space="preserve"> полета в колона „Предложение на участника”, участникът се отстранява от участие.</w:t>
      </w:r>
    </w:p>
    <w:p w:rsidR="009C19DB" w:rsidRPr="004E70CE" w:rsidRDefault="009C19DB" w:rsidP="009C19DB">
      <w:pPr>
        <w:rPr>
          <w:lang w:eastAsia="bg-BG"/>
        </w:rPr>
      </w:pPr>
    </w:p>
    <w:p w:rsidR="009C19DB" w:rsidRPr="004E70CE" w:rsidRDefault="009C19DB" w:rsidP="009C19DB">
      <w:pPr>
        <w:rPr>
          <w:lang w:eastAsia="bg-BG"/>
        </w:rPr>
      </w:pPr>
    </w:p>
    <w:p w:rsidR="009C19DB" w:rsidRPr="004E70CE" w:rsidRDefault="009C19DB" w:rsidP="009C19DB">
      <w:pPr>
        <w:rPr>
          <w:lang w:eastAsia="bg-BG"/>
        </w:rPr>
      </w:pPr>
    </w:p>
    <w:p w:rsidR="009C19DB" w:rsidRPr="004E70CE" w:rsidRDefault="009C19DB" w:rsidP="009C19DB">
      <w:pPr>
        <w:rPr>
          <w:lang w:eastAsia="bg-BG"/>
        </w:rPr>
      </w:pPr>
      <w:r w:rsidRPr="004E70CE">
        <w:rPr>
          <w:lang w:eastAsia="bg-BG"/>
        </w:rPr>
        <w:t>Дата:………………………………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 xml:space="preserve"> Упълномощен да подпише от името на : 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……………………</w:t>
      </w:r>
    </w:p>
    <w:p w:rsidR="009C19DB" w:rsidRPr="004E70CE" w:rsidRDefault="009C19DB" w:rsidP="009C19DB">
      <w:pPr>
        <w:rPr>
          <w:lang w:eastAsia="bg-BG"/>
        </w:rPr>
      </w:pP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 xml:space="preserve"> </w:t>
      </w:r>
      <w:r w:rsidRPr="004E70CE">
        <w:rPr>
          <w:i/>
          <w:lang w:eastAsia="bg-BG"/>
        </w:rPr>
        <w:tab/>
      </w:r>
      <w:r w:rsidRPr="004E70CE">
        <w:rPr>
          <w:i/>
          <w:lang w:eastAsia="bg-BG"/>
        </w:rPr>
        <w:tab/>
        <w:t>(изписва се името на участника)</w:t>
      </w:r>
    </w:p>
    <w:p w:rsidR="009C19DB" w:rsidRPr="004E70CE" w:rsidRDefault="009C19DB" w:rsidP="009C19DB">
      <w:pPr>
        <w:ind w:left="2124" w:firstLine="708"/>
        <w:jc w:val="right"/>
        <w:rPr>
          <w:lang w:eastAsia="bg-BG"/>
        </w:rPr>
      </w:pPr>
      <w:r w:rsidRPr="004E70CE">
        <w:rPr>
          <w:lang w:eastAsia="bg-BG"/>
        </w:rPr>
        <w:t>.………………………………………………</w:t>
      </w:r>
    </w:p>
    <w:p w:rsidR="009C19DB" w:rsidRPr="004E70CE" w:rsidRDefault="009C19DB" w:rsidP="009C19DB">
      <w:pPr>
        <w:ind w:left="2124"/>
        <w:rPr>
          <w:i/>
          <w:lang w:eastAsia="bg-BG"/>
        </w:rPr>
      </w:pPr>
      <w:r w:rsidRPr="004E70CE">
        <w:rPr>
          <w:i/>
          <w:lang w:eastAsia="bg-BG"/>
        </w:rPr>
        <w:t xml:space="preserve">      </w:t>
      </w:r>
      <w:r w:rsidRPr="004E70CE">
        <w:rPr>
          <w:i/>
          <w:lang w:eastAsia="bg-BG"/>
        </w:rPr>
        <w:tab/>
        <w:t>(изписва се името на упълномощеното лице и длъжността)</w:t>
      </w:r>
    </w:p>
    <w:p w:rsidR="009C19DB" w:rsidRPr="004E70CE" w:rsidRDefault="009C19DB" w:rsidP="009C19DB">
      <w:pPr>
        <w:ind w:left="2124" w:firstLine="708"/>
        <w:rPr>
          <w:lang w:eastAsia="bg-BG"/>
        </w:rPr>
      </w:pPr>
      <w:r w:rsidRPr="004E70CE">
        <w:rPr>
          <w:lang w:eastAsia="bg-BG"/>
        </w:rPr>
        <w:tab/>
      </w:r>
      <w:r w:rsidRPr="004E70CE">
        <w:rPr>
          <w:lang w:eastAsia="bg-BG"/>
        </w:rPr>
        <w:tab/>
        <w:t>Подпис и печат:………………….</w:t>
      </w: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9C19DB" w:rsidRPr="004E70CE" w:rsidRDefault="009C19DB" w:rsidP="009C19DB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</w:p>
    <w:p w:rsidR="003612AE" w:rsidRDefault="003612AE"/>
    <w:sectPr w:rsidR="003612AE" w:rsidSect="009C19DB"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E26"/>
    <w:multiLevelType w:val="hybridMultilevel"/>
    <w:tmpl w:val="D952DE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65E2C">
      <w:start w:val="64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6E"/>
    <w:multiLevelType w:val="hybridMultilevel"/>
    <w:tmpl w:val="285CA70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CE303B9"/>
    <w:multiLevelType w:val="hybridMultilevel"/>
    <w:tmpl w:val="EE1C635C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F91478"/>
    <w:multiLevelType w:val="hybridMultilevel"/>
    <w:tmpl w:val="0908B640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E526A54"/>
    <w:multiLevelType w:val="hybridMultilevel"/>
    <w:tmpl w:val="2514E82A"/>
    <w:lvl w:ilvl="0" w:tplc="7B085BEC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A782C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10F6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1FB6E80"/>
    <w:multiLevelType w:val="hybridMultilevel"/>
    <w:tmpl w:val="2B6C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4994"/>
    <w:multiLevelType w:val="hybridMultilevel"/>
    <w:tmpl w:val="FE36F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A245D"/>
    <w:multiLevelType w:val="hybridMultilevel"/>
    <w:tmpl w:val="6862D00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D11AB"/>
    <w:multiLevelType w:val="hybridMultilevel"/>
    <w:tmpl w:val="1EA2A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B77DD"/>
    <w:multiLevelType w:val="hybridMultilevel"/>
    <w:tmpl w:val="33D0366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E1E110F"/>
    <w:multiLevelType w:val="hybridMultilevel"/>
    <w:tmpl w:val="4F2EF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517BB"/>
    <w:multiLevelType w:val="hybridMultilevel"/>
    <w:tmpl w:val="2E3C3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B"/>
    <w:rsid w:val="003612AE"/>
    <w:rsid w:val="009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998F3-61A5-4344-8064-5184F04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19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C19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2016-09-21T09:37:00Z</dcterms:created>
  <dcterms:modified xsi:type="dcterms:W3CDTF">2016-09-21T09:40:00Z</dcterms:modified>
</cp:coreProperties>
</file>