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6E" w:rsidRDefault="003B286E" w:rsidP="003B286E">
      <w:pPr>
        <w:jc w:val="both"/>
        <w:rPr>
          <w:rFonts w:ascii="Times New Roman" w:hAnsi="Times New Roman"/>
          <w:b/>
          <w:iCs/>
          <w:sz w:val="28"/>
          <w:szCs w:val="28"/>
          <w:lang w:val="bg-BG"/>
        </w:rPr>
      </w:pPr>
      <w:r w:rsidRPr="000543FF">
        <w:rPr>
          <w:rFonts w:ascii="Times New Roman" w:hAnsi="Times New Roman"/>
          <w:b/>
          <w:iCs/>
          <w:sz w:val="28"/>
          <w:szCs w:val="28"/>
          <w:lang w:val="bg-BG"/>
        </w:rPr>
        <w:t xml:space="preserve">ЧАСТ </w:t>
      </w:r>
      <w:hyperlink w:anchor="_Toc418764559" w:history="1">
        <w:r w:rsidRPr="000543FF">
          <w:rPr>
            <w:rFonts w:ascii="Times New Roman" w:hAnsi="Times New Roman"/>
            <w:b/>
            <w:iCs/>
            <w:sz w:val="28"/>
            <w:szCs w:val="28"/>
            <w:lang w:val="bg-BG"/>
          </w:rPr>
          <w:t>II. ТЕХНИЧЕСКА СПЕЦИФИКАЦИЯ</w:t>
        </w:r>
      </w:hyperlink>
      <w:r>
        <w:rPr>
          <w:rFonts w:ascii="Times New Roman" w:hAnsi="Times New Roman"/>
          <w:b/>
          <w:iCs/>
          <w:sz w:val="28"/>
          <w:szCs w:val="28"/>
          <w:lang w:val="bg-BG"/>
        </w:rPr>
        <w:t xml:space="preserve"> </w:t>
      </w:r>
    </w:p>
    <w:p w:rsidR="00FF0141" w:rsidRDefault="00FF0141" w:rsidP="003B286E">
      <w:pPr>
        <w:jc w:val="both"/>
        <w:rPr>
          <w:rFonts w:ascii="Times New Roman" w:hAnsi="Times New Roman"/>
          <w:b/>
          <w:iCs/>
          <w:sz w:val="28"/>
          <w:szCs w:val="28"/>
          <w:lang w:val="bg-BG"/>
        </w:rPr>
      </w:pPr>
    </w:p>
    <w:p w:rsidR="00915648" w:rsidRPr="00522FAD" w:rsidRDefault="00734810" w:rsidP="0054462A">
      <w:pPr>
        <w:jc w:val="center"/>
        <w:rPr>
          <w:rFonts w:ascii="Times New Roman" w:hAnsi="Times New Roman"/>
          <w:b/>
          <w:iCs/>
          <w:szCs w:val="24"/>
          <w:u w:val="single"/>
          <w:lang w:val="ru-RU"/>
        </w:rPr>
      </w:pPr>
      <w:r w:rsidRPr="00007F93">
        <w:rPr>
          <w:rFonts w:ascii="Times New Roman" w:hAnsi="Times New Roman"/>
          <w:b/>
          <w:iCs/>
          <w:szCs w:val="24"/>
          <w:u w:val="single"/>
          <w:lang w:val="bg-BG"/>
        </w:rPr>
        <w:t xml:space="preserve">ЧАСТ </w:t>
      </w:r>
      <w:r w:rsidR="00B47911" w:rsidRPr="00007F93">
        <w:rPr>
          <w:rFonts w:ascii="Times New Roman" w:hAnsi="Times New Roman"/>
          <w:b/>
          <w:iCs/>
          <w:szCs w:val="24"/>
          <w:u w:val="single"/>
          <w:lang w:val="en-US"/>
        </w:rPr>
        <w:t>II</w:t>
      </w:r>
      <w:r w:rsidR="00B47911" w:rsidRPr="00522FAD">
        <w:rPr>
          <w:rFonts w:ascii="Times New Roman" w:hAnsi="Times New Roman"/>
          <w:b/>
          <w:iCs/>
          <w:szCs w:val="24"/>
          <w:u w:val="single"/>
          <w:lang w:val="ru-RU"/>
        </w:rPr>
        <w:t>.</w:t>
      </w:r>
      <w:r w:rsidR="00D83256" w:rsidRPr="00522FAD">
        <w:rPr>
          <w:rFonts w:ascii="Times New Roman" w:hAnsi="Times New Roman"/>
          <w:b/>
          <w:iCs/>
          <w:szCs w:val="24"/>
          <w:u w:val="single"/>
          <w:lang w:val="ru-RU"/>
        </w:rPr>
        <w:t>1</w:t>
      </w:r>
      <w:r w:rsidR="00B47911" w:rsidRPr="00522FAD">
        <w:rPr>
          <w:rFonts w:ascii="Times New Roman" w:hAnsi="Times New Roman"/>
          <w:b/>
          <w:iCs/>
          <w:szCs w:val="24"/>
          <w:u w:val="single"/>
          <w:lang w:val="ru-RU"/>
        </w:rPr>
        <w:t xml:space="preserve">. </w:t>
      </w:r>
      <w:r w:rsidR="003B286E" w:rsidRPr="00522FAD">
        <w:rPr>
          <w:rFonts w:ascii="Times New Roman" w:hAnsi="Times New Roman"/>
          <w:b/>
          <w:iCs/>
          <w:szCs w:val="24"/>
          <w:u w:val="single"/>
          <w:lang w:val="ru-RU"/>
        </w:rPr>
        <w:t>ТЕХНИЧЕСКА СПЕЦИФИКАЦИЯ ЗА ОБОСОБЕНА ПОЗИЦИЯ № 1:</w:t>
      </w:r>
    </w:p>
    <w:p w:rsidR="003B286E" w:rsidRPr="00D87C46" w:rsidRDefault="003B286E" w:rsidP="0054462A">
      <w:pPr>
        <w:jc w:val="center"/>
        <w:rPr>
          <w:rFonts w:ascii="Times New Roman" w:hAnsi="Times New Roman"/>
          <w:iCs/>
          <w:szCs w:val="24"/>
          <w:lang w:val="bg-BG"/>
        </w:rPr>
      </w:pPr>
      <w:r w:rsidRPr="00D87C46">
        <w:rPr>
          <w:rFonts w:ascii="Times New Roman" w:hAnsi="Times New Roman"/>
          <w:i/>
          <w:iCs/>
          <w:szCs w:val="24"/>
          <w:lang w:val="bg-BG"/>
        </w:rPr>
        <w:t>„Застраховане на автомобилите, ползвани от Министерство на транспорта, информационните технологии и съобщенията със застраховки „Автокаско“, „Злополука на лицата в МПС“ и задължителна застраховка „Гражданска отговорност“ на автомобилистите</w:t>
      </w:r>
      <w:r w:rsidRPr="00D87C46">
        <w:rPr>
          <w:rFonts w:ascii="Times New Roman" w:hAnsi="Times New Roman"/>
          <w:iCs/>
          <w:szCs w:val="24"/>
          <w:lang w:val="bg-BG"/>
        </w:rPr>
        <w:t>“</w:t>
      </w:r>
    </w:p>
    <w:p w:rsidR="00915648" w:rsidRDefault="00915648" w:rsidP="003B286E">
      <w:pPr>
        <w:pStyle w:val="ListParagraph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B286E" w:rsidRPr="001954BD" w:rsidRDefault="00E97EB0" w:rsidP="0054462A">
      <w:pPr>
        <w:pStyle w:val="ListParagraph"/>
        <w:ind w:left="0"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1954BD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522FAD">
        <w:rPr>
          <w:rFonts w:ascii="Times New Roman" w:hAnsi="Times New Roman"/>
          <w:b/>
          <w:iCs/>
          <w:sz w:val="24"/>
          <w:szCs w:val="24"/>
          <w:lang w:val="ru-RU"/>
        </w:rPr>
        <w:t xml:space="preserve">. </w:t>
      </w:r>
      <w:r w:rsidR="003B286E" w:rsidRPr="001954BD">
        <w:rPr>
          <w:rFonts w:ascii="Times New Roman" w:hAnsi="Times New Roman"/>
          <w:b/>
          <w:iCs/>
          <w:sz w:val="24"/>
          <w:szCs w:val="24"/>
        </w:rPr>
        <w:t>Условия за изпълнение на поръчката:</w:t>
      </w:r>
    </w:p>
    <w:p w:rsidR="003B286E" w:rsidRPr="0054462A" w:rsidRDefault="003B286E" w:rsidP="0054462A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462A">
        <w:rPr>
          <w:rFonts w:ascii="Times New Roman" w:hAnsi="Times New Roman"/>
          <w:iCs/>
          <w:sz w:val="24"/>
          <w:szCs w:val="24"/>
        </w:rPr>
        <w:t xml:space="preserve">Застраховането да е без </w:t>
      </w:r>
      <w:proofErr w:type="spellStart"/>
      <w:r w:rsidRPr="0054462A">
        <w:rPr>
          <w:rFonts w:ascii="Times New Roman" w:hAnsi="Times New Roman"/>
          <w:iCs/>
          <w:sz w:val="24"/>
          <w:szCs w:val="24"/>
        </w:rPr>
        <w:t>самоучастие</w:t>
      </w:r>
      <w:proofErr w:type="spellEnd"/>
      <w:r w:rsidRPr="0054462A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54462A">
        <w:rPr>
          <w:rFonts w:ascii="Times New Roman" w:hAnsi="Times New Roman"/>
          <w:iCs/>
          <w:sz w:val="24"/>
          <w:szCs w:val="24"/>
        </w:rPr>
        <w:t>франшиз</w:t>
      </w:r>
      <w:proofErr w:type="spellEnd"/>
      <w:r w:rsidRPr="0054462A">
        <w:rPr>
          <w:rFonts w:ascii="Times New Roman" w:hAnsi="Times New Roman"/>
          <w:iCs/>
          <w:sz w:val="24"/>
          <w:szCs w:val="24"/>
        </w:rPr>
        <w:t xml:space="preserve"> от страна на министерството;</w:t>
      </w:r>
    </w:p>
    <w:p w:rsidR="003B286E" w:rsidRPr="00E97EB0" w:rsidRDefault="003B286E" w:rsidP="0054462A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954BD">
        <w:rPr>
          <w:rFonts w:ascii="Times New Roman" w:hAnsi="Times New Roman"/>
          <w:iCs/>
          <w:sz w:val="24"/>
          <w:szCs w:val="24"/>
        </w:rPr>
        <w:t>Всички ремонти след настъпване на застрахователно събитие да бъдат извършвани в доверен сервиз, без да се отчита годината на първа регистрация, а автомобилите в гаранционен срок – в официален сервиз;</w:t>
      </w:r>
    </w:p>
    <w:p w:rsidR="003B286E" w:rsidRPr="00E97EB0" w:rsidRDefault="003B286E" w:rsidP="0054462A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97EB0">
        <w:rPr>
          <w:rFonts w:ascii="Times New Roman" w:hAnsi="Times New Roman"/>
          <w:iCs/>
          <w:sz w:val="24"/>
          <w:szCs w:val="24"/>
        </w:rPr>
        <w:t>При отпадане на автомобил, включен за застраховане в списъка на тази Техническа спецификация, преди сключването на договор, за него не се издават полици по видовете застраховки, сторнира се общата застрахователна премия, като тя се намалява с размера на премиите, посочени за този автомобил в Приложение № 3</w:t>
      </w:r>
      <w:r w:rsidR="00915648" w:rsidRPr="00E97EB0">
        <w:rPr>
          <w:rFonts w:ascii="Times New Roman" w:hAnsi="Times New Roman"/>
          <w:iCs/>
          <w:sz w:val="24"/>
          <w:szCs w:val="24"/>
        </w:rPr>
        <w:t>а</w:t>
      </w:r>
      <w:r w:rsidRPr="00E97EB0">
        <w:rPr>
          <w:rFonts w:ascii="Times New Roman" w:hAnsi="Times New Roman"/>
          <w:iCs/>
          <w:sz w:val="24"/>
          <w:szCs w:val="24"/>
        </w:rPr>
        <w:t xml:space="preserve"> - ценово предложение;</w:t>
      </w:r>
    </w:p>
    <w:p w:rsidR="003B286E" w:rsidRPr="00E97EB0" w:rsidRDefault="003B286E" w:rsidP="0054462A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97EB0">
        <w:rPr>
          <w:rFonts w:ascii="Times New Roman" w:hAnsi="Times New Roman"/>
          <w:iCs/>
          <w:sz w:val="24"/>
          <w:szCs w:val="24"/>
        </w:rPr>
        <w:t>При необходимост от допълнително застраховане на автомобили, извън посочените в списъка, същите да се застраховат при условията на договора;</w:t>
      </w:r>
    </w:p>
    <w:p w:rsidR="003B286E" w:rsidRPr="00E97EB0" w:rsidRDefault="003B286E" w:rsidP="0054462A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97EB0">
        <w:rPr>
          <w:rFonts w:ascii="Times New Roman" w:hAnsi="Times New Roman"/>
          <w:iCs/>
          <w:sz w:val="24"/>
          <w:szCs w:val="24"/>
        </w:rPr>
        <w:t xml:space="preserve">При отпадане ползването на автомобили, в рамките на срока на договора застрахователните им полици следва да се прекратят, да се сторнира платената за тях застрахователна премия и да се възстанови надплатеното. </w:t>
      </w:r>
    </w:p>
    <w:p w:rsidR="003B286E" w:rsidRPr="00E97EB0" w:rsidRDefault="003B286E" w:rsidP="0054462A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97EB0">
        <w:rPr>
          <w:rFonts w:ascii="Times New Roman" w:hAnsi="Times New Roman"/>
          <w:iCs/>
          <w:sz w:val="24"/>
          <w:szCs w:val="24"/>
        </w:rPr>
        <w:t xml:space="preserve">Ако по обективни причини поръчката не може да бъде финализирана до началото на срока на съответната застраховка, или ако по обективни причини комисията не е приключила работа по избор на застраховател, участниците </w:t>
      </w:r>
      <w:r w:rsidR="00840E33">
        <w:rPr>
          <w:rFonts w:ascii="Times New Roman" w:hAnsi="Times New Roman"/>
          <w:iCs/>
          <w:sz w:val="24"/>
          <w:szCs w:val="24"/>
        </w:rPr>
        <w:t xml:space="preserve">в допустимите случаи по Кодекса за застраховането </w:t>
      </w:r>
      <w:r w:rsidR="0083406F">
        <w:rPr>
          <w:rFonts w:ascii="Times New Roman" w:hAnsi="Times New Roman"/>
          <w:iCs/>
          <w:sz w:val="24"/>
          <w:szCs w:val="24"/>
        </w:rPr>
        <w:t xml:space="preserve">предоставят предварително покритие до сключването на окончателен договор </w:t>
      </w:r>
      <w:r w:rsidRPr="00E97EB0">
        <w:rPr>
          <w:rFonts w:ascii="Times New Roman" w:hAnsi="Times New Roman"/>
          <w:iCs/>
          <w:sz w:val="24"/>
          <w:szCs w:val="24"/>
        </w:rPr>
        <w:t xml:space="preserve">с писмо за застрахователно покритие </w:t>
      </w:r>
      <w:r w:rsidR="0083406F">
        <w:rPr>
          <w:rFonts w:ascii="Times New Roman" w:hAnsi="Times New Roman"/>
          <w:iCs/>
          <w:sz w:val="24"/>
          <w:szCs w:val="24"/>
        </w:rPr>
        <w:t>за</w:t>
      </w:r>
      <w:r w:rsidR="0083406F" w:rsidRPr="00E97EB0">
        <w:rPr>
          <w:rFonts w:ascii="Times New Roman" w:hAnsi="Times New Roman"/>
          <w:iCs/>
          <w:sz w:val="24"/>
          <w:szCs w:val="24"/>
        </w:rPr>
        <w:t xml:space="preserve"> </w:t>
      </w:r>
      <w:r w:rsidRPr="00E97EB0">
        <w:rPr>
          <w:rFonts w:ascii="Times New Roman" w:hAnsi="Times New Roman"/>
          <w:iCs/>
          <w:sz w:val="24"/>
          <w:szCs w:val="24"/>
        </w:rPr>
        <w:t>срока от началото на действие на същата застраховка до датата на подписване на застрахователна</w:t>
      </w:r>
      <w:r w:rsidR="001605A1" w:rsidRPr="00E97EB0">
        <w:rPr>
          <w:rFonts w:ascii="Times New Roman" w:hAnsi="Times New Roman"/>
          <w:iCs/>
          <w:sz w:val="24"/>
          <w:szCs w:val="24"/>
        </w:rPr>
        <w:t>/и</w:t>
      </w:r>
      <w:r w:rsidRPr="00E97EB0">
        <w:rPr>
          <w:rFonts w:ascii="Times New Roman" w:hAnsi="Times New Roman"/>
          <w:iCs/>
          <w:sz w:val="24"/>
          <w:szCs w:val="24"/>
        </w:rPr>
        <w:t xml:space="preserve"> полица</w:t>
      </w:r>
      <w:r w:rsidR="001605A1" w:rsidRPr="00E97EB0">
        <w:rPr>
          <w:rFonts w:ascii="Times New Roman" w:hAnsi="Times New Roman"/>
          <w:iCs/>
          <w:sz w:val="24"/>
          <w:szCs w:val="24"/>
        </w:rPr>
        <w:t>/и</w:t>
      </w:r>
      <w:r w:rsidRPr="00E97EB0">
        <w:rPr>
          <w:rFonts w:ascii="Times New Roman" w:hAnsi="Times New Roman"/>
          <w:iCs/>
          <w:sz w:val="24"/>
          <w:szCs w:val="24"/>
        </w:rPr>
        <w:t xml:space="preserve"> за нея.</w:t>
      </w:r>
    </w:p>
    <w:p w:rsidR="003B286E" w:rsidRPr="00D87C46" w:rsidRDefault="003B286E" w:rsidP="00D87C46">
      <w:pPr>
        <w:pStyle w:val="ListParagraph"/>
        <w:ind w:hanging="294"/>
        <w:jc w:val="both"/>
        <w:rPr>
          <w:rFonts w:ascii="Times New Roman" w:hAnsi="Times New Roman"/>
          <w:iCs/>
          <w:sz w:val="24"/>
          <w:szCs w:val="24"/>
        </w:rPr>
      </w:pPr>
    </w:p>
    <w:p w:rsidR="003B286E" w:rsidRPr="00D87C46" w:rsidRDefault="00E97EB0" w:rsidP="0054462A">
      <w:pPr>
        <w:pStyle w:val="ListParagraph"/>
        <w:ind w:left="0" w:firstLine="708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3B286E" w:rsidRPr="00D87C46">
        <w:rPr>
          <w:rFonts w:ascii="Times New Roman" w:hAnsi="Times New Roman"/>
          <w:b/>
          <w:iCs/>
          <w:sz w:val="24"/>
          <w:szCs w:val="24"/>
        </w:rPr>
        <w:t>Покрити рискове по застраховки „Автокаско”, „Злополука на лицата в МПС” и „Гражданска отговорност” на автомобилистите”:</w:t>
      </w:r>
    </w:p>
    <w:p w:rsidR="003B286E" w:rsidRPr="0054462A" w:rsidRDefault="003B286E" w:rsidP="00774B2B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462A">
        <w:rPr>
          <w:rFonts w:ascii="Times New Roman" w:hAnsi="Times New Roman"/>
          <w:b/>
          <w:iCs/>
          <w:sz w:val="24"/>
          <w:szCs w:val="24"/>
        </w:rPr>
        <w:t xml:space="preserve">Застраховка „Автокаско”, валидна за територията на Република България и чужбина </w:t>
      </w:r>
      <w:r w:rsidRPr="0054462A">
        <w:rPr>
          <w:rFonts w:ascii="Times New Roman" w:hAnsi="Times New Roman"/>
          <w:iCs/>
          <w:sz w:val="24"/>
          <w:szCs w:val="24"/>
        </w:rPr>
        <w:t>да се сключи при покритие на следните рискове и условия:</w:t>
      </w:r>
    </w:p>
    <w:p w:rsidR="003B286E" w:rsidRPr="00D87C46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87C46">
        <w:rPr>
          <w:rFonts w:ascii="Times New Roman" w:hAnsi="Times New Roman"/>
          <w:iCs/>
          <w:sz w:val="24"/>
          <w:szCs w:val="24"/>
        </w:rPr>
        <w:t>Природни бедствия: пожар; буря (ураган, градушка); наводнения; гръм (мълния); снежно и/или ледено натрупване следствие на обилен снеговалеж; морски вълни, свличане или срутване на земни пластове, съоръжения, както и експлозия на такива съоръжения;</w:t>
      </w:r>
    </w:p>
    <w:p w:rsidR="003B286E" w:rsidRPr="00D87C46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87C46">
        <w:rPr>
          <w:rFonts w:ascii="Times New Roman" w:hAnsi="Times New Roman"/>
          <w:iCs/>
          <w:sz w:val="24"/>
          <w:szCs w:val="24"/>
        </w:rPr>
        <w:t>Авария на водопроводни, канализационни, паропроводни, газопроводни, електропроводни и други съоръжения, както и от експлозия на такива съоръжения;</w:t>
      </w:r>
    </w:p>
    <w:p w:rsidR="003B286E" w:rsidRPr="00D87C46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87C46">
        <w:rPr>
          <w:rFonts w:ascii="Times New Roman" w:hAnsi="Times New Roman"/>
          <w:iCs/>
          <w:sz w:val="24"/>
          <w:szCs w:val="24"/>
        </w:rPr>
        <w:t>Пожар, възникнал по време на движение, или възникнал при включване и работа на двигателя при престой;</w:t>
      </w:r>
    </w:p>
    <w:p w:rsidR="003B286E" w:rsidRPr="00D87C46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87C46">
        <w:rPr>
          <w:rFonts w:ascii="Times New Roman" w:hAnsi="Times New Roman"/>
          <w:iCs/>
          <w:sz w:val="24"/>
          <w:szCs w:val="24"/>
        </w:rPr>
        <w:t>Пожар, възникнал по време на престой на МПС и неработещ двигател вследствие на техническа неизправност и/или случайно събитие;</w:t>
      </w:r>
    </w:p>
    <w:p w:rsidR="003B286E" w:rsidRPr="00D87C46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87C46">
        <w:rPr>
          <w:rFonts w:ascii="Times New Roman" w:hAnsi="Times New Roman"/>
          <w:iCs/>
          <w:sz w:val="24"/>
          <w:szCs w:val="24"/>
        </w:rPr>
        <w:t>Случайно падане на летателни апарати или други тела върху МПС;</w:t>
      </w:r>
    </w:p>
    <w:p w:rsidR="003B286E" w:rsidRPr="00D87C46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87C46">
        <w:rPr>
          <w:rFonts w:ascii="Times New Roman" w:hAnsi="Times New Roman"/>
          <w:iCs/>
          <w:sz w:val="24"/>
          <w:szCs w:val="24"/>
        </w:rPr>
        <w:t>Сблъскване с или удар от МПС и/или други физически тела, в т.ч. и ПТП, съгласно Закона за движение по пътищата;</w:t>
      </w:r>
    </w:p>
    <w:p w:rsidR="003B286E" w:rsidRPr="00D87C46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87C46">
        <w:rPr>
          <w:rFonts w:ascii="Times New Roman" w:hAnsi="Times New Roman"/>
          <w:iCs/>
          <w:sz w:val="24"/>
          <w:szCs w:val="24"/>
        </w:rPr>
        <w:lastRenderedPageBreak/>
        <w:t>Внезапно отваряне на капак или врата на МПС по време на движение, ако това не е възникнало поради невнимание или небрежност на застрахования;</w:t>
      </w:r>
    </w:p>
    <w:p w:rsidR="003B286E" w:rsidRPr="00D934C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Злоумишлени действия на трети лица – причинени повреди на МПС от трети лица чрез механично въздействие (удар с твърд предмет, надраскване, умишлено преобръщане на МПС), заливане с химически активни вещества (киселини, основи и др.), палеж и взривяване;</w:t>
      </w:r>
    </w:p>
    <w:p w:rsidR="003B286E" w:rsidRPr="00D934C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Кражба чрез взлом на трайно монтирано в МПС аудио, радио оборудване;</w:t>
      </w:r>
    </w:p>
    <w:p w:rsidR="003B286E" w:rsidRPr="00D934C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Кражба или грабеж на отделни детайли, възли и агрегати на МПС;</w:t>
      </w:r>
    </w:p>
    <w:p w:rsidR="003B286E" w:rsidRPr="00D934C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Кражба на цяло МПС;</w:t>
      </w:r>
    </w:p>
    <w:p w:rsidR="003B286E" w:rsidRPr="00D934C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Грабеж на цяло МПС;</w:t>
      </w:r>
    </w:p>
    <w:p w:rsidR="003B286E" w:rsidRPr="00D934C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Покриване на разходи за престой на МПС на паркинг;</w:t>
      </w:r>
    </w:p>
    <w:p w:rsidR="003B286E" w:rsidRPr="00D934C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Осигуряване на безплатна Пътна помощ на територията на Република България;</w:t>
      </w:r>
    </w:p>
    <w:p w:rsidR="00A21830" w:rsidRDefault="00A21830" w:rsidP="0054462A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При частични щети по застраховка „Автокаско”</w:t>
      </w:r>
      <w:r w:rsidRPr="00522FAD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МПС-та да се </w:t>
      </w:r>
      <w:proofErr w:type="spellStart"/>
      <w:r>
        <w:rPr>
          <w:rFonts w:ascii="Times New Roman" w:hAnsi="Times New Roman"/>
          <w:iCs/>
          <w:sz w:val="24"/>
          <w:szCs w:val="24"/>
        </w:rPr>
        <w:t>отремонтират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 </w:t>
      </w:r>
      <w:r w:rsidR="003B286E" w:rsidRPr="00D934C0">
        <w:rPr>
          <w:rFonts w:ascii="Times New Roman" w:hAnsi="Times New Roman"/>
          <w:iCs/>
          <w:sz w:val="24"/>
          <w:szCs w:val="24"/>
        </w:rPr>
        <w:t xml:space="preserve">доверен сервиз на застрахователя </w:t>
      </w:r>
      <w:r w:rsidRPr="00A21830">
        <w:rPr>
          <w:rFonts w:ascii="Times New Roman" w:hAnsi="Times New Roman"/>
          <w:iCs/>
          <w:sz w:val="24"/>
          <w:szCs w:val="24"/>
        </w:rPr>
        <w:t>без да се отчита годината на първа регистрация, а автомобилите в гаранц</w:t>
      </w:r>
      <w:r w:rsidR="00774B2B">
        <w:rPr>
          <w:rFonts w:ascii="Times New Roman" w:hAnsi="Times New Roman"/>
          <w:iCs/>
          <w:sz w:val="24"/>
          <w:szCs w:val="24"/>
        </w:rPr>
        <w:t>ионен срок – в официален сервиз.</w:t>
      </w:r>
    </w:p>
    <w:p w:rsidR="004717B3" w:rsidRDefault="004717B3" w:rsidP="0054462A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Застрахователната сума за всяко едно МПС, която е и лимит на отговорност към датата на настъпване на застрахователното събитие, е посочената в ценовото предложение на участника. </w:t>
      </w:r>
      <w:r w:rsidR="006155B0">
        <w:rPr>
          <w:rFonts w:ascii="Times New Roman" w:hAnsi="Times New Roman"/>
          <w:iCs/>
          <w:sz w:val="24"/>
          <w:szCs w:val="24"/>
        </w:rPr>
        <w:t>Избраният изпълнител</w:t>
      </w:r>
      <w:r>
        <w:rPr>
          <w:rFonts w:ascii="Times New Roman" w:hAnsi="Times New Roman"/>
          <w:iCs/>
          <w:sz w:val="24"/>
          <w:szCs w:val="24"/>
        </w:rPr>
        <w:t xml:space="preserve"> няма право да променя посочените от него застрахователни суми за всяко едно МПС за цел</w:t>
      </w:r>
      <w:r w:rsidR="006155B0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я срок на застраховката.</w:t>
      </w:r>
    </w:p>
    <w:p w:rsidR="00840E33" w:rsidRPr="00840E33" w:rsidRDefault="00E51E8E" w:rsidP="00840E33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iCs/>
          <w:szCs w:val="24"/>
        </w:rPr>
      </w:pPr>
      <w:r w:rsidRPr="00840E33">
        <w:rPr>
          <w:rFonts w:ascii="Times New Roman" w:hAnsi="Times New Roman"/>
          <w:iCs/>
          <w:sz w:val="24"/>
          <w:szCs w:val="24"/>
        </w:rPr>
        <w:t>Броят на възникналите застрахователни събития, които се установяват без документ от компетентен орган за събитието (протокол от КАТ, двустранен констативен протокол за ПТП и т.н.), през периода на застраховката за всяко МПС, без значение от характера на събитието е неограничен, независимо от изискванията на Общите условия на застрахователя.</w:t>
      </w:r>
    </w:p>
    <w:p w:rsidR="003B286E" w:rsidRPr="00840E33" w:rsidRDefault="003B286E" w:rsidP="00840E33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b/>
          <w:iCs/>
          <w:szCs w:val="24"/>
        </w:rPr>
      </w:pPr>
      <w:r w:rsidRPr="00840E33">
        <w:rPr>
          <w:rFonts w:ascii="Times New Roman" w:hAnsi="Times New Roman"/>
          <w:b/>
          <w:iCs/>
          <w:szCs w:val="24"/>
        </w:rPr>
        <w:t>Участниците да декларират покритие на всички посочени от възложителя рискове, независимо от покритията, описани в Общите им условия по застраховка „Автокаско”.</w:t>
      </w:r>
    </w:p>
    <w:p w:rsidR="003B286E" w:rsidRPr="00F42097" w:rsidRDefault="003B286E" w:rsidP="003B286E">
      <w:pPr>
        <w:pStyle w:val="ListParagraph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B286E" w:rsidRPr="0054462A" w:rsidRDefault="003B286E" w:rsidP="009F7324">
      <w:pPr>
        <w:pStyle w:val="ListParagraph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54462A">
        <w:rPr>
          <w:rFonts w:ascii="Times New Roman" w:hAnsi="Times New Roman"/>
          <w:b/>
          <w:iCs/>
          <w:sz w:val="24"/>
          <w:szCs w:val="24"/>
        </w:rPr>
        <w:t xml:space="preserve">2. Застраховка „Злополука на лицата в МПС”, валидна за територията на Република България и чужбина </w:t>
      </w:r>
      <w:r w:rsidRPr="0054462A">
        <w:rPr>
          <w:rFonts w:ascii="Times New Roman" w:hAnsi="Times New Roman"/>
          <w:iCs/>
          <w:sz w:val="24"/>
          <w:szCs w:val="24"/>
        </w:rPr>
        <w:t>да се сключи при следните покрити рискове  и условия:</w:t>
      </w:r>
    </w:p>
    <w:p w:rsidR="003B286E" w:rsidRPr="00D934C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462A">
        <w:rPr>
          <w:rFonts w:ascii="Times New Roman" w:hAnsi="Times New Roman"/>
          <w:iCs/>
          <w:sz w:val="24"/>
          <w:szCs w:val="24"/>
          <w:u w:val="single"/>
        </w:rPr>
        <w:t>Основно покритие</w:t>
      </w:r>
      <w:r w:rsidRPr="00D934C0">
        <w:rPr>
          <w:rFonts w:ascii="Times New Roman" w:hAnsi="Times New Roman"/>
          <w:iCs/>
          <w:sz w:val="24"/>
          <w:szCs w:val="24"/>
        </w:rPr>
        <w:t xml:space="preserve"> – при смърт вследствие злополука за едно лице/място застрахователно обезщетение в размер на 50 000.00 (петдесет хиляди) лева, или при трайна загуба на трудоспособност вследствие на злополука за едно лице – процент от 50 000.00 лева, равен на процента загубена трудоспособност. </w:t>
      </w:r>
    </w:p>
    <w:p w:rsidR="003B286E" w:rsidRPr="00D934C0" w:rsidRDefault="003B286E" w:rsidP="0054462A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Не се допуска възможност за ограничаване на размера на посочената застрахователна сума за едно събитие за едно превозно средство в агрегат.</w:t>
      </w:r>
    </w:p>
    <w:p w:rsidR="003B286E" w:rsidRPr="00173710" w:rsidRDefault="003B286E" w:rsidP="00774B2B">
      <w:pPr>
        <w:pStyle w:val="ListParagraph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4462A">
        <w:rPr>
          <w:rFonts w:ascii="Times New Roman" w:hAnsi="Times New Roman"/>
          <w:iCs/>
          <w:sz w:val="24"/>
          <w:szCs w:val="24"/>
          <w:u w:val="single"/>
        </w:rPr>
        <w:t>Допълнително покритие</w:t>
      </w:r>
      <w:r w:rsidRPr="00D934C0">
        <w:rPr>
          <w:rFonts w:ascii="Times New Roman" w:hAnsi="Times New Roman"/>
          <w:iCs/>
          <w:sz w:val="24"/>
          <w:szCs w:val="24"/>
        </w:rPr>
        <w:t xml:space="preserve"> – при временна загуба </w:t>
      </w:r>
      <w:r w:rsidRPr="00173710">
        <w:rPr>
          <w:rFonts w:ascii="Times New Roman" w:hAnsi="Times New Roman"/>
          <w:iCs/>
          <w:sz w:val="24"/>
          <w:szCs w:val="24"/>
        </w:rPr>
        <w:t>на трудоспособност вследствие злополука над</w:t>
      </w:r>
      <w:r w:rsidR="007D6C1A" w:rsidRPr="00F42097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173710">
        <w:rPr>
          <w:rFonts w:ascii="Times New Roman" w:hAnsi="Times New Roman"/>
          <w:iCs/>
          <w:sz w:val="24"/>
          <w:szCs w:val="24"/>
        </w:rPr>
        <w:t xml:space="preserve">20 дни – застрахователно обезщетение в размер не по-малко от </w:t>
      </w:r>
      <w:r w:rsidR="00C7394E">
        <w:rPr>
          <w:rFonts w:ascii="Times New Roman" w:hAnsi="Times New Roman"/>
          <w:iCs/>
          <w:sz w:val="24"/>
          <w:szCs w:val="24"/>
        </w:rPr>
        <w:t>2</w:t>
      </w:r>
      <w:r w:rsidR="00C7394E" w:rsidRPr="00173710">
        <w:rPr>
          <w:rFonts w:ascii="Times New Roman" w:hAnsi="Times New Roman"/>
          <w:iCs/>
          <w:sz w:val="24"/>
          <w:szCs w:val="24"/>
        </w:rPr>
        <w:t>000</w:t>
      </w:r>
      <w:r w:rsidRPr="00173710">
        <w:rPr>
          <w:rFonts w:ascii="Times New Roman" w:hAnsi="Times New Roman"/>
          <w:iCs/>
          <w:sz w:val="24"/>
          <w:szCs w:val="24"/>
        </w:rPr>
        <w:t>.00 (</w:t>
      </w:r>
      <w:r w:rsidR="00C7394E">
        <w:rPr>
          <w:rFonts w:ascii="Times New Roman" w:hAnsi="Times New Roman"/>
          <w:iCs/>
          <w:sz w:val="24"/>
          <w:szCs w:val="24"/>
        </w:rPr>
        <w:t xml:space="preserve">две </w:t>
      </w:r>
      <w:r w:rsidR="00C7394E" w:rsidRPr="00173710">
        <w:rPr>
          <w:rFonts w:ascii="Times New Roman" w:hAnsi="Times New Roman"/>
          <w:iCs/>
          <w:sz w:val="24"/>
          <w:szCs w:val="24"/>
        </w:rPr>
        <w:t>хиляд</w:t>
      </w:r>
      <w:r w:rsidR="00C7394E">
        <w:rPr>
          <w:rFonts w:ascii="Times New Roman" w:hAnsi="Times New Roman"/>
          <w:iCs/>
          <w:sz w:val="24"/>
          <w:szCs w:val="24"/>
        </w:rPr>
        <w:t>и</w:t>
      </w:r>
      <w:r w:rsidRPr="00173710">
        <w:rPr>
          <w:rFonts w:ascii="Times New Roman" w:hAnsi="Times New Roman"/>
          <w:iCs/>
          <w:sz w:val="24"/>
          <w:szCs w:val="24"/>
        </w:rPr>
        <w:t>) лева и медицински разноски вследствие злополука на едно лице/място – в размер до 2000.00 (две хиляди) лева.</w:t>
      </w:r>
    </w:p>
    <w:p w:rsidR="003B286E" w:rsidRPr="0054462A" w:rsidRDefault="003B286E" w:rsidP="00774B2B">
      <w:pPr>
        <w:pStyle w:val="ListParagraph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73710">
        <w:rPr>
          <w:rFonts w:ascii="Times New Roman" w:hAnsi="Times New Roman"/>
          <w:b/>
          <w:i/>
          <w:iCs/>
          <w:sz w:val="24"/>
          <w:szCs w:val="24"/>
          <w:u w:val="single"/>
        </w:rPr>
        <w:t>Забележка</w:t>
      </w:r>
      <w:r w:rsidRPr="00173710">
        <w:rPr>
          <w:rFonts w:ascii="Times New Roman" w:hAnsi="Times New Roman"/>
          <w:b/>
          <w:iCs/>
          <w:sz w:val="24"/>
          <w:szCs w:val="24"/>
          <w:u w:val="single"/>
        </w:rPr>
        <w:t>:</w:t>
      </w:r>
      <w:r w:rsidRPr="00173710">
        <w:rPr>
          <w:rFonts w:ascii="Times New Roman" w:hAnsi="Times New Roman"/>
          <w:b/>
          <w:iCs/>
          <w:sz w:val="24"/>
          <w:szCs w:val="24"/>
        </w:rPr>
        <w:t xml:space="preserve"> Размерът на застрахователното обезщетение при временна загуба на</w:t>
      </w:r>
      <w:r w:rsidRPr="0054462A">
        <w:rPr>
          <w:rFonts w:ascii="Times New Roman" w:hAnsi="Times New Roman"/>
          <w:b/>
          <w:iCs/>
          <w:sz w:val="24"/>
          <w:szCs w:val="24"/>
        </w:rPr>
        <w:t xml:space="preserve"> трудоспособност над 20 дни вследствие злополука се определя от участника в техническото предложение за изпълнение на поръчката.</w:t>
      </w:r>
    </w:p>
    <w:p w:rsidR="003B286E" w:rsidRPr="00D934C0" w:rsidRDefault="003B286E" w:rsidP="003B286E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</w:p>
    <w:p w:rsidR="003B286E" w:rsidRPr="0054462A" w:rsidRDefault="003B286E" w:rsidP="009F7324">
      <w:pPr>
        <w:pStyle w:val="ListParagraph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54462A">
        <w:rPr>
          <w:rFonts w:ascii="Times New Roman" w:hAnsi="Times New Roman"/>
          <w:b/>
          <w:iCs/>
          <w:sz w:val="24"/>
          <w:szCs w:val="24"/>
        </w:rPr>
        <w:t>3.</w:t>
      </w:r>
      <w:r w:rsidRPr="001954BD">
        <w:rPr>
          <w:rFonts w:ascii="Times New Roman" w:hAnsi="Times New Roman"/>
          <w:iCs/>
          <w:sz w:val="24"/>
          <w:szCs w:val="24"/>
        </w:rPr>
        <w:t xml:space="preserve"> </w:t>
      </w:r>
      <w:r w:rsidRPr="0054462A">
        <w:rPr>
          <w:rFonts w:ascii="Times New Roman" w:hAnsi="Times New Roman"/>
          <w:b/>
          <w:iCs/>
          <w:sz w:val="24"/>
          <w:szCs w:val="24"/>
        </w:rPr>
        <w:t>Застраховка „Гражданска отговорност” на автомобилистите”</w:t>
      </w:r>
      <w:r w:rsidRPr="0054462A">
        <w:rPr>
          <w:rFonts w:ascii="Times New Roman" w:hAnsi="Times New Roman"/>
          <w:iCs/>
          <w:sz w:val="24"/>
          <w:szCs w:val="24"/>
        </w:rPr>
        <w:t xml:space="preserve"> се сключва на основание чл. 477, при застрахователни суми (лимит на отговорност), определени в чл. 492 и при условията на чл. 480 от Кодекса за застраховането.</w:t>
      </w:r>
    </w:p>
    <w:p w:rsidR="00E702B0" w:rsidRDefault="00E702B0" w:rsidP="003B286E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</w:p>
    <w:p w:rsidR="00295DC7" w:rsidRDefault="00295DC7" w:rsidP="003B286E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</w:p>
    <w:p w:rsidR="00096A41" w:rsidRPr="00B47911" w:rsidRDefault="00096A41" w:rsidP="003B286E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</w:p>
    <w:p w:rsidR="003B286E" w:rsidRPr="00803148" w:rsidRDefault="003B286E" w:rsidP="003B286E">
      <w:pPr>
        <w:pStyle w:val="ListParagraph"/>
        <w:jc w:val="both"/>
        <w:rPr>
          <w:rFonts w:ascii="Times New Roman" w:hAnsi="Times New Roman"/>
          <w:b/>
          <w:iCs/>
          <w:sz w:val="24"/>
          <w:szCs w:val="24"/>
        </w:rPr>
      </w:pPr>
      <w:r w:rsidRPr="0054462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97EB0" w:rsidRPr="00803148">
        <w:rPr>
          <w:rFonts w:ascii="Times New Roman" w:hAnsi="Times New Roman"/>
          <w:b/>
          <w:iCs/>
          <w:sz w:val="24"/>
          <w:szCs w:val="24"/>
          <w:lang w:val="en-US"/>
        </w:rPr>
        <w:t>III</w:t>
      </w:r>
      <w:r w:rsidR="00E97EB0" w:rsidRPr="00803148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E97EB0" w:rsidRPr="0080314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803148">
        <w:rPr>
          <w:rFonts w:ascii="Times New Roman" w:hAnsi="Times New Roman"/>
          <w:b/>
          <w:iCs/>
          <w:sz w:val="24"/>
          <w:szCs w:val="24"/>
        </w:rPr>
        <w:t>Срок на застраховане на автомобилите.</w:t>
      </w:r>
    </w:p>
    <w:p w:rsidR="00F42097" w:rsidRPr="00803148" w:rsidRDefault="00F42097" w:rsidP="00522FAD">
      <w:pPr>
        <w:ind w:firstLine="708"/>
        <w:jc w:val="both"/>
        <w:rPr>
          <w:rFonts w:ascii="Times New Roman" w:hAnsi="Times New Roman"/>
          <w:iCs/>
          <w:szCs w:val="24"/>
          <w:lang w:val="bg-BG"/>
        </w:rPr>
      </w:pPr>
      <w:r w:rsidRPr="00803148">
        <w:rPr>
          <w:rFonts w:ascii="Times New Roman" w:hAnsi="Times New Roman"/>
          <w:iCs/>
          <w:szCs w:val="24"/>
          <w:lang w:val="bg-BG"/>
        </w:rPr>
        <w:t xml:space="preserve">Срокът на </w:t>
      </w:r>
      <w:r w:rsidR="002C0688" w:rsidRPr="00803148">
        <w:rPr>
          <w:rFonts w:ascii="Times New Roman" w:hAnsi="Times New Roman"/>
          <w:iCs/>
          <w:szCs w:val="24"/>
          <w:lang w:val="bg-BG"/>
        </w:rPr>
        <w:t>застраховане</w:t>
      </w:r>
      <w:r w:rsidRPr="00803148">
        <w:rPr>
          <w:rFonts w:ascii="Times New Roman" w:hAnsi="Times New Roman"/>
          <w:iCs/>
          <w:szCs w:val="24"/>
          <w:lang w:val="ru-RU"/>
        </w:rPr>
        <w:t xml:space="preserve"> е</w:t>
      </w:r>
      <w:r w:rsidR="004E0CC3" w:rsidRPr="00803148">
        <w:rPr>
          <w:rFonts w:ascii="Times New Roman" w:hAnsi="Times New Roman"/>
          <w:iCs/>
          <w:szCs w:val="24"/>
          <w:lang w:val="bg-BG"/>
        </w:rPr>
        <w:t xml:space="preserve"> </w:t>
      </w:r>
      <w:r w:rsidRPr="00803148">
        <w:rPr>
          <w:rFonts w:ascii="Times New Roman" w:hAnsi="Times New Roman"/>
          <w:iCs/>
          <w:szCs w:val="24"/>
          <w:lang w:val="ru-RU"/>
        </w:rPr>
        <w:t xml:space="preserve">от </w:t>
      </w:r>
      <w:r w:rsidR="00096A41" w:rsidRPr="00803148">
        <w:rPr>
          <w:rFonts w:ascii="Times New Roman" w:hAnsi="Times New Roman"/>
          <w:iCs/>
          <w:szCs w:val="24"/>
          <w:lang w:val="ru-RU"/>
        </w:rPr>
        <w:t>0</w:t>
      </w:r>
      <w:r w:rsidR="00C269E1" w:rsidRPr="00803148">
        <w:rPr>
          <w:rFonts w:ascii="Times New Roman" w:hAnsi="Times New Roman"/>
          <w:iCs/>
          <w:szCs w:val="24"/>
          <w:lang w:val="ru-RU"/>
        </w:rPr>
        <w:t xml:space="preserve">0:00 ч. на </w:t>
      </w:r>
      <w:r w:rsidR="006B24E3" w:rsidRPr="00803148">
        <w:rPr>
          <w:rFonts w:ascii="Times New Roman" w:hAnsi="Times New Roman"/>
          <w:iCs/>
          <w:szCs w:val="24"/>
          <w:lang w:val="ru-RU"/>
        </w:rPr>
        <w:t>01</w:t>
      </w:r>
      <w:r w:rsidRPr="00803148">
        <w:rPr>
          <w:rFonts w:ascii="Times New Roman" w:hAnsi="Times New Roman"/>
          <w:iCs/>
          <w:szCs w:val="24"/>
          <w:lang w:val="ru-RU"/>
        </w:rPr>
        <w:t>.</w:t>
      </w:r>
      <w:r w:rsidR="006B24E3" w:rsidRPr="00803148">
        <w:rPr>
          <w:rFonts w:ascii="Times New Roman" w:hAnsi="Times New Roman"/>
          <w:iCs/>
          <w:szCs w:val="24"/>
          <w:lang w:val="ru-RU"/>
        </w:rPr>
        <w:t>01</w:t>
      </w:r>
      <w:r w:rsidRPr="00803148">
        <w:rPr>
          <w:rFonts w:ascii="Times New Roman" w:hAnsi="Times New Roman"/>
          <w:iCs/>
          <w:szCs w:val="24"/>
          <w:lang w:val="ru-RU"/>
        </w:rPr>
        <w:t>.20</w:t>
      </w:r>
      <w:r w:rsidR="006B24E3" w:rsidRPr="00803148">
        <w:rPr>
          <w:rFonts w:ascii="Times New Roman" w:hAnsi="Times New Roman"/>
          <w:iCs/>
          <w:szCs w:val="24"/>
          <w:lang w:val="ru-RU"/>
        </w:rPr>
        <w:t>20</w:t>
      </w:r>
      <w:r w:rsidRPr="00803148">
        <w:rPr>
          <w:rFonts w:ascii="Times New Roman" w:hAnsi="Times New Roman"/>
          <w:iCs/>
          <w:szCs w:val="24"/>
          <w:lang w:val="ru-RU"/>
        </w:rPr>
        <w:t xml:space="preserve"> г. до </w:t>
      </w:r>
      <w:r w:rsidR="00C269E1" w:rsidRPr="00803148">
        <w:rPr>
          <w:rFonts w:ascii="Times New Roman" w:hAnsi="Times New Roman"/>
          <w:iCs/>
          <w:szCs w:val="24"/>
          <w:lang w:val="ru-RU"/>
        </w:rPr>
        <w:t xml:space="preserve">24:00 ч. </w:t>
      </w:r>
      <w:r w:rsidRPr="00803148">
        <w:rPr>
          <w:rFonts w:ascii="Times New Roman" w:hAnsi="Times New Roman"/>
          <w:iCs/>
          <w:szCs w:val="24"/>
          <w:lang w:val="ru-RU"/>
        </w:rPr>
        <w:t>2</w:t>
      </w:r>
      <w:r w:rsidR="0085114A" w:rsidRPr="00803148">
        <w:rPr>
          <w:rFonts w:ascii="Times New Roman" w:hAnsi="Times New Roman"/>
          <w:iCs/>
          <w:szCs w:val="24"/>
          <w:lang w:val="ru-RU"/>
        </w:rPr>
        <w:t>2</w:t>
      </w:r>
      <w:r w:rsidRPr="00803148">
        <w:rPr>
          <w:rFonts w:ascii="Times New Roman" w:hAnsi="Times New Roman"/>
          <w:iCs/>
          <w:szCs w:val="24"/>
          <w:lang w:val="ru-RU"/>
        </w:rPr>
        <w:t>.</w:t>
      </w:r>
      <w:r w:rsidR="006B24E3" w:rsidRPr="00803148">
        <w:rPr>
          <w:rFonts w:ascii="Times New Roman" w:hAnsi="Times New Roman"/>
          <w:iCs/>
          <w:szCs w:val="24"/>
          <w:lang w:val="ru-RU"/>
        </w:rPr>
        <w:t>12</w:t>
      </w:r>
      <w:r w:rsidRPr="00803148">
        <w:rPr>
          <w:rFonts w:ascii="Times New Roman" w:hAnsi="Times New Roman"/>
          <w:iCs/>
          <w:szCs w:val="24"/>
          <w:lang w:val="ru-RU"/>
        </w:rPr>
        <w:t>.2022 г.</w:t>
      </w:r>
    </w:p>
    <w:p w:rsidR="00B47911" w:rsidRPr="00803148" w:rsidRDefault="00E97EB0" w:rsidP="00E97EB0">
      <w:pPr>
        <w:pStyle w:val="ListParagraph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>Сроковете на застраховане на автомобилите</w:t>
      </w:r>
      <w:r w:rsidR="0054462A" w:rsidRPr="00803148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="0054462A" w:rsidRPr="00803148">
        <w:rPr>
          <w:rFonts w:ascii="Times New Roman" w:hAnsi="Times New Roman"/>
          <w:iCs/>
          <w:sz w:val="24"/>
          <w:szCs w:val="24"/>
        </w:rPr>
        <w:t>описани в</w:t>
      </w:r>
      <w:r w:rsidRPr="00803148">
        <w:rPr>
          <w:rFonts w:ascii="Times New Roman" w:hAnsi="Times New Roman"/>
          <w:iCs/>
          <w:sz w:val="24"/>
          <w:szCs w:val="24"/>
        </w:rPr>
        <w:t xml:space="preserve"> </w:t>
      </w:r>
      <w:r w:rsidR="00734810" w:rsidRPr="00803148">
        <w:rPr>
          <w:rFonts w:ascii="Times New Roman" w:hAnsi="Times New Roman"/>
          <w:b/>
          <w:iCs/>
          <w:sz w:val="24"/>
          <w:szCs w:val="24"/>
        </w:rPr>
        <w:t xml:space="preserve">Част </w:t>
      </w:r>
      <w:r w:rsidR="00B47911" w:rsidRPr="00803148"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="00B47911" w:rsidRPr="00803148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D83256" w:rsidRPr="00803148">
        <w:rPr>
          <w:rFonts w:ascii="Times New Roman" w:hAnsi="Times New Roman"/>
          <w:b/>
          <w:iCs/>
          <w:sz w:val="24"/>
          <w:szCs w:val="24"/>
          <w:lang w:val="ru-RU"/>
        </w:rPr>
        <w:t>1</w:t>
      </w:r>
      <w:r w:rsidR="00B47911" w:rsidRPr="00803148">
        <w:rPr>
          <w:rFonts w:ascii="Times New Roman" w:hAnsi="Times New Roman"/>
          <w:b/>
          <w:iCs/>
          <w:sz w:val="24"/>
          <w:szCs w:val="24"/>
          <w:lang w:val="ru-RU"/>
        </w:rPr>
        <w:t>.,</w:t>
      </w:r>
      <w:r w:rsidR="00B47911" w:rsidRPr="0080314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803148">
        <w:rPr>
          <w:rFonts w:ascii="Times New Roman" w:hAnsi="Times New Roman"/>
          <w:b/>
          <w:iCs/>
          <w:sz w:val="24"/>
          <w:szCs w:val="24"/>
        </w:rPr>
        <w:t>Раздел VII</w:t>
      </w:r>
      <w:r w:rsidR="00096A41" w:rsidRPr="00803148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="00B47911" w:rsidRPr="0080314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803148">
        <w:rPr>
          <w:rFonts w:ascii="Times New Roman" w:hAnsi="Times New Roman"/>
          <w:iCs/>
          <w:sz w:val="24"/>
          <w:szCs w:val="24"/>
        </w:rPr>
        <w:t>на тази Техническа спецификация по видове застраховки, са както следва:</w:t>
      </w:r>
    </w:p>
    <w:p w:rsidR="00DC7C61" w:rsidRPr="00803148" w:rsidRDefault="00DC7C61" w:rsidP="00E97EB0">
      <w:pPr>
        <w:pStyle w:val="ListParagraph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>1.</w:t>
      </w:r>
      <w:r w:rsidR="00926DAA" w:rsidRPr="00803148">
        <w:rPr>
          <w:rFonts w:ascii="Times New Roman" w:hAnsi="Times New Roman"/>
          <w:iCs/>
          <w:sz w:val="24"/>
          <w:szCs w:val="24"/>
        </w:rPr>
        <w:t xml:space="preserve"> </w:t>
      </w:r>
      <w:r w:rsidR="00E25771" w:rsidRPr="00803148">
        <w:rPr>
          <w:rFonts w:ascii="Times New Roman" w:hAnsi="Times New Roman"/>
          <w:b/>
          <w:iCs/>
          <w:sz w:val="24"/>
          <w:szCs w:val="24"/>
          <w:u w:val="single"/>
        </w:rPr>
        <w:t>ЗА ЗАСТРАХОВКА „АВТОКАСКО”</w:t>
      </w:r>
      <w:r w:rsidRPr="00803148">
        <w:rPr>
          <w:rFonts w:ascii="Times New Roman" w:hAnsi="Times New Roman"/>
          <w:iCs/>
          <w:sz w:val="24"/>
          <w:szCs w:val="24"/>
          <w:u w:val="single"/>
        </w:rPr>
        <w:t>, е:</w:t>
      </w:r>
    </w:p>
    <w:p w:rsidR="00DC7C61" w:rsidRPr="00803148" w:rsidRDefault="00DC7C61" w:rsidP="0054462A">
      <w:pPr>
        <w:pStyle w:val="ListParagraph"/>
        <w:numPr>
          <w:ilvl w:val="0"/>
          <w:numId w:val="11"/>
        </w:numPr>
        <w:tabs>
          <w:tab w:val="left" w:pos="993"/>
        </w:tabs>
        <w:ind w:left="851" w:hanging="142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 xml:space="preserve">Позиции от № 1 до № </w:t>
      </w:r>
      <w:r w:rsidR="007125B1" w:rsidRPr="00803148">
        <w:rPr>
          <w:rFonts w:ascii="Times New Roman" w:hAnsi="Times New Roman"/>
          <w:iCs/>
          <w:sz w:val="24"/>
          <w:szCs w:val="24"/>
          <w:lang w:val="ru-RU"/>
        </w:rPr>
        <w:t>21</w:t>
      </w:r>
      <w:r w:rsidRPr="00803148">
        <w:rPr>
          <w:rFonts w:ascii="Times New Roman" w:hAnsi="Times New Roman"/>
          <w:iCs/>
          <w:sz w:val="24"/>
          <w:szCs w:val="24"/>
        </w:rPr>
        <w:t xml:space="preserve"> - от 00:00 ч. на 01.01.20</w:t>
      </w:r>
      <w:r w:rsidR="002C1712" w:rsidRPr="00803148">
        <w:rPr>
          <w:rFonts w:ascii="Times New Roman" w:hAnsi="Times New Roman"/>
          <w:iCs/>
          <w:sz w:val="24"/>
          <w:szCs w:val="24"/>
        </w:rPr>
        <w:t>20</w:t>
      </w:r>
      <w:r w:rsidRPr="00803148">
        <w:rPr>
          <w:rFonts w:ascii="Times New Roman" w:hAnsi="Times New Roman"/>
          <w:iCs/>
          <w:sz w:val="24"/>
          <w:szCs w:val="24"/>
        </w:rPr>
        <w:t xml:space="preserve"> г. до 24:00 ч. на 31.12.20</w:t>
      </w:r>
      <w:r w:rsidR="002C1712" w:rsidRPr="00803148">
        <w:rPr>
          <w:rFonts w:ascii="Times New Roman" w:hAnsi="Times New Roman"/>
          <w:iCs/>
          <w:sz w:val="24"/>
          <w:szCs w:val="24"/>
        </w:rPr>
        <w:t>21</w:t>
      </w:r>
      <w:r w:rsidRPr="00803148">
        <w:rPr>
          <w:rFonts w:ascii="Times New Roman" w:hAnsi="Times New Roman"/>
          <w:iCs/>
          <w:sz w:val="24"/>
          <w:szCs w:val="24"/>
        </w:rPr>
        <w:t xml:space="preserve"> г.;</w:t>
      </w:r>
    </w:p>
    <w:p w:rsidR="00276F66" w:rsidRPr="00803148" w:rsidRDefault="00377C2A" w:rsidP="0054462A">
      <w:pPr>
        <w:pStyle w:val="ListParagraph"/>
        <w:numPr>
          <w:ilvl w:val="0"/>
          <w:numId w:val="11"/>
        </w:numPr>
        <w:tabs>
          <w:tab w:val="left" w:pos="993"/>
        </w:tabs>
        <w:ind w:left="851" w:hanging="142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>Позиции</w:t>
      </w:r>
      <w:r w:rsidR="002B75FC" w:rsidRPr="00803148">
        <w:rPr>
          <w:rFonts w:ascii="Times New Roman" w:hAnsi="Times New Roman"/>
          <w:iCs/>
          <w:sz w:val="24"/>
          <w:szCs w:val="24"/>
        </w:rPr>
        <w:t xml:space="preserve"> </w:t>
      </w:r>
      <w:r w:rsidR="00A307B0" w:rsidRPr="00803148">
        <w:rPr>
          <w:rFonts w:ascii="Times New Roman" w:hAnsi="Times New Roman"/>
          <w:iCs/>
          <w:sz w:val="24"/>
          <w:szCs w:val="24"/>
        </w:rPr>
        <w:t xml:space="preserve">от </w:t>
      </w:r>
      <w:r w:rsidR="002B75FC" w:rsidRPr="00803148">
        <w:rPr>
          <w:rFonts w:ascii="Times New Roman" w:hAnsi="Times New Roman"/>
          <w:iCs/>
          <w:sz w:val="24"/>
          <w:szCs w:val="24"/>
        </w:rPr>
        <w:t>№ 22</w:t>
      </w:r>
      <w:r w:rsidR="007125B1" w:rsidRPr="0080314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7125B1" w:rsidRPr="00803148">
        <w:rPr>
          <w:rFonts w:ascii="Times New Roman" w:hAnsi="Times New Roman"/>
          <w:iCs/>
          <w:sz w:val="24"/>
          <w:szCs w:val="24"/>
        </w:rPr>
        <w:t xml:space="preserve">до № </w:t>
      </w:r>
      <w:r w:rsidR="00276F66" w:rsidRPr="00803148">
        <w:rPr>
          <w:rFonts w:ascii="Times New Roman" w:hAnsi="Times New Roman"/>
          <w:iCs/>
          <w:sz w:val="24"/>
          <w:szCs w:val="24"/>
        </w:rPr>
        <w:t xml:space="preserve">28 - от 00:00 ч. на </w:t>
      </w:r>
      <w:r w:rsidR="007125B1" w:rsidRPr="00803148">
        <w:rPr>
          <w:rFonts w:ascii="Times New Roman" w:hAnsi="Times New Roman"/>
          <w:iCs/>
          <w:sz w:val="24"/>
          <w:szCs w:val="24"/>
        </w:rPr>
        <w:t>28.</w:t>
      </w:r>
      <w:r w:rsidRPr="00803148">
        <w:rPr>
          <w:rFonts w:ascii="Times New Roman" w:hAnsi="Times New Roman"/>
          <w:iCs/>
          <w:sz w:val="24"/>
          <w:szCs w:val="24"/>
        </w:rPr>
        <w:t>01</w:t>
      </w:r>
      <w:r w:rsidR="00276F66" w:rsidRPr="00803148">
        <w:rPr>
          <w:rFonts w:ascii="Times New Roman" w:hAnsi="Times New Roman"/>
          <w:iCs/>
          <w:sz w:val="24"/>
          <w:szCs w:val="24"/>
        </w:rPr>
        <w:t>.2020 г. до 24:00 ч. на 31.12.2021 г.</w:t>
      </w:r>
    </w:p>
    <w:p w:rsidR="00DC7C61" w:rsidRPr="00803148" w:rsidRDefault="00DC7C61" w:rsidP="00774B2B">
      <w:pPr>
        <w:pStyle w:val="ListParagraph"/>
        <w:ind w:left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803148">
        <w:rPr>
          <w:rFonts w:ascii="Times New Roman" w:hAnsi="Times New Roman"/>
          <w:iCs/>
          <w:sz w:val="24"/>
          <w:szCs w:val="24"/>
          <w:u w:val="single"/>
        </w:rPr>
        <w:t>2.</w:t>
      </w:r>
      <w:r w:rsidR="00926DAA" w:rsidRPr="00803148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E25771" w:rsidRPr="00803148">
        <w:rPr>
          <w:rFonts w:ascii="Times New Roman" w:hAnsi="Times New Roman"/>
          <w:b/>
          <w:iCs/>
          <w:sz w:val="24"/>
          <w:szCs w:val="24"/>
          <w:u w:val="single"/>
        </w:rPr>
        <w:t>ЗА ЗАСТРАХОВКА „ЗЛОПОЛУКА НА ЛИЦАТА В МПС”,</w:t>
      </w:r>
      <w:r w:rsidR="00E25771" w:rsidRPr="00803148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Pr="00803148">
        <w:rPr>
          <w:rFonts w:ascii="Times New Roman" w:hAnsi="Times New Roman"/>
          <w:iCs/>
          <w:sz w:val="24"/>
          <w:szCs w:val="24"/>
          <w:u w:val="single"/>
        </w:rPr>
        <w:t>е:</w:t>
      </w:r>
    </w:p>
    <w:p w:rsidR="007125B1" w:rsidRPr="00803148" w:rsidRDefault="00B47911" w:rsidP="0054462A">
      <w:pPr>
        <w:pStyle w:val="ListParagraph"/>
        <w:numPr>
          <w:ilvl w:val="0"/>
          <w:numId w:val="12"/>
        </w:numPr>
        <w:tabs>
          <w:tab w:val="left" w:pos="851"/>
        </w:tabs>
        <w:ind w:left="993" w:hanging="284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7125B1" w:rsidRPr="00803148">
        <w:rPr>
          <w:rFonts w:ascii="Times New Roman" w:hAnsi="Times New Roman"/>
          <w:iCs/>
          <w:sz w:val="24"/>
          <w:szCs w:val="24"/>
        </w:rPr>
        <w:t>Позиции от № 1 до № 21 - от 00:00 ч. на 01.01.2020 г. до 24:00 ч. на 31.12.2021 г.;</w:t>
      </w:r>
    </w:p>
    <w:p w:rsidR="007125B1" w:rsidRPr="00803148" w:rsidRDefault="00B47911" w:rsidP="0054462A">
      <w:pPr>
        <w:pStyle w:val="ListParagraph"/>
        <w:numPr>
          <w:ilvl w:val="0"/>
          <w:numId w:val="12"/>
        </w:numPr>
        <w:tabs>
          <w:tab w:val="left" w:pos="851"/>
        </w:tabs>
        <w:ind w:left="993" w:hanging="284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7125B1" w:rsidRPr="00803148">
        <w:rPr>
          <w:rFonts w:ascii="Times New Roman" w:hAnsi="Times New Roman"/>
          <w:iCs/>
          <w:sz w:val="24"/>
          <w:szCs w:val="24"/>
        </w:rPr>
        <w:t xml:space="preserve">Позиции </w:t>
      </w:r>
      <w:r w:rsidR="00A307B0" w:rsidRPr="00803148">
        <w:rPr>
          <w:rFonts w:ascii="Times New Roman" w:hAnsi="Times New Roman"/>
          <w:iCs/>
          <w:sz w:val="24"/>
          <w:szCs w:val="24"/>
        </w:rPr>
        <w:t xml:space="preserve">от </w:t>
      </w:r>
      <w:r w:rsidR="007125B1" w:rsidRPr="00803148">
        <w:rPr>
          <w:rFonts w:ascii="Times New Roman" w:hAnsi="Times New Roman"/>
          <w:iCs/>
          <w:sz w:val="24"/>
          <w:szCs w:val="24"/>
        </w:rPr>
        <w:t>№ 22 до № 28 - от 00:00 ч. на 28.01.2020 г. до 24:00 ч. на 31.12.2021 г.</w:t>
      </w:r>
    </w:p>
    <w:p w:rsidR="00DC7C61" w:rsidRPr="00803148" w:rsidRDefault="00DC7C61" w:rsidP="00774B2B">
      <w:pPr>
        <w:pStyle w:val="ListParagraph"/>
        <w:ind w:left="0"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803148">
        <w:rPr>
          <w:rFonts w:ascii="Times New Roman" w:hAnsi="Times New Roman"/>
          <w:iCs/>
          <w:sz w:val="24"/>
          <w:szCs w:val="24"/>
        </w:rPr>
        <w:t>3.</w:t>
      </w:r>
      <w:r w:rsidR="00926DAA" w:rsidRPr="00803148">
        <w:rPr>
          <w:rFonts w:ascii="Times New Roman" w:hAnsi="Times New Roman"/>
          <w:iCs/>
          <w:sz w:val="24"/>
          <w:szCs w:val="24"/>
        </w:rPr>
        <w:t> </w:t>
      </w:r>
      <w:r w:rsidR="00E25771" w:rsidRPr="00803148">
        <w:rPr>
          <w:rFonts w:ascii="Times New Roman" w:hAnsi="Times New Roman"/>
          <w:b/>
          <w:iCs/>
          <w:sz w:val="24"/>
          <w:szCs w:val="24"/>
          <w:u w:val="single"/>
        </w:rPr>
        <w:t>ЗА ЗАСТРАХОВКА „ГРАЖДАНСКА ОТГОВОРНОСТ“ НА АВТОМОБИЛИСТИТЕ”</w:t>
      </w:r>
      <w:r w:rsidRPr="00803148">
        <w:rPr>
          <w:rFonts w:ascii="Times New Roman" w:hAnsi="Times New Roman"/>
          <w:iCs/>
          <w:sz w:val="24"/>
          <w:szCs w:val="24"/>
          <w:u w:val="single"/>
        </w:rPr>
        <w:t xml:space="preserve"> е: </w:t>
      </w:r>
    </w:p>
    <w:p w:rsidR="00DC7C61" w:rsidRPr="00803148" w:rsidRDefault="00DC7C61" w:rsidP="0054462A">
      <w:pPr>
        <w:pStyle w:val="ListParagraph"/>
        <w:numPr>
          <w:ilvl w:val="0"/>
          <w:numId w:val="13"/>
        </w:numPr>
        <w:tabs>
          <w:tab w:val="left" w:pos="851"/>
        </w:tabs>
        <w:ind w:hanging="578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>Позиции от № 1 до № 1</w:t>
      </w:r>
      <w:r w:rsidR="007125B1" w:rsidRPr="00803148">
        <w:rPr>
          <w:rFonts w:ascii="Times New Roman" w:hAnsi="Times New Roman"/>
          <w:iCs/>
          <w:sz w:val="24"/>
          <w:szCs w:val="24"/>
          <w:lang w:val="ru-RU"/>
        </w:rPr>
        <w:t>6</w:t>
      </w:r>
      <w:r w:rsidRPr="00803148">
        <w:rPr>
          <w:rFonts w:ascii="Times New Roman" w:hAnsi="Times New Roman"/>
          <w:iCs/>
          <w:sz w:val="24"/>
          <w:szCs w:val="24"/>
        </w:rPr>
        <w:t xml:space="preserve"> - от 00:00 ч. на 01.01.20</w:t>
      </w:r>
      <w:r w:rsidR="002B75FC" w:rsidRPr="00803148">
        <w:rPr>
          <w:rFonts w:ascii="Times New Roman" w:hAnsi="Times New Roman"/>
          <w:iCs/>
          <w:sz w:val="24"/>
          <w:szCs w:val="24"/>
        </w:rPr>
        <w:t>20</w:t>
      </w:r>
      <w:r w:rsidRPr="00803148">
        <w:rPr>
          <w:rFonts w:ascii="Times New Roman" w:hAnsi="Times New Roman"/>
          <w:iCs/>
          <w:sz w:val="24"/>
          <w:szCs w:val="24"/>
        </w:rPr>
        <w:t xml:space="preserve"> г. до 24:00 ч. на 31.12.20</w:t>
      </w:r>
      <w:r w:rsidR="002B75FC" w:rsidRPr="00803148">
        <w:rPr>
          <w:rFonts w:ascii="Times New Roman" w:hAnsi="Times New Roman"/>
          <w:iCs/>
          <w:sz w:val="24"/>
          <w:szCs w:val="24"/>
        </w:rPr>
        <w:t>21</w:t>
      </w:r>
      <w:r w:rsidRPr="00803148">
        <w:rPr>
          <w:rFonts w:ascii="Times New Roman" w:hAnsi="Times New Roman"/>
          <w:iCs/>
          <w:sz w:val="24"/>
          <w:szCs w:val="24"/>
        </w:rPr>
        <w:t xml:space="preserve"> г.;</w:t>
      </w:r>
    </w:p>
    <w:p w:rsidR="00DC7C61" w:rsidRPr="00803148" w:rsidRDefault="00DC7C61" w:rsidP="0054462A">
      <w:pPr>
        <w:pStyle w:val="ListParagraph"/>
        <w:numPr>
          <w:ilvl w:val="0"/>
          <w:numId w:val="13"/>
        </w:numPr>
        <w:tabs>
          <w:tab w:val="left" w:pos="851"/>
        </w:tabs>
        <w:ind w:hanging="578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>Позиция  № 1</w:t>
      </w:r>
      <w:r w:rsidR="00E91422" w:rsidRPr="00803148">
        <w:rPr>
          <w:rFonts w:ascii="Times New Roman" w:hAnsi="Times New Roman"/>
          <w:iCs/>
          <w:sz w:val="24"/>
          <w:szCs w:val="24"/>
        </w:rPr>
        <w:t>7</w:t>
      </w:r>
      <w:r w:rsidRPr="00803148">
        <w:rPr>
          <w:rFonts w:ascii="Times New Roman" w:hAnsi="Times New Roman"/>
          <w:iCs/>
          <w:sz w:val="24"/>
          <w:szCs w:val="24"/>
        </w:rPr>
        <w:t xml:space="preserve"> - от 00:00 ч. на 1</w:t>
      </w:r>
      <w:r w:rsidR="00E91422" w:rsidRPr="00803148">
        <w:rPr>
          <w:rFonts w:ascii="Times New Roman" w:hAnsi="Times New Roman"/>
          <w:iCs/>
          <w:sz w:val="24"/>
          <w:szCs w:val="24"/>
        </w:rPr>
        <w:t>9</w:t>
      </w:r>
      <w:r w:rsidRPr="00803148">
        <w:rPr>
          <w:rFonts w:ascii="Times New Roman" w:hAnsi="Times New Roman"/>
          <w:iCs/>
          <w:sz w:val="24"/>
          <w:szCs w:val="24"/>
        </w:rPr>
        <w:t>.11.20</w:t>
      </w:r>
      <w:r w:rsidR="00295DC7" w:rsidRPr="00803148">
        <w:rPr>
          <w:rFonts w:ascii="Times New Roman" w:hAnsi="Times New Roman"/>
          <w:iCs/>
          <w:sz w:val="24"/>
          <w:szCs w:val="24"/>
        </w:rPr>
        <w:t>20</w:t>
      </w:r>
      <w:r w:rsidRPr="00803148">
        <w:rPr>
          <w:rFonts w:ascii="Times New Roman" w:hAnsi="Times New Roman"/>
          <w:iCs/>
          <w:sz w:val="24"/>
          <w:szCs w:val="24"/>
        </w:rPr>
        <w:t xml:space="preserve"> г. до 24:00 ч. на </w:t>
      </w:r>
      <w:r w:rsidR="0063483D" w:rsidRPr="00803148">
        <w:rPr>
          <w:rFonts w:ascii="Times New Roman" w:hAnsi="Times New Roman"/>
          <w:iCs/>
          <w:sz w:val="24"/>
          <w:szCs w:val="24"/>
          <w:lang w:val="ru-RU"/>
        </w:rPr>
        <w:t>18</w:t>
      </w:r>
      <w:r w:rsidR="002B75FC" w:rsidRPr="00803148">
        <w:rPr>
          <w:rFonts w:ascii="Times New Roman" w:hAnsi="Times New Roman"/>
          <w:iCs/>
          <w:sz w:val="24"/>
          <w:szCs w:val="24"/>
        </w:rPr>
        <w:t>.</w:t>
      </w:r>
      <w:r w:rsidR="0063483D" w:rsidRPr="00803148">
        <w:rPr>
          <w:rFonts w:ascii="Times New Roman" w:hAnsi="Times New Roman"/>
          <w:iCs/>
          <w:sz w:val="24"/>
          <w:szCs w:val="24"/>
          <w:lang w:val="ru-RU"/>
        </w:rPr>
        <w:t>11</w:t>
      </w:r>
      <w:r w:rsidRPr="00803148">
        <w:rPr>
          <w:rFonts w:ascii="Times New Roman" w:hAnsi="Times New Roman"/>
          <w:iCs/>
          <w:sz w:val="24"/>
          <w:szCs w:val="24"/>
        </w:rPr>
        <w:t>.</w:t>
      </w:r>
      <w:r w:rsidR="00295DC7" w:rsidRPr="00803148">
        <w:rPr>
          <w:rFonts w:ascii="Times New Roman" w:hAnsi="Times New Roman"/>
          <w:iCs/>
          <w:sz w:val="24"/>
          <w:szCs w:val="24"/>
        </w:rPr>
        <w:t xml:space="preserve">2022 </w:t>
      </w:r>
      <w:r w:rsidRPr="00803148">
        <w:rPr>
          <w:rFonts w:ascii="Times New Roman" w:hAnsi="Times New Roman"/>
          <w:iCs/>
          <w:sz w:val="24"/>
          <w:szCs w:val="24"/>
        </w:rPr>
        <w:t>г.</w:t>
      </w:r>
      <w:r w:rsidR="00E91422" w:rsidRPr="00803148">
        <w:rPr>
          <w:rFonts w:ascii="Times New Roman" w:hAnsi="Times New Roman"/>
          <w:iCs/>
          <w:sz w:val="24"/>
          <w:szCs w:val="24"/>
        </w:rPr>
        <w:t>;</w:t>
      </w:r>
    </w:p>
    <w:p w:rsidR="00E91422" w:rsidRPr="00803148" w:rsidRDefault="00E91422" w:rsidP="0054462A">
      <w:pPr>
        <w:pStyle w:val="ListParagraph"/>
        <w:numPr>
          <w:ilvl w:val="0"/>
          <w:numId w:val="13"/>
        </w:numPr>
        <w:tabs>
          <w:tab w:val="left" w:pos="851"/>
        </w:tabs>
        <w:ind w:hanging="578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 xml:space="preserve">Позиция № 18 </w:t>
      </w:r>
      <w:r w:rsidR="004E0CC3" w:rsidRPr="00803148">
        <w:rPr>
          <w:rFonts w:ascii="Times New Roman" w:hAnsi="Times New Roman"/>
          <w:iCs/>
          <w:sz w:val="24"/>
          <w:szCs w:val="24"/>
        </w:rPr>
        <w:t>-</w:t>
      </w:r>
      <w:r w:rsidRPr="00803148">
        <w:rPr>
          <w:rFonts w:ascii="Times New Roman" w:hAnsi="Times New Roman"/>
          <w:iCs/>
          <w:sz w:val="24"/>
          <w:szCs w:val="24"/>
        </w:rPr>
        <w:t xml:space="preserve"> от 00:00 ч. на 23.12.20</w:t>
      </w:r>
      <w:r w:rsidR="00295DC7" w:rsidRPr="00803148">
        <w:rPr>
          <w:rFonts w:ascii="Times New Roman" w:hAnsi="Times New Roman"/>
          <w:iCs/>
          <w:sz w:val="24"/>
          <w:szCs w:val="24"/>
        </w:rPr>
        <w:t>20</w:t>
      </w:r>
      <w:r w:rsidRPr="00803148">
        <w:rPr>
          <w:rFonts w:ascii="Times New Roman" w:hAnsi="Times New Roman"/>
          <w:iCs/>
          <w:sz w:val="24"/>
          <w:szCs w:val="24"/>
        </w:rPr>
        <w:t xml:space="preserve"> г.</w:t>
      </w:r>
      <w:r w:rsidRPr="00803148">
        <w:t xml:space="preserve"> </w:t>
      </w:r>
      <w:r w:rsidRPr="00803148">
        <w:rPr>
          <w:rFonts w:ascii="Times New Roman" w:hAnsi="Times New Roman"/>
          <w:iCs/>
          <w:sz w:val="24"/>
          <w:szCs w:val="24"/>
        </w:rPr>
        <w:t xml:space="preserve">до 24:00 ч. на </w:t>
      </w:r>
      <w:r w:rsidR="00472C6E" w:rsidRPr="00803148">
        <w:rPr>
          <w:rFonts w:ascii="Times New Roman" w:hAnsi="Times New Roman"/>
          <w:iCs/>
          <w:sz w:val="24"/>
          <w:szCs w:val="24"/>
        </w:rPr>
        <w:t>22</w:t>
      </w:r>
      <w:r w:rsidRPr="00803148">
        <w:rPr>
          <w:rFonts w:ascii="Times New Roman" w:hAnsi="Times New Roman"/>
          <w:iCs/>
          <w:sz w:val="24"/>
          <w:szCs w:val="24"/>
        </w:rPr>
        <w:t>.12.202</w:t>
      </w:r>
      <w:r w:rsidR="00295DC7" w:rsidRPr="00803148">
        <w:rPr>
          <w:rFonts w:ascii="Times New Roman" w:hAnsi="Times New Roman"/>
          <w:iCs/>
          <w:sz w:val="24"/>
          <w:szCs w:val="24"/>
        </w:rPr>
        <w:t>2</w:t>
      </w:r>
      <w:r w:rsidRPr="00803148">
        <w:rPr>
          <w:rFonts w:ascii="Times New Roman" w:hAnsi="Times New Roman"/>
          <w:iCs/>
          <w:sz w:val="24"/>
          <w:szCs w:val="24"/>
        </w:rPr>
        <w:t xml:space="preserve"> г.;</w:t>
      </w:r>
      <w:bookmarkStart w:id="0" w:name="_GoBack"/>
      <w:bookmarkEnd w:id="0"/>
    </w:p>
    <w:p w:rsidR="00DC7C61" w:rsidRPr="00803148" w:rsidRDefault="00DC7C61" w:rsidP="0054462A">
      <w:pPr>
        <w:pStyle w:val="ListParagraph"/>
        <w:numPr>
          <w:ilvl w:val="0"/>
          <w:numId w:val="13"/>
        </w:numPr>
        <w:tabs>
          <w:tab w:val="left" w:pos="851"/>
        </w:tabs>
        <w:ind w:hanging="578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>Позици</w:t>
      </w:r>
      <w:r w:rsidR="00377C2A" w:rsidRPr="00803148">
        <w:rPr>
          <w:rFonts w:ascii="Times New Roman" w:hAnsi="Times New Roman"/>
          <w:iCs/>
          <w:sz w:val="24"/>
          <w:szCs w:val="24"/>
        </w:rPr>
        <w:t>и</w:t>
      </w:r>
      <w:r w:rsidRPr="00803148">
        <w:rPr>
          <w:rFonts w:ascii="Times New Roman" w:hAnsi="Times New Roman"/>
          <w:iCs/>
          <w:sz w:val="24"/>
          <w:szCs w:val="24"/>
        </w:rPr>
        <w:t xml:space="preserve"> </w:t>
      </w:r>
      <w:r w:rsidR="00E91422" w:rsidRPr="00803148">
        <w:rPr>
          <w:rFonts w:ascii="Times New Roman" w:hAnsi="Times New Roman"/>
          <w:iCs/>
          <w:sz w:val="24"/>
          <w:szCs w:val="24"/>
        </w:rPr>
        <w:t>от</w:t>
      </w:r>
      <w:r w:rsidRPr="00803148">
        <w:rPr>
          <w:rFonts w:ascii="Times New Roman" w:hAnsi="Times New Roman"/>
          <w:iCs/>
          <w:sz w:val="24"/>
          <w:szCs w:val="24"/>
        </w:rPr>
        <w:t xml:space="preserve"> № </w:t>
      </w:r>
      <w:r w:rsidR="00E91422" w:rsidRPr="00803148">
        <w:rPr>
          <w:rFonts w:ascii="Times New Roman" w:hAnsi="Times New Roman"/>
          <w:iCs/>
          <w:sz w:val="24"/>
          <w:szCs w:val="24"/>
        </w:rPr>
        <w:t xml:space="preserve">19 до № </w:t>
      </w:r>
      <w:r w:rsidR="00377C2A" w:rsidRPr="00803148">
        <w:rPr>
          <w:rFonts w:ascii="Times New Roman" w:hAnsi="Times New Roman"/>
          <w:iCs/>
          <w:sz w:val="24"/>
          <w:szCs w:val="24"/>
        </w:rPr>
        <w:t>21</w:t>
      </w:r>
      <w:r w:rsidRPr="00803148">
        <w:rPr>
          <w:rFonts w:ascii="Times New Roman" w:hAnsi="Times New Roman"/>
          <w:iCs/>
          <w:sz w:val="24"/>
          <w:szCs w:val="24"/>
        </w:rPr>
        <w:t xml:space="preserve"> - от 00:00 ч. на </w:t>
      </w:r>
      <w:r w:rsidR="00377C2A" w:rsidRPr="00803148">
        <w:rPr>
          <w:rFonts w:ascii="Times New Roman" w:hAnsi="Times New Roman"/>
          <w:iCs/>
          <w:sz w:val="24"/>
          <w:szCs w:val="24"/>
        </w:rPr>
        <w:t>0</w:t>
      </w:r>
      <w:r w:rsidR="00E91422" w:rsidRPr="00803148">
        <w:rPr>
          <w:rFonts w:ascii="Times New Roman" w:hAnsi="Times New Roman"/>
          <w:iCs/>
          <w:sz w:val="24"/>
          <w:szCs w:val="24"/>
        </w:rPr>
        <w:t>3</w:t>
      </w:r>
      <w:r w:rsidR="00377C2A" w:rsidRPr="00803148">
        <w:rPr>
          <w:rFonts w:ascii="Times New Roman" w:hAnsi="Times New Roman"/>
          <w:iCs/>
          <w:sz w:val="24"/>
          <w:szCs w:val="24"/>
        </w:rPr>
        <w:t>.04</w:t>
      </w:r>
      <w:r w:rsidRPr="00803148">
        <w:rPr>
          <w:rFonts w:ascii="Times New Roman" w:hAnsi="Times New Roman"/>
          <w:iCs/>
          <w:sz w:val="24"/>
          <w:szCs w:val="24"/>
        </w:rPr>
        <w:t>.20</w:t>
      </w:r>
      <w:r w:rsidR="002B75FC" w:rsidRPr="00803148">
        <w:rPr>
          <w:rFonts w:ascii="Times New Roman" w:hAnsi="Times New Roman"/>
          <w:iCs/>
          <w:sz w:val="24"/>
          <w:szCs w:val="24"/>
        </w:rPr>
        <w:t>20</w:t>
      </w:r>
      <w:r w:rsidRPr="00803148">
        <w:rPr>
          <w:rFonts w:ascii="Times New Roman" w:hAnsi="Times New Roman"/>
          <w:iCs/>
          <w:sz w:val="24"/>
          <w:szCs w:val="24"/>
        </w:rPr>
        <w:t xml:space="preserve"> г. до 24:00 ч. на </w:t>
      </w:r>
      <w:r w:rsidR="00472C6E" w:rsidRPr="00803148">
        <w:rPr>
          <w:rFonts w:ascii="Times New Roman" w:hAnsi="Times New Roman"/>
          <w:iCs/>
          <w:sz w:val="24"/>
          <w:szCs w:val="24"/>
        </w:rPr>
        <w:t>02</w:t>
      </w:r>
      <w:r w:rsidRPr="00803148">
        <w:rPr>
          <w:rFonts w:ascii="Times New Roman" w:hAnsi="Times New Roman"/>
          <w:iCs/>
          <w:sz w:val="24"/>
          <w:szCs w:val="24"/>
        </w:rPr>
        <w:t>.</w:t>
      </w:r>
      <w:r w:rsidR="00472C6E" w:rsidRPr="00803148">
        <w:rPr>
          <w:rFonts w:ascii="Times New Roman" w:hAnsi="Times New Roman"/>
          <w:iCs/>
          <w:sz w:val="24"/>
          <w:szCs w:val="24"/>
        </w:rPr>
        <w:t>04</w:t>
      </w:r>
      <w:r w:rsidRPr="00803148">
        <w:rPr>
          <w:rFonts w:ascii="Times New Roman" w:hAnsi="Times New Roman"/>
          <w:iCs/>
          <w:sz w:val="24"/>
          <w:szCs w:val="24"/>
        </w:rPr>
        <w:t>.202</w:t>
      </w:r>
      <w:r w:rsidR="00014AAA" w:rsidRPr="00803148">
        <w:rPr>
          <w:rFonts w:ascii="Times New Roman" w:hAnsi="Times New Roman"/>
          <w:iCs/>
          <w:sz w:val="24"/>
          <w:szCs w:val="24"/>
        </w:rPr>
        <w:t>2</w:t>
      </w:r>
      <w:r w:rsidRPr="00803148">
        <w:rPr>
          <w:rFonts w:ascii="Times New Roman" w:hAnsi="Times New Roman"/>
          <w:iCs/>
          <w:sz w:val="24"/>
          <w:szCs w:val="24"/>
        </w:rPr>
        <w:t xml:space="preserve"> г.</w:t>
      </w:r>
      <w:r w:rsidR="00C77C3A" w:rsidRPr="00803148">
        <w:rPr>
          <w:rFonts w:ascii="Times New Roman" w:hAnsi="Times New Roman"/>
          <w:iCs/>
          <w:sz w:val="24"/>
          <w:szCs w:val="24"/>
        </w:rPr>
        <w:t>;</w:t>
      </w:r>
    </w:p>
    <w:p w:rsidR="003B286E" w:rsidRPr="00472C6E" w:rsidRDefault="00377C2A" w:rsidP="0054462A">
      <w:pPr>
        <w:pStyle w:val="ListParagraph"/>
        <w:numPr>
          <w:ilvl w:val="0"/>
          <w:numId w:val="13"/>
        </w:numPr>
        <w:tabs>
          <w:tab w:val="left" w:pos="851"/>
        </w:tabs>
        <w:ind w:hanging="578"/>
        <w:jc w:val="both"/>
        <w:rPr>
          <w:rFonts w:ascii="Times New Roman" w:hAnsi="Times New Roman"/>
          <w:iCs/>
          <w:sz w:val="24"/>
          <w:szCs w:val="24"/>
        </w:rPr>
      </w:pPr>
      <w:r w:rsidRPr="00803148">
        <w:rPr>
          <w:rFonts w:ascii="Times New Roman" w:hAnsi="Times New Roman"/>
          <w:iCs/>
          <w:sz w:val="24"/>
          <w:szCs w:val="24"/>
        </w:rPr>
        <w:t xml:space="preserve">Позиции </w:t>
      </w:r>
      <w:r w:rsidR="00C77C3A" w:rsidRPr="00803148">
        <w:rPr>
          <w:rFonts w:ascii="Times New Roman" w:hAnsi="Times New Roman"/>
          <w:iCs/>
          <w:sz w:val="24"/>
          <w:szCs w:val="24"/>
        </w:rPr>
        <w:t xml:space="preserve">от </w:t>
      </w:r>
      <w:r w:rsidRPr="00803148">
        <w:rPr>
          <w:rFonts w:ascii="Times New Roman" w:hAnsi="Times New Roman"/>
          <w:iCs/>
          <w:sz w:val="24"/>
          <w:szCs w:val="24"/>
        </w:rPr>
        <w:t>№ 22</w:t>
      </w:r>
      <w:r w:rsidR="00C77C3A" w:rsidRPr="00803148">
        <w:rPr>
          <w:rFonts w:ascii="Times New Roman" w:hAnsi="Times New Roman"/>
          <w:iCs/>
          <w:sz w:val="24"/>
          <w:szCs w:val="24"/>
        </w:rPr>
        <w:t xml:space="preserve"> до №</w:t>
      </w:r>
      <w:r w:rsidRPr="00803148">
        <w:rPr>
          <w:rFonts w:ascii="Times New Roman" w:hAnsi="Times New Roman"/>
          <w:iCs/>
          <w:sz w:val="24"/>
          <w:szCs w:val="24"/>
        </w:rPr>
        <w:t xml:space="preserve"> 28 - от 00:00 ч. на </w:t>
      </w:r>
      <w:r w:rsidR="00E91422" w:rsidRPr="00803148">
        <w:rPr>
          <w:rFonts w:ascii="Times New Roman" w:hAnsi="Times New Roman"/>
          <w:iCs/>
          <w:sz w:val="24"/>
          <w:szCs w:val="24"/>
        </w:rPr>
        <w:t>28</w:t>
      </w:r>
      <w:r w:rsidRPr="00803148">
        <w:rPr>
          <w:rFonts w:ascii="Times New Roman" w:hAnsi="Times New Roman"/>
          <w:iCs/>
          <w:sz w:val="24"/>
          <w:szCs w:val="24"/>
        </w:rPr>
        <w:t>.01.2020 г. до 24:00 ч. на</w:t>
      </w:r>
      <w:r w:rsidRPr="00472C6E">
        <w:rPr>
          <w:rFonts w:ascii="Times New Roman" w:hAnsi="Times New Roman"/>
          <w:iCs/>
          <w:sz w:val="24"/>
          <w:szCs w:val="24"/>
        </w:rPr>
        <w:t xml:space="preserve"> </w:t>
      </w:r>
      <w:r w:rsidR="00472C6E" w:rsidRPr="00472C6E">
        <w:rPr>
          <w:rFonts w:ascii="Times New Roman" w:hAnsi="Times New Roman"/>
          <w:iCs/>
          <w:sz w:val="24"/>
          <w:szCs w:val="24"/>
        </w:rPr>
        <w:t>27</w:t>
      </w:r>
      <w:r w:rsidRPr="00472C6E">
        <w:rPr>
          <w:rFonts w:ascii="Times New Roman" w:hAnsi="Times New Roman"/>
          <w:iCs/>
          <w:sz w:val="24"/>
          <w:szCs w:val="24"/>
        </w:rPr>
        <w:t>.</w:t>
      </w:r>
      <w:r w:rsidR="00472C6E" w:rsidRPr="00472C6E">
        <w:rPr>
          <w:rFonts w:ascii="Times New Roman" w:hAnsi="Times New Roman"/>
          <w:iCs/>
          <w:sz w:val="24"/>
          <w:szCs w:val="24"/>
        </w:rPr>
        <w:t>01</w:t>
      </w:r>
      <w:r w:rsidRPr="00472C6E">
        <w:rPr>
          <w:rFonts w:ascii="Times New Roman" w:hAnsi="Times New Roman"/>
          <w:iCs/>
          <w:sz w:val="24"/>
          <w:szCs w:val="24"/>
        </w:rPr>
        <w:t>.202</w:t>
      </w:r>
      <w:r w:rsidR="00472C6E" w:rsidRPr="00472C6E">
        <w:rPr>
          <w:rFonts w:ascii="Times New Roman" w:hAnsi="Times New Roman"/>
          <w:iCs/>
          <w:sz w:val="24"/>
          <w:szCs w:val="24"/>
        </w:rPr>
        <w:t>2</w:t>
      </w:r>
      <w:r w:rsidRPr="00472C6E">
        <w:rPr>
          <w:rFonts w:ascii="Times New Roman" w:hAnsi="Times New Roman"/>
          <w:iCs/>
          <w:sz w:val="24"/>
          <w:szCs w:val="24"/>
        </w:rPr>
        <w:t xml:space="preserve"> г.</w:t>
      </w:r>
    </w:p>
    <w:p w:rsidR="002461AC" w:rsidRDefault="002461AC" w:rsidP="00774B2B">
      <w:pPr>
        <w:pStyle w:val="ListParagraph"/>
        <w:ind w:left="851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096A41" w:rsidRPr="00096A41" w:rsidRDefault="00096A41" w:rsidP="00774B2B">
      <w:pPr>
        <w:pStyle w:val="ListParagraph"/>
        <w:ind w:left="851"/>
        <w:jc w:val="both"/>
        <w:rPr>
          <w:rFonts w:ascii="Times New Roman" w:hAnsi="Times New Roman"/>
          <w:b/>
          <w:iCs/>
          <w:sz w:val="24"/>
          <w:szCs w:val="24"/>
        </w:rPr>
      </w:pPr>
      <w:r w:rsidRPr="00096A41">
        <w:rPr>
          <w:rFonts w:ascii="Times New Roman" w:hAnsi="Times New Roman"/>
          <w:b/>
          <w:iCs/>
          <w:sz w:val="24"/>
          <w:szCs w:val="24"/>
          <w:lang w:val="en-US"/>
        </w:rPr>
        <w:t>IV</w:t>
      </w:r>
      <w:r w:rsidRPr="00EB322B">
        <w:rPr>
          <w:rFonts w:ascii="Times New Roman" w:hAnsi="Times New Roman"/>
          <w:b/>
          <w:iCs/>
          <w:sz w:val="24"/>
          <w:szCs w:val="24"/>
          <w:lang w:val="ru-RU"/>
        </w:rPr>
        <w:t xml:space="preserve">. </w:t>
      </w:r>
      <w:r w:rsidRPr="00096A41">
        <w:rPr>
          <w:rFonts w:ascii="Times New Roman" w:hAnsi="Times New Roman"/>
          <w:b/>
          <w:iCs/>
          <w:sz w:val="24"/>
          <w:szCs w:val="24"/>
        </w:rPr>
        <w:t>Застрахователни суми на автомобилите</w:t>
      </w:r>
    </w:p>
    <w:p w:rsidR="00096A41" w:rsidRPr="0054462A" w:rsidRDefault="00096A41" w:rsidP="00096A41">
      <w:pPr>
        <w:pStyle w:val="ListParagraph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Общите застрахователни суми на автомобилите за 2020 г. и 2021 г. </w:t>
      </w:r>
      <w:r w:rsidRPr="0054462A">
        <w:rPr>
          <w:rFonts w:ascii="Times New Roman" w:hAnsi="Times New Roman"/>
          <w:b/>
          <w:iCs/>
          <w:sz w:val="24"/>
          <w:szCs w:val="24"/>
        </w:rPr>
        <w:t xml:space="preserve">се </w:t>
      </w:r>
      <w:r>
        <w:rPr>
          <w:rFonts w:ascii="Times New Roman" w:hAnsi="Times New Roman"/>
          <w:b/>
          <w:iCs/>
          <w:sz w:val="24"/>
          <w:szCs w:val="24"/>
        </w:rPr>
        <w:t>посочват</w:t>
      </w:r>
      <w:r w:rsidRPr="0054462A">
        <w:rPr>
          <w:rFonts w:ascii="Times New Roman" w:hAnsi="Times New Roman"/>
          <w:b/>
          <w:iCs/>
          <w:sz w:val="24"/>
          <w:szCs w:val="24"/>
        </w:rPr>
        <w:t xml:space="preserve"> от участника в техническото предложение за изпълнение на поръчката</w:t>
      </w:r>
      <w:r>
        <w:rPr>
          <w:rFonts w:ascii="Times New Roman" w:hAnsi="Times New Roman"/>
          <w:b/>
          <w:iCs/>
          <w:sz w:val="24"/>
          <w:szCs w:val="24"/>
        </w:rPr>
        <w:t xml:space="preserve"> (Образец № 2а)</w:t>
      </w:r>
      <w:r w:rsidRPr="0054462A">
        <w:rPr>
          <w:rFonts w:ascii="Times New Roman" w:hAnsi="Times New Roman"/>
          <w:b/>
          <w:iCs/>
          <w:sz w:val="24"/>
          <w:szCs w:val="24"/>
        </w:rPr>
        <w:t>.</w:t>
      </w:r>
    </w:p>
    <w:p w:rsidR="00096A41" w:rsidRPr="00096A41" w:rsidRDefault="00096A41" w:rsidP="00774B2B">
      <w:pPr>
        <w:pStyle w:val="ListParagraph"/>
        <w:ind w:left="851"/>
        <w:jc w:val="both"/>
        <w:rPr>
          <w:rFonts w:ascii="Times New Roman" w:hAnsi="Times New Roman"/>
          <w:iCs/>
          <w:sz w:val="24"/>
          <w:szCs w:val="24"/>
        </w:rPr>
      </w:pPr>
    </w:p>
    <w:p w:rsidR="003B286E" w:rsidRPr="00D934C0" w:rsidRDefault="00E97EB0" w:rsidP="00774B2B">
      <w:pPr>
        <w:pStyle w:val="ListParagraph"/>
        <w:ind w:left="851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val="en-US"/>
        </w:rPr>
        <w:t>V</w:t>
      </w:r>
      <w:r w:rsidRPr="00522FAD">
        <w:rPr>
          <w:rFonts w:ascii="Times New Roman" w:hAnsi="Times New Roman"/>
          <w:b/>
          <w:iCs/>
          <w:sz w:val="24"/>
          <w:szCs w:val="24"/>
          <w:lang w:val="ru-RU"/>
        </w:rPr>
        <w:t xml:space="preserve">. </w:t>
      </w:r>
      <w:r w:rsidR="003B286E" w:rsidRPr="00D934C0">
        <w:rPr>
          <w:rFonts w:ascii="Times New Roman" w:hAnsi="Times New Roman"/>
          <w:b/>
          <w:iCs/>
          <w:sz w:val="24"/>
          <w:szCs w:val="24"/>
        </w:rPr>
        <w:t>Формиране на застрахователни премии</w:t>
      </w:r>
    </w:p>
    <w:p w:rsidR="003B286E" w:rsidRPr="00D934C0" w:rsidRDefault="003B286E" w:rsidP="00774B2B">
      <w:pPr>
        <w:pStyle w:val="ListParagraph"/>
        <w:numPr>
          <w:ilvl w:val="1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D6392">
        <w:rPr>
          <w:rFonts w:ascii="Times New Roman" w:hAnsi="Times New Roman"/>
          <w:iCs/>
          <w:sz w:val="24"/>
          <w:szCs w:val="24"/>
        </w:rPr>
        <w:t>Застрахователната премия следва да се формира за всеки автомобил и вид застраховка и година поотделно. Общата</w:t>
      </w:r>
      <w:r w:rsidRPr="00D934C0">
        <w:rPr>
          <w:rFonts w:ascii="Times New Roman" w:hAnsi="Times New Roman"/>
          <w:iCs/>
          <w:sz w:val="24"/>
          <w:szCs w:val="24"/>
        </w:rPr>
        <w:t xml:space="preserve"> ѝ стойност се определя от сумата на общите застрахователните премии за видовете застраховки за всички автомобили. Участниците да представят обща стойност на дължимата застрахователна премия</w:t>
      </w:r>
      <w:r w:rsidR="001605A1">
        <w:rPr>
          <w:rFonts w:ascii="Times New Roman" w:hAnsi="Times New Roman"/>
          <w:iCs/>
          <w:sz w:val="24"/>
          <w:szCs w:val="24"/>
        </w:rPr>
        <w:t xml:space="preserve"> за </w:t>
      </w:r>
      <w:r w:rsidR="00007F93">
        <w:rPr>
          <w:rFonts w:ascii="Times New Roman" w:hAnsi="Times New Roman"/>
          <w:iCs/>
          <w:sz w:val="24"/>
          <w:szCs w:val="24"/>
        </w:rPr>
        <w:t xml:space="preserve">всяка от </w:t>
      </w:r>
      <w:r w:rsidR="001605A1">
        <w:rPr>
          <w:rFonts w:ascii="Times New Roman" w:hAnsi="Times New Roman"/>
          <w:iCs/>
          <w:sz w:val="24"/>
          <w:szCs w:val="24"/>
        </w:rPr>
        <w:t xml:space="preserve">двете години </w:t>
      </w:r>
      <w:r w:rsidR="00007F93">
        <w:rPr>
          <w:rFonts w:ascii="Times New Roman" w:hAnsi="Times New Roman"/>
          <w:iCs/>
          <w:sz w:val="24"/>
          <w:szCs w:val="24"/>
        </w:rPr>
        <w:t xml:space="preserve">за </w:t>
      </w:r>
      <w:r w:rsidR="001605A1">
        <w:rPr>
          <w:rFonts w:ascii="Times New Roman" w:hAnsi="Times New Roman"/>
          <w:iCs/>
          <w:sz w:val="24"/>
          <w:szCs w:val="24"/>
        </w:rPr>
        <w:t>срока на договора</w:t>
      </w:r>
      <w:r w:rsidRPr="00D934C0">
        <w:rPr>
          <w:rFonts w:ascii="Times New Roman" w:hAnsi="Times New Roman"/>
          <w:iCs/>
          <w:sz w:val="24"/>
          <w:szCs w:val="24"/>
        </w:rPr>
        <w:t>.</w:t>
      </w:r>
    </w:p>
    <w:p w:rsidR="003B286E" w:rsidRPr="00D934C0" w:rsidRDefault="003B286E" w:rsidP="00774B2B">
      <w:pPr>
        <w:pStyle w:val="ListParagraph"/>
        <w:numPr>
          <w:ilvl w:val="1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 xml:space="preserve">Застрахователната премия </w:t>
      </w:r>
      <w:r w:rsidRPr="00270587">
        <w:rPr>
          <w:rFonts w:ascii="Times New Roman" w:hAnsi="Times New Roman"/>
          <w:b/>
          <w:iCs/>
          <w:sz w:val="24"/>
          <w:szCs w:val="24"/>
        </w:rPr>
        <w:t>да включва дължими такси и данъци.</w:t>
      </w:r>
    </w:p>
    <w:p w:rsidR="003B286E" w:rsidRPr="00D934C0" w:rsidRDefault="003B286E" w:rsidP="00774B2B">
      <w:pPr>
        <w:pStyle w:val="ListParagraph"/>
        <w:numPr>
          <w:ilvl w:val="1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D934C0">
        <w:rPr>
          <w:rFonts w:ascii="Times New Roman" w:hAnsi="Times New Roman"/>
          <w:iCs/>
          <w:sz w:val="24"/>
          <w:szCs w:val="24"/>
        </w:rPr>
        <w:t>Застрахователната премия да отчита изискването на възложителя за ползване на доверен сервиз за всички автомобили, без да се отчита годината на първа регистрация.</w:t>
      </w:r>
    </w:p>
    <w:p w:rsidR="00007F93" w:rsidRPr="00F42097" w:rsidRDefault="003B286E" w:rsidP="00522FAD">
      <w:pPr>
        <w:pStyle w:val="ListParagraph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iCs/>
          <w:szCs w:val="24"/>
        </w:rPr>
      </w:pPr>
      <w:r w:rsidRPr="00522FAD">
        <w:rPr>
          <w:rFonts w:ascii="Times New Roman" w:hAnsi="Times New Roman"/>
          <w:iCs/>
          <w:sz w:val="24"/>
          <w:szCs w:val="24"/>
        </w:rPr>
        <w:t xml:space="preserve">Формирането на застрахователната премия за всеки </w:t>
      </w:r>
      <w:proofErr w:type="spellStart"/>
      <w:r w:rsidRPr="00522FAD">
        <w:rPr>
          <w:rFonts w:ascii="Times New Roman" w:hAnsi="Times New Roman"/>
          <w:iCs/>
          <w:sz w:val="24"/>
          <w:szCs w:val="24"/>
        </w:rPr>
        <w:t>новозакупен</w:t>
      </w:r>
      <w:proofErr w:type="spellEnd"/>
      <w:r w:rsidRPr="00522FAD">
        <w:rPr>
          <w:rFonts w:ascii="Times New Roman" w:hAnsi="Times New Roman"/>
          <w:iCs/>
          <w:sz w:val="24"/>
          <w:szCs w:val="24"/>
        </w:rPr>
        <w:t xml:space="preserve"> автомобил е застрахователната сума равна на фактурната им стойност при отчитане ползването на официален сервиз.</w:t>
      </w:r>
    </w:p>
    <w:p w:rsidR="003B286E" w:rsidRPr="0054462A" w:rsidRDefault="00E97EB0" w:rsidP="00774B2B">
      <w:pPr>
        <w:ind w:left="284" w:firstLine="425"/>
        <w:jc w:val="both"/>
        <w:rPr>
          <w:rFonts w:ascii="Times New Roman" w:hAnsi="Times New Roman"/>
          <w:b/>
          <w:iCs/>
          <w:szCs w:val="24"/>
          <w:lang w:val="bg-BG"/>
        </w:rPr>
      </w:pPr>
      <w:r w:rsidRPr="0054462A">
        <w:rPr>
          <w:rFonts w:ascii="Times New Roman" w:hAnsi="Times New Roman"/>
          <w:b/>
          <w:iCs/>
          <w:szCs w:val="24"/>
          <w:lang w:val="bg-BG"/>
        </w:rPr>
        <w:t>V</w:t>
      </w:r>
      <w:r w:rsidR="00096A41">
        <w:rPr>
          <w:rFonts w:ascii="Times New Roman" w:hAnsi="Times New Roman"/>
          <w:b/>
          <w:iCs/>
          <w:szCs w:val="24"/>
          <w:lang w:val="en-US"/>
        </w:rPr>
        <w:t>I</w:t>
      </w:r>
      <w:r w:rsidRPr="0054462A">
        <w:rPr>
          <w:rFonts w:ascii="Times New Roman" w:hAnsi="Times New Roman"/>
          <w:b/>
          <w:iCs/>
          <w:szCs w:val="24"/>
          <w:lang w:val="bg-BG"/>
        </w:rPr>
        <w:t>.</w:t>
      </w:r>
      <w:r w:rsidRPr="0054462A">
        <w:rPr>
          <w:rFonts w:ascii="Times New Roman" w:hAnsi="Times New Roman"/>
          <w:iCs/>
          <w:szCs w:val="24"/>
          <w:lang w:val="bg-BG"/>
        </w:rPr>
        <w:t xml:space="preserve"> </w:t>
      </w:r>
      <w:r w:rsidR="003B286E" w:rsidRPr="0054462A">
        <w:rPr>
          <w:rFonts w:ascii="Times New Roman" w:hAnsi="Times New Roman"/>
          <w:iCs/>
          <w:szCs w:val="24"/>
          <w:lang w:val="bg-BG"/>
        </w:rPr>
        <w:t xml:space="preserve"> </w:t>
      </w:r>
      <w:r w:rsidR="003B286E" w:rsidRPr="0054462A">
        <w:rPr>
          <w:rFonts w:ascii="Times New Roman" w:hAnsi="Times New Roman"/>
          <w:b/>
          <w:iCs/>
          <w:szCs w:val="24"/>
          <w:lang w:val="bg-BG"/>
        </w:rPr>
        <w:t>Начин на плащане на дължимите застрахователни премии.</w:t>
      </w:r>
    </w:p>
    <w:p w:rsidR="003B286E" w:rsidRPr="00774B2B" w:rsidRDefault="003B286E" w:rsidP="0054462A">
      <w:pPr>
        <w:pStyle w:val="ListParagraph"/>
        <w:ind w:left="0" w:firstLine="708"/>
        <w:jc w:val="both"/>
        <w:rPr>
          <w:rFonts w:ascii="Times New Roman" w:hAnsi="Times New Roman"/>
          <w:iCs/>
          <w:sz w:val="24"/>
          <w:szCs w:val="24"/>
        </w:rPr>
      </w:pPr>
      <w:r w:rsidRPr="001954BD">
        <w:rPr>
          <w:rFonts w:ascii="Times New Roman" w:hAnsi="Times New Roman"/>
          <w:iCs/>
          <w:sz w:val="24"/>
          <w:szCs w:val="24"/>
        </w:rPr>
        <w:t xml:space="preserve">Плащанията се извършват </w:t>
      </w:r>
      <w:r w:rsidR="00243157" w:rsidRPr="00774B2B">
        <w:rPr>
          <w:rFonts w:ascii="Times New Roman" w:hAnsi="Times New Roman"/>
          <w:iCs/>
          <w:sz w:val="24"/>
          <w:szCs w:val="24"/>
        </w:rPr>
        <w:t xml:space="preserve">поотделно за двете години от срока на договора, </w:t>
      </w:r>
      <w:r w:rsidRPr="00774B2B">
        <w:rPr>
          <w:rFonts w:ascii="Times New Roman" w:hAnsi="Times New Roman"/>
          <w:iCs/>
          <w:sz w:val="24"/>
          <w:szCs w:val="24"/>
        </w:rPr>
        <w:t>в български лева по банков път, срещу представяне на сметка/фактура за дължимата застрахователна премия по отделно за всеки вид застраховка и срок на застраховане, и посочване на издадените застрахователни полици.</w:t>
      </w:r>
    </w:p>
    <w:p w:rsidR="00774B2B" w:rsidRDefault="00B47911" w:rsidP="0054462A">
      <w:pPr>
        <w:ind w:firstLine="708"/>
        <w:jc w:val="both"/>
        <w:rPr>
          <w:rFonts w:ascii="Times New Roman" w:hAnsi="Times New Roman"/>
          <w:i/>
          <w:iCs/>
          <w:szCs w:val="24"/>
          <w:lang w:val="bg-BG"/>
        </w:rPr>
      </w:pPr>
      <w:r w:rsidRPr="0054462A">
        <w:rPr>
          <w:rFonts w:ascii="Times New Roman" w:hAnsi="Times New Roman"/>
          <w:b/>
          <w:iCs/>
          <w:szCs w:val="24"/>
          <w:lang w:val="en-US"/>
        </w:rPr>
        <w:t>VI</w:t>
      </w:r>
      <w:r w:rsidR="00096A41">
        <w:rPr>
          <w:rFonts w:ascii="Times New Roman" w:hAnsi="Times New Roman"/>
          <w:b/>
          <w:iCs/>
          <w:szCs w:val="24"/>
          <w:lang w:val="en-US"/>
        </w:rPr>
        <w:t>I</w:t>
      </w:r>
      <w:r w:rsidRPr="00D05CBD">
        <w:rPr>
          <w:rFonts w:ascii="Times New Roman" w:hAnsi="Times New Roman"/>
          <w:b/>
          <w:iCs/>
          <w:szCs w:val="24"/>
          <w:lang w:val="ru-RU"/>
        </w:rPr>
        <w:t xml:space="preserve">. </w:t>
      </w:r>
      <w:r w:rsidR="003B286E" w:rsidRPr="0054462A">
        <w:rPr>
          <w:rFonts w:ascii="Times New Roman" w:hAnsi="Times New Roman"/>
          <w:b/>
          <w:iCs/>
          <w:szCs w:val="24"/>
          <w:lang w:val="bg-BG"/>
        </w:rPr>
        <w:t>Участниците могат да извършат оглед на подлежащите на застраховане автомобили.</w:t>
      </w:r>
      <w:r w:rsidR="003B286E" w:rsidRPr="00926DAA">
        <w:rPr>
          <w:rFonts w:ascii="Times New Roman" w:hAnsi="Times New Roman"/>
          <w:i/>
          <w:iCs/>
          <w:szCs w:val="24"/>
          <w:lang w:val="bg-BG"/>
        </w:rPr>
        <w:t xml:space="preserve"> </w:t>
      </w:r>
    </w:p>
    <w:p w:rsidR="003B286E" w:rsidRPr="0054462A" w:rsidRDefault="003B286E" w:rsidP="0054462A">
      <w:pPr>
        <w:ind w:firstLine="708"/>
        <w:jc w:val="both"/>
        <w:rPr>
          <w:rFonts w:ascii="Times New Roman" w:hAnsi="Times New Roman"/>
          <w:iCs/>
          <w:szCs w:val="24"/>
          <w:lang w:val="bg-BG"/>
        </w:rPr>
      </w:pPr>
      <w:r w:rsidRPr="0054462A">
        <w:rPr>
          <w:rFonts w:ascii="Times New Roman" w:hAnsi="Times New Roman"/>
          <w:iCs/>
          <w:szCs w:val="24"/>
          <w:lang w:val="bg-BG"/>
        </w:rPr>
        <w:t xml:space="preserve">Огледът се съгласува с </w:t>
      </w:r>
      <w:r w:rsidR="00774B2B" w:rsidRPr="0054462A">
        <w:rPr>
          <w:rFonts w:ascii="Times New Roman" w:hAnsi="Times New Roman"/>
          <w:iCs/>
          <w:szCs w:val="24"/>
          <w:lang w:val="bg-BG"/>
        </w:rPr>
        <w:t>лиц</w:t>
      </w:r>
      <w:r w:rsidR="00774B2B">
        <w:rPr>
          <w:rFonts w:ascii="Times New Roman" w:hAnsi="Times New Roman"/>
          <w:iCs/>
          <w:szCs w:val="24"/>
          <w:lang w:val="bg-BG"/>
        </w:rPr>
        <w:t>ето</w:t>
      </w:r>
      <w:r w:rsidR="00774B2B" w:rsidRPr="0054462A">
        <w:rPr>
          <w:rFonts w:ascii="Times New Roman" w:hAnsi="Times New Roman"/>
          <w:iCs/>
          <w:szCs w:val="24"/>
          <w:lang w:val="bg-BG"/>
        </w:rPr>
        <w:t xml:space="preserve"> </w:t>
      </w:r>
      <w:r w:rsidRPr="0054462A">
        <w:rPr>
          <w:rFonts w:ascii="Times New Roman" w:hAnsi="Times New Roman"/>
          <w:iCs/>
          <w:szCs w:val="24"/>
          <w:lang w:val="bg-BG"/>
        </w:rPr>
        <w:t>за контакт: Венцислав Георгиев – 0889 279 790.</w:t>
      </w:r>
    </w:p>
    <w:p w:rsidR="003B286E" w:rsidRPr="001B5473" w:rsidRDefault="003B286E" w:rsidP="003B286E">
      <w:pPr>
        <w:ind w:firstLine="720"/>
        <w:rPr>
          <w:b/>
          <w:bCs/>
          <w:lang w:val="bg-BG"/>
        </w:rPr>
        <w:sectPr w:rsidR="003B286E" w:rsidRPr="001B5473" w:rsidSect="00096A41">
          <w:headerReference w:type="default" r:id="rId8"/>
          <w:footerReference w:type="default" r:id="rId9"/>
          <w:pgSz w:w="11906" w:h="16838"/>
          <w:pgMar w:top="1021" w:right="991" w:bottom="1135" w:left="993" w:header="709" w:footer="709" w:gutter="0"/>
          <w:pgNumType w:start="1"/>
          <w:cols w:space="708"/>
          <w:docGrid w:linePitch="360"/>
        </w:sectPr>
      </w:pPr>
    </w:p>
    <w:p w:rsidR="003B286E" w:rsidRPr="00D05CBD" w:rsidRDefault="00B47911" w:rsidP="004E0CC3">
      <w:pPr>
        <w:ind w:firstLine="720"/>
        <w:jc w:val="center"/>
        <w:rPr>
          <w:rFonts w:ascii="Times New Roman" w:hAnsi="Times New Roman"/>
          <w:b/>
          <w:bCs/>
          <w:lang w:val="ru-RU"/>
        </w:rPr>
      </w:pPr>
      <w:r w:rsidRPr="0064419E">
        <w:rPr>
          <w:rFonts w:ascii="Times New Roman" w:hAnsi="Times New Roman"/>
          <w:b/>
          <w:bCs/>
        </w:rPr>
        <w:lastRenderedPageBreak/>
        <w:t>VII</w:t>
      </w:r>
      <w:r w:rsidR="00096A41">
        <w:rPr>
          <w:rFonts w:ascii="Times New Roman" w:hAnsi="Times New Roman"/>
          <w:b/>
          <w:bCs/>
        </w:rPr>
        <w:t>I</w:t>
      </w:r>
      <w:r w:rsidRPr="00D05CBD">
        <w:rPr>
          <w:b/>
          <w:bCs/>
          <w:lang w:val="ru-RU"/>
        </w:rPr>
        <w:t xml:space="preserve">. </w:t>
      </w:r>
      <w:r w:rsidR="003B286E" w:rsidRPr="00D05CBD">
        <w:rPr>
          <w:rFonts w:ascii="Times New Roman" w:hAnsi="Times New Roman"/>
          <w:b/>
          <w:bCs/>
          <w:lang w:val="ru-RU"/>
        </w:rPr>
        <w:t>СПИСЪК НА АВТОМОБИЛИТЕ, ПОЛЗВАНИ ОТ МТИТС, ПОДЛЕЖАЩИ НА ЗАСТРАХОВКА "АВТОКАСКО", "ЗЛОПОЛУКА НА ЛИЦАТА В МПС" И „ГРАЖДАНСКА ОТГОВОРНОСТ“ НА АВТОМОБИЛИСТИТЕ“</w:t>
      </w:r>
    </w:p>
    <w:p w:rsidR="009F1A35" w:rsidRPr="00D05CBD" w:rsidRDefault="009F1A35" w:rsidP="003B286E">
      <w:pPr>
        <w:ind w:firstLine="720"/>
        <w:rPr>
          <w:rFonts w:ascii="Times New Roman" w:hAnsi="Times New Roman"/>
          <w:b/>
          <w:bCs/>
          <w:lang w:val="ru-RU"/>
        </w:rPr>
      </w:pPr>
    </w:p>
    <w:tbl>
      <w:tblPr>
        <w:tblW w:w="1437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010"/>
        <w:gridCol w:w="1705"/>
        <w:gridCol w:w="836"/>
        <w:gridCol w:w="1612"/>
        <w:gridCol w:w="1248"/>
        <w:gridCol w:w="2274"/>
        <w:gridCol w:w="2104"/>
        <w:gridCol w:w="1986"/>
      </w:tblGrid>
      <w:tr w:rsidR="009F1A35" w:rsidRPr="00B96A01" w:rsidTr="00EB322B">
        <w:trPr>
          <w:trHeight w:val="585"/>
          <w:tblHeader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A35" w:rsidRPr="0064419E" w:rsidRDefault="009F1A35" w:rsidP="005F4B31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b/>
                <w:bCs/>
                <w:szCs w:val="24"/>
                <w:lang w:val="bg-BG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b/>
                <w:bCs/>
                <w:szCs w:val="24"/>
                <w:lang w:val="bg-BG"/>
              </w:rPr>
              <w:t>Марка/Модел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b/>
                <w:bCs/>
                <w:szCs w:val="24"/>
                <w:lang w:val="bg-BG"/>
              </w:rPr>
              <w:t>рег. №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b/>
                <w:bCs/>
                <w:szCs w:val="24"/>
                <w:lang w:val="bg-BG"/>
              </w:rPr>
              <w:t>Брой места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b/>
                <w:bCs/>
                <w:szCs w:val="24"/>
                <w:lang w:val="bg-BG"/>
              </w:rPr>
              <w:t>Година на производство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b/>
                <w:bCs/>
                <w:szCs w:val="24"/>
                <w:lang w:val="bg-BG"/>
              </w:rPr>
              <w:t>Обем на двигателя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b/>
                <w:bCs/>
                <w:szCs w:val="24"/>
                <w:lang w:val="bg-BG"/>
              </w:rPr>
              <w:t>Номер на шаси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F1A35" w:rsidRPr="00CE7BE4" w:rsidRDefault="009F1A35" w:rsidP="00EE587A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Срок на </w:t>
            </w:r>
            <w:r w:rsidR="00EE587A" w:rsidRPr="00CE7BE4">
              <w:rPr>
                <w:rFonts w:ascii="Times New Roman" w:hAnsi="Times New Roman"/>
                <w:b/>
                <w:bCs/>
                <w:szCs w:val="24"/>
                <w:lang w:val="bg-BG"/>
              </w:rPr>
              <w:t>застраховане</w:t>
            </w:r>
          </w:p>
        </w:tc>
      </w:tr>
      <w:tr w:rsidR="009F1A35" w:rsidRPr="00B96A01" w:rsidTr="00EB322B">
        <w:trPr>
          <w:trHeight w:val="1050"/>
          <w:tblHeader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F1A35" w:rsidRPr="0064419E" w:rsidRDefault="009F1A35" w:rsidP="005F4B31">
            <w:pPr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1A35" w:rsidRPr="0064419E" w:rsidRDefault="009F1A35" w:rsidP="005F4B31">
            <w:pPr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587A" w:rsidRPr="00CE7BE4" w:rsidRDefault="009F1A35" w:rsidP="00EE587A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b/>
                <w:bCs/>
                <w:szCs w:val="24"/>
                <w:lang w:val="bg-BG"/>
              </w:rPr>
              <w:t>Гражданска отговорност</w:t>
            </w:r>
          </w:p>
          <w:p w:rsidR="002C0688" w:rsidRPr="00CE7BE4" w:rsidRDefault="002C0688" w:rsidP="00EE587A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  <w:p w:rsidR="009F1A35" w:rsidRPr="00CE7BE4" w:rsidRDefault="00EE587A" w:rsidP="00EE587A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b/>
                <w:bCs/>
                <w:szCs w:val="24"/>
                <w:lang w:val="bg-BG"/>
              </w:rPr>
              <w:t>Срок на полиците</w:t>
            </w:r>
            <w:r w:rsidR="009F1A35" w:rsidRPr="00CE7BE4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322B" w:rsidRDefault="009F1A35" w:rsidP="00EE587A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b/>
                <w:bCs/>
                <w:szCs w:val="24"/>
                <w:lang w:val="bg-BG"/>
              </w:rPr>
              <w:t>Каско и злополука на лицата в МПС</w:t>
            </w:r>
          </w:p>
          <w:p w:rsidR="009F1A35" w:rsidRPr="00CE7BE4" w:rsidRDefault="009F1A35" w:rsidP="00EE587A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 </w:t>
            </w:r>
          </w:p>
          <w:p w:rsidR="00EE587A" w:rsidRPr="00CE7BE4" w:rsidRDefault="00EE587A" w:rsidP="00EE587A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b/>
                <w:bCs/>
                <w:szCs w:val="24"/>
                <w:lang w:val="bg-BG"/>
              </w:rPr>
              <w:t>Срок на полиците</w:t>
            </w:r>
          </w:p>
        </w:tc>
      </w:tr>
      <w:tr w:rsidR="009F1A35" w:rsidRPr="006F3D89" w:rsidTr="00EB322B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35" w:rsidRPr="00EE587A" w:rsidRDefault="009F1A35" w:rsidP="005F4B31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 xml:space="preserve">Тойота </w:t>
            </w:r>
            <w:proofErr w:type="spellStart"/>
            <w:r w:rsidRPr="00EE587A">
              <w:rPr>
                <w:rFonts w:ascii="Times New Roman" w:hAnsi="Times New Roman"/>
                <w:sz w:val="20"/>
                <w:lang w:val="bg-BG"/>
              </w:rPr>
              <w:t>Авенсис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 81 21 НТ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1800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SB1BR56L20E050807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CE7BE4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EE587A" w:rsidRPr="00CE7BE4" w:rsidRDefault="002C0688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9F1A35" w:rsidRPr="00CE7BE4" w:rsidRDefault="00EE587A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CE7BE4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EE587A" w:rsidRPr="00CE7BE4" w:rsidRDefault="00CE7BE4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9F1A35" w:rsidRPr="00CE7BE4" w:rsidRDefault="00EE587A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EE587A" w:rsidRPr="006F3D89" w:rsidTr="00EB322B">
        <w:trPr>
          <w:trHeight w:val="118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87A" w:rsidRPr="00EE587A" w:rsidRDefault="00EE587A" w:rsidP="00EE587A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 xml:space="preserve">Тойота </w:t>
            </w:r>
            <w:proofErr w:type="spellStart"/>
            <w:r w:rsidRPr="00EE587A">
              <w:rPr>
                <w:rFonts w:ascii="Times New Roman" w:hAnsi="Times New Roman"/>
                <w:sz w:val="20"/>
                <w:lang w:val="bg-BG"/>
              </w:rPr>
              <w:t>Авенсис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СА 11 67 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SB1BJ56L70E086631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EE587A" w:rsidRPr="006F3D89" w:rsidTr="00EB322B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3.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87A" w:rsidRPr="00EE587A" w:rsidRDefault="00EE587A" w:rsidP="00EE587A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 xml:space="preserve">Тойота </w:t>
            </w:r>
            <w:proofErr w:type="spellStart"/>
            <w:r w:rsidRPr="00EE587A">
              <w:rPr>
                <w:rFonts w:ascii="Times New Roman" w:hAnsi="Times New Roman"/>
                <w:sz w:val="20"/>
                <w:lang w:val="bg-BG"/>
              </w:rPr>
              <w:t>Авенсис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СА 11 69 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SB1BJ56L40E079586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EE587A" w:rsidRPr="006F3D89" w:rsidTr="00761BE8">
        <w:trPr>
          <w:trHeight w:val="132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4.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87A" w:rsidRPr="00EE587A" w:rsidRDefault="00EE587A" w:rsidP="00EE587A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 xml:space="preserve">Тойота </w:t>
            </w:r>
            <w:proofErr w:type="spellStart"/>
            <w:r w:rsidRPr="00EE587A">
              <w:rPr>
                <w:rFonts w:ascii="Times New Roman" w:hAnsi="Times New Roman"/>
                <w:sz w:val="20"/>
                <w:lang w:val="bg-BG"/>
              </w:rPr>
              <w:t>Авенсис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СА 14 96 ММ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SB1BJ56L20E105800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</w:tr>
      <w:tr w:rsidR="00EE587A" w:rsidRPr="006F3D89" w:rsidTr="00EB322B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5.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87A" w:rsidRPr="00EE587A" w:rsidRDefault="00EE587A" w:rsidP="00EE587A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 xml:space="preserve">Тойота </w:t>
            </w:r>
            <w:proofErr w:type="spellStart"/>
            <w:r w:rsidRPr="00EE587A">
              <w:rPr>
                <w:rFonts w:ascii="Times New Roman" w:hAnsi="Times New Roman"/>
                <w:sz w:val="20"/>
                <w:lang w:val="bg-BG"/>
              </w:rPr>
              <w:t>Авенсис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СА 14 97 ММ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SB1BJ56L80E103355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</w:tr>
      <w:tr w:rsidR="00EE587A" w:rsidRPr="006F3D89" w:rsidTr="00EB322B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87A" w:rsidRPr="00EE587A" w:rsidRDefault="00EE587A" w:rsidP="00EE587A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 xml:space="preserve">Тойота </w:t>
            </w:r>
            <w:proofErr w:type="spellStart"/>
            <w:r w:rsidRPr="00EE587A">
              <w:rPr>
                <w:rFonts w:ascii="Times New Roman" w:hAnsi="Times New Roman"/>
                <w:sz w:val="20"/>
                <w:lang w:val="bg-BG"/>
              </w:rPr>
              <w:t>Авенсис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СА 91 22 МК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SB1BJ56L90E107348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</w:tr>
      <w:tr w:rsidR="00EE587A" w:rsidRPr="006F3D89" w:rsidTr="00EB322B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7.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A" w:rsidRPr="00EE587A" w:rsidRDefault="00EE587A" w:rsidP="00EE587A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 xml:space="preserve">Фолксваген </w:t>
            </w:r>
            <w:proofErr w:type="spellStart"/>
            <w:r w:rsidRPr="00EE587A">
              <w:rPr>
                <w:rFonts w:ascii="Times New Roman" w:hAnsi="Times New Roman"/>
                <w:sz w:val="20"/>
                <w:lang w:val="bg-BG"/>
              </w:rPr>
              <w:t>Транспортер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 99 60 НХ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2500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WV2ZZZ7HZ4X031616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EE587A" w:rsidRPr="006F3D89" w:rsidTr="00EB322B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8.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A" w:rsidRPr="00EE587A" w:rsidRDefault="00EE587A" w:rsidP="00EE587A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 xml:space="preserve">Фолксваген </w:t>
            </w:r>
            <w:proofErr w:type="spellStart"/>
            <w:r w:rsidRPr="00EE587A">
              <w:rPr>
                <w:rFonts w:ascii="Times New Roman" w:hAnsi="Times New Roman"/>
                <w:sz w:val="20"/>
                <w:lang w:val="bg-BG"/>
              </w:rPr>
              <w:t>Тигуан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СА 94 49 НР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A" w:rsidRPr="00EE587A" w:rsidRDefault="00EE587A" w:rsidP="00EE587A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WVGZZZ5NZ9W086673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EE587A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</w:tr>
      <w:tr w:rsidR="009F1A35" w:rsidRPr="006F3D89" w:rsidTr="00EB322B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9.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35" w:rsidRPr="00EE587A" w:rsidRDefault="009F1A35" w:rsidP="005F4B31">
            <w:pPr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Пежо 807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СА 00 95 КР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2003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2200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EE587A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E587A">
              <w:rPr>
                <w:rFonts w:ascii="Times New Roman" w:hAnsi="Times New Roman"/>
                <w:sz w:val="20"/>
                <w:lang w:val="bg-BG"/>
              </w:rPr>
              <w:t>VF3EB4HWB13100834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9F1A35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9F1A35" w:rsidRPr="00CE7BE4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D83256" w:rsidRPr="006F3D89" w:rsidTr="00EB322B">
        <w:trPr>
          <w:trHeight w:val="6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A35" w:rsidRPr="0064419E" w:rsidRDefault="009F1A35" w:rsidP="005F4B3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bg-BG"/>
              </w:rPr>
              <w:t>10.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A35" w:rsidRPr="00CE7BE4" w:rsidRDefault="009F1A35" w:rsidP="005F4B31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  <w:lang w:val="bg-BG"/>
              </w:rPr>
              <w:t>Волво</w:t>
            </w:r>
            <w:proofErr w:type="spellEnd"/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Х</w:t>
            </w:r>
            <w:r w:rsidR="00CE7BE4" w:rsidRPr="00CE7BE4">
              <w:rPr>
                <w:rFonts w:ascii="Times New Roman" w:hAnsi="Times New Roman"/>
                <w:sz w:val="20"/>
                <w:lang w:val="bg-BG"/>
              </w:rPr>
              <w:t>Ц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90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CE7BE4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СА 88 77 РМ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CE7BE4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CE7BE4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2006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CE7BE4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2400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35" w:rsidRPr="00CE7BE4" w:rsidRDefault="009F1A35" w:rsidP="005F4B3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YV1CM714471357731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9F1A35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9F1A35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</w:tr>
      <w:tr w:rsidR="00D83256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Транзит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ФТ 430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СА 06 42 ММ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WF0DXXTTFD7P59168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01.01.2021 г.-31.12.2021 г.</w:t>
            </w:r>
          </w:p>
        </w:tc>
      </w:tr>
      <w:tr w:rsidR="006F3D89" w:rsidRPr="006F3D89" w:rsidTr="00EB322B">
        <w:trPr>
          <w:trHeight w:val="123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lastRenderedPageBreak/>
              <w:t>12.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Шкода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Суперб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СА 11 76 ХМ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TMBAE73T1E9046573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Default="00CE7BE4" w:rsidP="00761BE8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  <w:p w:rsidR="00761BE8" w:rsidRPr="00CE7BE4" w:rsidRDefault="00761BE8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</w:tr>
      <w:tr w:rsidR="006F3D89" w:rsidRPr="006F3D89" w:rsidTr="00761BE8">
        <w:trPr>
          <w:trHeight w:val="12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Шкода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Суперб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СА 11 78 ХМ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TMBAE73T5E9047175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761BE8">
        <w:trPr>
          <w:trHeight w:val="127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Шкода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Суперб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СА 11 79 ТМ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TMBCC93T6D9031480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EB322B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01.01.2021 г.-31.12.2021 г.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EB322B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</w:tr>
      <w:tr w:rsidR="006F3D89" w:rsidRPr="006F3D89" w:rsidTr="00EB322B">
        <w:trPr>
          <w:trHeight w:val="118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Ландровер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Дискавъри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СА 90 51 ХР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SALLAAAM6EA720639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22B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01.01.2020 г.-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3B7D46" w:rsidP="003B7D4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13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t>1</w:t>
            </w:r>
            <w:r w:rsidRPr="0064419E">
              <w:rPr>
                <w:rFonts w:ascii="Times New Roman" w:hAnsi="Times New Roman"/>
                <w:szCs w:val="24"/>
                <w:lang w:val="bg-BG"/>
              </w:rPr>
              <w:t>6</w:t>
            </w:r>
            <w:r w:rsidRPr="006441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Мицубиши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Паджеро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СА 60 08 ТК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JMBLYV98WDJ400268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CE7BE4" w:rsidRPr="00CE7BE4" w:rsidRDefault="00CE7BE4" w:rsidP="00CE7BE4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CE7BE4" w:rsidP="00761BE8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CE7BE4" w:rsidRDefault="003B7D46" w:rsidP="003B7D4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lastRenderedPageBreak/>
              <w:t>1</w:t>
            </w:r>
            <w:r w:rsidRPr="0064419E">
              <w:rPr>
                <w:rFonts w:ascii="Times New Roman" w:hAnsi="Times New Roman"/>
                <w:szCs w:val="24"/>
                <w:lang w:val="bg-BG"/>
              </w:rPr>
              <w:t>7</w:t>
            </w:r>
            <w:r w:rsidRPr="006441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Шкода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Суперб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СВ 36 10 АХ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TMBAJ9NP3G7031949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19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11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18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.1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994030" w:rsidP="00761BE8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19</w:t>
            </w:r>
            <w:r w:rsidR="003B7D46"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11.2021 г.-18</w:t>
            </w:r>
            <w:r w:rsidR="003B7D46"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11</w:t>
            </w:r>
            <w:r w:rsidR="003B7D46"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="003B7D46" w:rsidRPr="00CE7BE4">
              <w:rPr>
                <w:rFonts w:ascii="Times New Roman" w:hAnsi="Times New Roman"/>
                <w:sz w:val="20"/>
                <w:lang w:val="bg-BG"/>
              </w:rPr>
              <w:t xml:space="preserve"> г.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EB322B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3B7D46" w:rsidRPr="00EB322B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B322B" w:rsidRDefault="003B7D46" w:rsidP="003B7D4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12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bg-BG"/>
              </w:rPr>
              <w:t>18</w:t>
            </w:r>
            <w:r w:rsidRPr="006441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Фолксваген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Пасат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СВ 38 75 ВС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WVWZZZ3CZGE11</w:t>
            </w:r>
            <w:r w:rsidR="00BA2508" w:rsidRPr="00CE7BE4">
              <w:rPr>
                <w:rFonts w:ascii="Times New Roman" w:hAnsi="Times New Roman"/>
                <w:sz w:val="20"/>
                <w:lang w:val="bg-BG"/>
              </w:rPr>
              <w:t>8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661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30" w:rsidRPr="00CE7BE4" w:rsidRDefault="00994030" w:rsidP="0099403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23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12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22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.1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994030" w:rsidRPr="00CE7BE4" w:rsidRDefault="00994030" w:rsidP="0099403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994030" w:rsidP="00EB322B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23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12.2021 г.-22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12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EB322B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3B7D46" w:rsidRPr="00EB322B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994030" w:rsidRPr="00EB322B" w:rsidRDefault="003B7D46" w:rsidP="00EB322B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 xml:space="preserve">01.01.2021 г.-31.12.2021 г. </w:t>
            </w:r>
          </w:p>
        </w:tc>
      </w:tr>
      <w:tr w:rsidR="006F3D89" w:rsidRPr="006F3D89" w:rsidTr="00EB322B">
        <w:trPr>
          <w:trHeight w:val="140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bg-BG"/>
              </w:rPr>
              <w:t>19</w:t>
            </w:r>
            <w:r w:rsidRPr="0064419E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Волво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ХЦ 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СВ 48 57 ММ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6+1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YV1LF68TCJ1353848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30" w:rsidRPr="00CE7BE4" w:rsidRDefault="00765FD0" w:rsidP="0099403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0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3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0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2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1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994030" w:rsidRPr="00CE7BE4" w:rsidRDefault="00994030" w:rsidP="0099403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765FD0" w:rsidP="00EB322B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0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3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.2021 г.-</w:t>
            </w:r>
            <w:r>
              <w:rPr>
                <w:rFonts w:ascii="Times New Roman" w:hAnsi="Times New Roman"/>
                <w:sz w:val="20"/>
                <w:lang w:val="bg-BG"/>
              </w:rPr>
              <w:t>0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2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 w:rsidR="00994030">
              <w:rPr>
                <w:rFonts w:ascii="Times New Roman" w:hAnsi="Times New Roman"/>
                <w:sz w:val="20"/>
                <w:lang w:val="bg-BG"/>
              </w:rPr>
              <w:t>2</w:t>
            </w:r>
            <w:r w:rsidR="00994030" w:rsidRPr="00CE7BE4">
              <w:rPr>
                <w:rFonts w:ascii="Times New Roman" w:hAnsi="Times New Roman"/>
                <w:sz w:val="20"/>
                <w:lang w:val="bg-BG"/>
              </w:rPr>
              <w:t xml:space="preserve"> г.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EB322B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3B7D46" w:rsidRPr="00EB322B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B322B" w:rsidRDefault="003B7D46" w:rsidP="003B7D46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EB322B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64419E">
              <w:rPr>
                <w:rFonts w:ascii="Times New Roman" w:hAnsi="Times New Roman"/>
                <w:szCs w:val="24"/>
                <w:lang w:val="bg-BG"/>
              </w:rPr>
              <w:t>0</w:t>
            </w:r>
            <w:r w:rsidRPr="0064419E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Волво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ХЦ 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СВ 48 60 ММ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6+1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YV1LF68TCJ1352324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03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02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Default="00765FD0" w:rsidP="00EB322B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03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04.2021 г.-02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1BE8" w:rsidRPr="00E975F8" w:rsidRDefault="00761BE8" w:rsidP="00EB322B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64419E">
              <w:rPr>
                <w:rFonts w:ascii="Times New Roman" w:hAnsi="Times New Roman"/>
                <w:szCs w:val="24"/>
                <w:lang w:val="bg-BG"/>
              </w:rPr>
              <w:t>1</w:t>
            </w:r>
            <w:r w:rsidRPr="0064419E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Транзит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Кустом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СВ 48 61 ММ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8+1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WF03XXTTG3JY15163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03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02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Default="00765FD0" w:rsidP="00EB322B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03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04.2021 г.-02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04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 </w:t>
            </w:r>
          </w:p>
          <w:p w:rsidR="00761BE8" w:rsidRPr="00E975F8" w:rsidRDefault="00761BE8" w:rsidP="00EB322B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bg-BG"/>
              </w:rPr>
              <w:lastRenderedPageBreak/>
              <w:t>22</w:t>
            </w:r>
            <w:r w:rsidRPr="006441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Мондео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СВ5378 НК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4+1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2018</w:t>
            </w:r>
          </w:p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WF0DXXWPCDJG47703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765FD0" w:rsidP="00765FD0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01.2021 г.-27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98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t>2</w:t>
            </w:r>
            <w:r w:rsidRPr="0064419E">
              <w:rPr>
                <w:rFonts w:ascii="Times New Roman" w:hAnsi="Times New Roman"/>
                <w:szCs w:val="24"/>
                <w:lang w:val="bg-BG"/>
              </w:rPr>
              <w:t>3</w:t>
            </w:r>
            <w:r w:rsidRPr="006441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Мондео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СВ5379 НК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4+1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WF0DXXWPCDJG47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635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765FD0" w:rsidP="00765FD0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01.2021 г.-27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</w:rPr>
              <w:t>2</w:t>
            </w:r>
            <w:r w:rsidRPr="0064419E">
              <w:rPr>
                <w:rFonts w:ascii="Times New Roman" w:hAnsi="Times New Roman"/>
                <w:szCs w:val="24"/>
                <w:lang w:val="bg-BG"/>
              </w:rPr>
              <w:t>4</w:t>
            </w:r>
            <w:r w:rsidRPr="0064419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Мондео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СВ5374 НК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4+1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WF0DXXWPCDJG47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889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765FD0" w:rsidP="00765FD0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01.2021 г.-27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bg-BG"/>
              </w:rPr>
              <w:t>25</w:t>
            </w:r>
            <w:r w:rsidRPr="0064419E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Мондео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СВ5375 НК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4+1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WF0DXXWPCDJG47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932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765FD0" w:rsidP="00765FD0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01.2021 г.-27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bg-BG"/>
              </w:rPr>
              <w:t>26</w:t>
            </w:r>
            <w:r w:rsidRPr="0064419E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Мондео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СВ5380 НК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4+1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WF0DXXWPCDJG47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765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765FD0" w:rsidP="00765FD0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01.2021 г.-27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bg-BG"/>
              </w:rPr>
              <w:t>27</w:t>
            </w:r>
            <w:r w:rsidRPr="0064419E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E061E1" w:rsidP="00E061E1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Торнео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Къ</w:t>
            </w:r>
            <w:r w:rsidR="006F3D89" w:rsidRPr="00CE7BE4">
              <w:rPr>
                <w:rFonts w:ascii="Times New Roman" w:hAnsi="Times New Roman"/>
                <w:sz w:val="20"/>
              </w:rPr>
              <w:t>ст</w:t>
            </w:r>
            <w:proofErr w:type="spellEnd"/>
            <w:r w:rsidRPr="00CE7BE4">
              <w:rPr>
                <w:rFonts w:ascii="Times New Roman" w:hAnsi="Times New Roman"/>
                <w:sz w:val="20"/>
                <w:lang w:val="bg-BG"/>
              </w:rPr>
              <w:t>ъ</w:t>
            </w:r>
            <w:r w:rsidR="006F3D89" w:rsidRPr="00CE7BE4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СВ5377 НК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</w:rPr>
              <w:t>8+1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E061E1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WF0</w:t>
            </w:r>
            <w:r w:rsidR="00E061E1" w:rsidRPr="00CE7BE4">
              <w:rPr>
                <w:rFonts w:ascii="Times New Roman" w:hAnsi="Times New Roman"/>
                <w:sz w:val="20"/>
                <w:lang w:val="bg-BG"/>
              </w:rPr>
              <w:t>3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XX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TT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G3JG89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814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765FD0" w:rsidP="00765FD0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01.2021 г.-27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  <w:tr w:rsidR="006F3D89" w:rsidRPr="006F3D89" w:rsidTr="00EB322B">
        <w:trPr>
          <w:trHeight w:val="6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1954BD" w:rsidRDefault="006F3D89" w:rsidP="006F3D89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4419E">
              <w:rPr>
                <w:rFonts w:ascii="Times New Roman" w:hAnsi="Times New Roman"/>
                <w:szCs w:val="24"/>
                <w:lang w:val="bg-BG"/>
              </w:rPr>
              <w:lastRenderedPageBreak/>
              <w:t>28</w:t>
            </w:r>
            <w:r w:rsidRPr="0064419E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D89" w:rsidRPr="00CE7BE4" w:rsidRDefault="006F3D89" w:rsidP="006F3D89">
            <w:pPr>
              <w:rPr>
                <w:rFonts w:ascii="Times New Roman" w:hAnsi="Times New Roman"/>
                <w:sz w:val="20"/>
                <w:lang w:val="bg-BG"/>
              </w:rPr>
            </w:pPr>
            <w:proofErr w:type="spellStart"/>
            <w:r w:rsidRPr="00CE7BE4">
              <w:rPr>
                <w:rFonts w:ascii="Times New Roman" w:hAnsi="Times New Roman"/>
                <w:sz w:val="20"/>
              </w:rPr>
              <w:t>Форд</w:t>
            </w:r>
            <w:proofErr w:type="spellEnd"/>
            <w:r w:rsidRPr="00CE7BE4">
              <w:rPr>
                <w:rFonts w:ascii="Times New Roman" w:hAnsi="Times New Roman"/>
                <w:sz w:val="20"/>
              </w:rPr>
              <w:t xml:space="preserve"> С-</w:t>
            </w:r>
            <w:proofErr w:type="spellStart"/>
            <w:r w:rsidRPr="00CE7BE4">
              <w:rPr>
                <w:rFonts w:ascii="Times New Roman" w:hAnsi="Times New Roman"/>
                <w:sz w:val="20"/>
              </w:rPr>
              <w:t>Макс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СВ5376 НК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6+1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en-US"/>
              </w:rPr>
              <w:t>2000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89" w:rsidRPr="00CE7BE4" w:rsidRDefault="006F3D89" w:rsidP="006F3D89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WF0JXX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WPCJJ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G</w:t>
            </w:r>
            <w:r w:rsidRPr="00CE7BE4">
              <w:rPr>
                <w:rFonts w:ascii="Times New Roman" w:hAnsi="Times New Roman"/>
                <w:sz w:val="20"/>
                <w:lang w:val="en-US"/>
              </w:rPr>
              <w:t>61771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.2020 г.-</w:t>
            </w:r>
            <w:r>
              <w:rPr>
                <w:rFonts w:ascii="Times New Roman" w:hAnsi="Times New Roman"/>
                <w:sz w:val="20"/>
                <w:lang w:val="bg-BG"/>
              </w:rPr>
              <w:t>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г. </w:t>
            </w:r>
          </w:p>
          <w:p w:rsidR="00765FD0" w:rsidRPr="00CE7BE4" w:rsidRDefault="00765FD0" w:rsidP="00765FD0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765FD0" w:rsidP="00765FD0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01.2021 г.-27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</w:t>
            </w:r>
            <w:r>
              <w:rPr>
                <w:rFonts w:ascii="Times New Roman" w:hAnsi="Times New Roman"/>
                <w:sz w:val="20"/>
                <w:lang w:val="bg-BG"/>
              </w:rPr>
              <w:t>01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>.202</w:t>
            </w:r>
            <w:r>
              <w:rPr>
                <w:rFonts w:ascii="Times New Roman" w:hAnsi="Times New Roman"/>
                <w:sz w:val="20"/>
                <w:lang w:val="bg-BG"/>
              </w:rPr>
              <w:t>2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 г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28</w:t>
            </w: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.01.2020 г.-31.12.2020 г. </w:t>
            </w:r>
          </w:p>
          <w:p w:rsidR="003B7D46" w:rsidRPr="00CE7BE4" w:rsidRDefault="003B7D46" w:rsidP="003B7D46">
            <w:pPr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>и</w:t>
            </w:r>
          </w:p>
          <w:p w:rsidR="006F3D89" w:rsidRPr="00E975F8" w:rsidRDefault="003B7D46" w:rsidP="003B7D46">
            <w:pPr>
              <w:jc w:val="center"/>
              <w:rPr>
                <w:rFonts w:ascii="Times New Roman" w:hAnsi="Times New Roman"/>
                <w:szCs w:val="24"/>
                <w:highlight w:val="yellow"/>
                <w:lang w:val="bg-BG"/>
              </w:rPr>
            </w:pPr>
            <w:r w:rsidRPr="00CE7BE4">
              <w:rPr>
                <w:rFonts w:ascii="Times New Roman" w:hAnsi="Times New Roman"/>
                <w:sz w:val="20"/>
                <w:lang w:val="bg-BG"/>
              </w:rPr>
              <w:t xml:space="preserve">01.01.2021 г.-31.12.2021 г.  </w:t>
            </w:r>
          </w:p>
        </w:tc>
      </w:tr>
    </w:tbl>
    <w:p w:rsidR="003B286E" w:rsidRPr="00765FD0" w:rsidRDefault="003B286E" w:rsidP="00765FD0">
      <w:pPr>
        <w:spacing w:after="160" w:line="259" w:lineRule="auto"/>
        <w:rPr>
          <w:b/>
          <w:bCs/>
        </w:rPr>
        <w:sectPr w:rsidR="003B286E" w:rsidRPr="00765FD0" w:rsidSect="005F4B31">
          <w:pgSz w:w="16838" w:h="11906" w:orient="landscape"/>
          <w:pgMar w:top="1304" w:right="1021" w:bottom="1191" w:left="1134" w:header="709" w:footer="709" w:gutter="0"/>
          <w:pgNumType w:start="1"/>
          <w:cols w:space="708"/>
          <w:docGrid w:linePitch="360"/>
        </w:sectPr>
      </w:pPr>
    </w:p>
    <w:p w:rsidR="003B286E" w:rsidRPr="00173710" w:rsidRDefault="00734810" w:rsidP="007E71D6">
      <w:pPr>
        <w:pStyle w:val="TOC1"/>
        <w:tabs>
          <w:tab w:val="left" w:pos="440"/>
          <w:tab w:val="left" w:pos="1134"/>
          <w:tab w:val="right" w:leader="dot" w:pos="9060"/>
        </w:tabs>
        <w:spacing w:after="60"/>
        <w:ind w:firstLine="709"/>
        <w:jc w:val="center"/>
        <w:rPr>
          <w:b/>
          <w:iCs/>
          <w:sz w:val="24"/>
          <w:szCs w:val="24"/>
          <w:u w:val="single"/>
          <w:lang w:val="bg-BG" w:eastAsia="bg-BG"/>
        </w:rPr>
      </w:pPr>
      <w:r w:rsidRPr="00173710">
        <w:rPr>
          <w:b/>
          <w:iCs/>
          <w:sz w:val="24"/>
          <w:szCs w:val="24"/>
          <w:u w:val="single"/>
          <w:lang w:val="bg-BG" w:eastAsia="bg-BG"/>
        </w:rPr>
        <w:lastRenderedPageBreak/>
        <w:t xml:space="preserve">ЧАСТ </w:t>
      </w:r>
      <w:r w:rsidR="00D83256" w:rsidRPr="00173710">
        <w:rPr>
          <w:b/>
          <w:iCs/>
          <w:sz w:val="24"/>
          <w:szCs w:val="24"/>
          <w:u w:val="single"/>
          <w:lang w:eastAsia="bg-BG"/>
        </w:rPr>
        <w:t>II</w:t>
      </w:r>
      <w:r w:rsidR="00D83256" w:rsidRPr="004E0CC3">
        <w:rPr>
          <w:b/>
          <w:iCs/>
          <w:sz w:val="24"/>
          <w:szCs w:val="24"/>
          <w:u w:val="single"/>
          <w:lang w:val="ru-RU" w:eastAsia="bg-BG"/>
        </w:rPr>
        <w:t xml:space="preserve">.2. </w:t>
      </w:r>
      <w:r w:rsidR="003B286E" w:rsidRPr="00173710">
        <w:rPr>
          <w:b/>
          <w:iCs/>
          <w:sz w:val="24"/>
          <w:szCs w:val="24"/>
          <w:u w:val="single"/>
          <w:lang w:val="bg-BG" w:eastAsia="bg-BG"/>
        </w:rPr>
        <w:t>ТЕХНИЧЕСКА СПЕЦИФИКАЦИЯ ЗА ОБОСОБЕНА ПОЗИЦИЯ № 2:</w:t>
      </w:r>
    </w:p>
    <w:p w:rsidR="003B286E" w:rsidRPr="00D934C0" w:rsidRDefault="003B286E" w:rsidP="007E71D6">
      <w:pPr>
        <w:pStyle w:val="TOC1"/>
        <w:tabs>
          <w:tab w:val="left" w:pos="440"/>
          <w:tab w:val="left" w:pos="1134"/>
          <w:tab w:val="right" w:leader="dot" w:pos="9060"/>
        </w:tabs>
        <w:spacing w:after="60"/>
        <w:ind w:firstLine="709"/>
        <w:jc w:val="center"/>
        <w:rPr>
          <w:i/>
          <w:iCs/>
          <w:sz w:val="24"/>
          <w:szCs w:val="24"/>
          <w:lang w:val="bg-BG" w:eastAsia="bg-BG"/>
        </w:rPr>
      </w:pPr>
      <w:r w:rsidRPr="00D934C0">
        <w:rPr>
          <w:i/>
          <w:iCs/>
          <w:sz w:val="24"/>
          <w:szCs w:val="24"/>
          <w:lang w:val="bg-BG" w:eastAsia="bg-BG"/>
        </w:rPr>
        <w:t>„Застраховка на недвижими имоти – държавна собственост, предоставени за управление на Министерството на транспорта, информационните технологии и съобщенията“</w:t>
      </w:r>
    </w:p>
    <w:p w:rsidR="00731F94" w:rsidRDefault="00731F94" w:rsidP="007E71D6">
      <w:pPr>
        <w:pStyle w:val="TOC1"/>
        <w:tabs>
          <w:tab w:val="left" w:pos="440"/>
          <w:tab w:val="left" w:pos="709"/>
          <w:tab w:val="right" w:leader="dot" w:pos="9060"/>
        </w:tabs>
        <w:spacing w:after="60"/>
        <w:jc w:val="both"/>
        <w:rPr>
          <w:b/>
          <w:iCs/>
          <w:sz w:val="24"/>
          <w:szCs w:val="24"/>
          <w:lang w:val="ru-RU" w:eastAsia="bg-BG"/>
        </w:rPr>
      </w:pPr>
    </w:p>
    <w:p w:rsidR="003B286E" w:rsidRPr="00D934C0" w:rsidRDefault="00136A9E" w:rsidP="007E71D6">
      <w:pPr>
        <w:pStyle w:val="TOC1"/>
        <w:tabs>
          <w:tab w:val="left" w:pos="440"/>
          <w:tab w:val="left" w:pos="709"/>
          <w:tab w:val="right" w:leader="dot" w:pos="9060"/>
        </w:tabs>
        <w:spacing w:after="60"/>
        <w:jc w:val="both"/>
        <w:rPr>
          <w:b/>
          <w:iCs/>
          <w:sz w:val="24"/>
          <w:szCs w:val="24"/>
          <w:lang w:val="bg-BG" w:eastAsia="bg-BG"/>
        </w:rPr>
      </w:pPr>
      <w:r w:rsidRPr="004E0CC3">
        <w:rPr>
          <w:b/>
          <w:iCs/>
          <w:sz w:val="24"/>
          <w:szCs w:val="24"/>
          <w:lang w:val="ru-RU" w:eastAsia="bg-BG"/>
        </w:rPr>
        <w:tab/>
      </w:r>
      <w:r w:rsidRPr="004E0CC3">
        <w:rPr>
          <w:b/>
          <w:iCs/>
          <w:sz w:val="24"/>
          <w:szCs w:val="24"/>
          <w:lang w:val="ru-RU" w:eastAsia="bg-BG"/>
        </w:rPr>
        <w:tab/>
      </w:r>
      <w:r w:rsidR="003C66E1">
        <w:rPr>
          <w:b/>
          <w:iCs/>
          <w:sz w:val="24"/>
          <w:szCs w:val="24"/>
          <w:lang w:eastAsia="bg-BG"/>
        </w:rPr>
        <w:t>I</w:t>
      </w:r>
      <w:r w:rsidR="003C66E1" w:rsidRPr="004E0CC3">
        <w:rPr>
          <w:b/>
          <w:iCs/>
          <w:sz w:val="24"/>
          <w:szCs w:val="24"/>
          <w:lang w:val="ru-RU" w:eastAsia="bg-BG"/>
        </w:rPr>
        <w:t>.</w:t>
      </w:r>
      <w:r w:rsidR="003C66E1">
        <w:rPr>
          <w:b/>
          <w:iCs/>
          <w:sz w:val="24"/>
          <w:szCs w:val="24"/>
          <w:lang w:val="bg-BG" w:eastAsia="bg-BG"/>
        </w:rPr>
        <w:t xml:space="preserve"> </w:t>
      </w:r>
      <w:r w:rsidR="003B286E" w:rsidRPr="00D934C0">
        <w:rPr>
          <w:b/>
          <w:iCs/>
          <w:sz w:val="24"/>
          <w:szCs w:val="24"/>
          <w:lang w:val="bg-BG" w:eastAsia="bg-BG"/>
        </w:rPr>
        <w:t>Условия за изпълнение на поръчката:</w:t>
      </w:r>
    </w:p>
    <w:p w:rsidR="003B286E" w:rsidRPr="00D934C0" w:rsidRDefault="003B286E" w:rsidP="007E71D6">
      <w:pPr>
        <w:pStyle w:val="TOC1"/>
        <w:numPr>
          <w:ilvl w:val="0"/>
          <w:numId w:val="18"/>
        </w:numPr>
        <w:tabs>
          <w:tab w:val="left" w:pos="142"/>
          <w:tab w:val="left" w:pos="720"/>
          <w:tab w:val="left" w:pos="993"/>
        </w:tabs>
        <w:spacing w:after="60"/>
        <w:ind w:hanging="11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 xml:space="preserve">Застраховането да е без </w:t>
      </w:r>
      <w:proofErr w:type="spellStart"/>
      <w:r w:rsidRPr="007E71D6">
        <w:rPr>
          <w:b/>
          <w:iCs/>
          <w:sz w:val="24"/>
          <w:szCs w:val="24"/>
          <w:lang w:val="bg-BG" w:eastAsia="bg-BG"/>
        </w:rPr>
        <w:t>самоучастие</w:t>
      </w:r>
      <w:proofErr w:type="spellEnd"/>
      <w:r w:rsidRPr="007E71D6">
        <w:rPr>
          <w:b/>
          <w:iCs/>
          <w:sz w:val="24"/>
          <w:szCs w:val="24"/>
          <w:lang w:val="bg-BG" w:eastAsia="bg-BG"/>
        </w:rPr>
        <w:t>/</w:t>
      </w:r>
      <w:proofErr w:type="spellStart"/>
      <w:r w:rsidRPr="007E71D6">
        <w:rPr>
          <w:b/>
          <w:iCs/>
          <w:sz w:val="24"/>
          <w:szCs w:val="24"/>
          <w:lang w:val="bg-BG" w:eastAsia="bg-BG"/>
        </w:rPr>
        <w:t>франшиз</w:t>
      </w:r>
      <w:proofErr w:type="spellEnd"/>
      <w:r w:rsidRPr="00D934C0">
        <w:rPr>
          <w:iCs/>
          <w:sz w:val="24"/>
          <w:szCs w:val="24"/>
          <w:lang w:val="bg-BG" w:eastAsia="bg-BG"/>
        </w:rPr>
        <w:t xml:space="preserve"> от страна на министерството;</w:t>
      </w:r>
    </w:p>
    <w:p w:rsidR="003B286E" w:rsidRPr="00D934C0" w:rsidRDefault="003B286E" w:rsidP="007E71D6">
      <w:pPr>
        <w:pStyle w:val="TOC1"/>
        <w:numPr>
          <w:ilvl w:val="0"/>
          <w:numId w:val="18"/>
        </w:numPr>
        <w:tabs>
          <w:tab w:val="left" w:pos="440"/>
          <w:tab w:val="left" w:pos="720"/>
          <w:tab w:val="left" w:pos="993"/>
        </w:tabs>
        <w:spacing w:after="60"/>
        <w:ind w:left="0" w:firstLine="709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При отпадане на имот, включен за застраховане в Таблица № 1 от тази Техническа спецификация, преди сключването на договор, за него не се издава полица, сторнира се общата застрахователна премия, като тя се намалява с размера на премията, посочена за този имот в Ценово</w:t>
      </w:r>
      <w:r>
        <w:rPr>
          <w:iCs/>
          <w:sz w:val="24"/>
          <w:szCs w:val="24"/>
          <w:lang w:val="bg-BG" w:eastAsia="bg-BG"/>
        </w:rPr>
        <w:t xml:space="preserve">то </w:t>
      </w:r>
      <w:r w:rsidRPr="00D934C0">
        <w:rPr>
          <w:iCs/>
          <w:sz w:val="24"/>
          <w:szCs w:val="24"/>
          <w:lang w:val="bg-BG" w:eastAsia="bg-BG"/>
        </w:rPr>
        <w:t>предложение</w:t>
      </w:r>
      <w:r>
        <w:rPr>
          <w:iCs/>
          <w:sz w:val="24"/>
          <w:szCs w:val="24"/>
          <w:lang w:val="bg-BG" w:eastAsia="bg-BG"/>
        </w:rPr>
        <w:t xml:space="preserve"> за тази обособена позиция - образец</w:t>
      </w:r>
      <w:r w:rsidRPr="00D934C0">
        <w:rPr>
          <w:iCs/>
          <w:sz w:val="24"/>
          <w:szCs w:val="24"/>
          <w:lang w:val="bg-BG" w:eastAsia="bg-BG"/>
        </w:rPr>
        <w:t>;</w:t>
      </w:r>
    </w:p>
    <w:p w:rsidR="003B286E" w:rsidRPr="00D934C0" w:rsidRDefault="003B286E" w:rsidP="007E71D6">
      <w:pPr>
        <w:pStyle w:val="TOC1"/>
        <w:numPr>
          <w:ilvl w:val="0"/>
          <w:numId w:val="18"/>
        </w:numPr>
        <w:tabs>
          <w:tab w:val="left" w:pos="440"/>
          <w:tab w:val="left" w:pos="709"/>
          <w:tab w:val="left" w:pos="993"/>
        </w:tabs>
        <w:spacing w:after="60"/>
        <w:ind w:left="0" w:firstLine="709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При новопридобити имоти от МТИТС, в рамките на срока на договора, имотите да се застраховат при същите застрахователни условия;</w:t>
      </w:r>
    </w:p>
    <w:p w:rsidR="003B286E" w:rsidRPr="00D934C0" w:rsidRDefault="003B286E" w:rsidP="007E71D6">
      <w:pPr>
        <w:pStyle w:val="TOC1"/>
        <w:numPr>
          <w:ilvl w:val="0"/>
          <w:numId w:val="18"/>
        </w:numPr>
        <w:tabs>
          <w:tab w:val="left" w:pos="440"/>
          <w:tab w:val="left" w:pos="709"/>
          <w:tab w:val="left" w:pos="993"/>
        </w:tabs>
        <w:spacing w:after="60"/>
        <w:ind w:left="0" w:firstLine="709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При отпадане от управление на застраховани от възложителя имоти, следва да се прекратят застрахователните полици на тези имоти, да се сторнира платената за тях застрахователна премия и да се възстанови надплатеното;</w:t>
      </w:r>
    </w:p>
    <w:p w:rsidR="003B286E" w:rsidRDefault="003B286E" w:rsidP="007E71D6">
      <w:pPr>
        <w:pStyle w:val="TOC1"/>
        <w:numPr>
          <w:ilvl w:val="0"/>
          <w:numId w:val="18"/>
        </w:numPr>
        <w:tabs>
          <w:tab w:val="left" w:pos="440"/>
          <w:tab w:val="left" w:pos="709"/>
          <w:tab w:val="left" w:pos="993"/>
        </w:tabs>
        <w:spacing w:after="60"/>
        <w:ind w:left="0" w:firstLine="709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 xml:space="preserve">Застрахователните суми на сградите да бъдат равни на балансовите им стойности, </w:t>
      </w:r>
      <w:r w:rsidRPr="00DA31A4">
        <w:rPr>
          <w:iCs/>
          <w:sz w:val="24"/>
          <w:szCs w:val="24"/>
          <w:lang w:val="bg-BG" w:eastAsia="bg-BG"/>
        </w:rPr>
        <w:t>посочени в таблицата по-долу.</w:t>
      </w:r>
    </w:p>
    <w:p w:rsidR="00731F94" w:rsidRPr="00731F94" w:rsidRDefault="00731F94" w:rsidP="00731F94">
      <w:pPr>
        <w:tabs>
          <w:tab w:val="left" w:pos="709"/>
        </w:tabs>
        <w:spacing w:after="60"/>
        <w:ind w:firstLine="709"/>
        <w:jc w:val="both"/>
        <w:rPr>
          <w:rFonts w:ascii="Times New Roman" w:hAnsi="Times New Roman"/>
          <w:iCs/>
          <w:szCs w:val="24"/>
          <w:lang w:val="bg-BG"/>
        </w:rPr>
      </w:pPr>
      <w:r w:rsidRPr="00731F94">
        <w:rPr>
          <w:rFonts w:ascii="Times New Roman" w:hAnsi="Times New Roman"/>
          <w:iCs/>
          <w:szCs w:val="24"/>
          <w:lang w:val="bg-BG"/>
        </w:rPr>
        <w:t>6. Ако по обективни причини поръчката не може да бъде финализирана до началото на срока на съответната застраховка, или ако по обективни причини комисията не е приключила работа по избор на застраховател, участниците в допустимите случаи по Кодекса за застраховането предоставят предварително покритие до сключването на окончателен договор с писмо за застрахователно покритие за срока от началото на действие на същата застраховка до датата на подписване на застрахователна/и полица/и за нея.</w:t>
      </w:r>
    </w:p>
    <w:p w:rsidR="00915A3A" w:rsidRDefault="00731F94" w:rsidP="00731F94">
      <w:pPr>
        <w:pStyle w:val="TOC1"/>
        <w:tabs>
          <w:tab w:val="left" w:pos="440"/>
          <w:tab w:val="left" w:pos="709"/>
          <w:tab w:val="left" w:pos="993"/>
        </w:tabs>
        <w:spacing w:after="60"/>
        <w:ind w:firstLine="360"/>
        <w:jc w:val="both"/>
        <w:rPr>
          <w:iCs/>
          <w:sz w:val="24"/>
          <w:szCs w:val="24"/>
          <w:lang w:val="bg-BG" w:eastAsia="bg-BG"/>
        </w:rPr>
      </w:pPr>
      <w:r>
        <w:rPr>
          <w:iCs/>
          <w:sz w:val="24"/>
          <w:szCs w:val="24"/>
          <w:lang w:val="bg-BG" w:eastAsia="bg-BG"/>
        </w:rPr>
        <w:tab/>
      </w:r>
      <w:r>
        <w:rPr>
          <w:iCs/>
          <w:sz w:val="24"/>
          <w:szCs w:val="24"/>
          <w:lang w:val="bg-BG" w:eastAsia="bg-BG"/>
        </w:rPr>
        <w:tab/>
        <w:t xml:space="preserve">7. </w:t>
      </w:r>
      <w:r w:rsidR="003B286E" w:rsidRPr="00DA31A4">
        <w:rPr>
          <w:iCs/>
          <w:sz w:val="24"/>
          <w:szCs w:val="24"/>
          <w:lang w:val="bg-BG" w:eastAsia="bg-BG"/>
        </w:rPr>
        <w:t>След изтичане срока на застрахователния договор, при нето квота на щетите от 0 до 40%</w:t>
      </w:r>
      <w:r>
        <w:rPr>
          <w:iCs/>
          <w:sz w:val="24"/>
          <w:szCs w:val="24"/>
          <w:lang w:val="bg-BG" w:eastAsia="bg-BG"/>
        </w:rPr>
        <w:t xml:space="preserve"> (вкл.)</w:t>
      </w:r>
      <w:r w:rsidR="003B286E" w:rsidRPr="00DA31A4">
        <w:rPr>
          <w:iCs/>
          <w:sz w:val="24"/>
          <w:szCs w:val="24"/>
          <w:lang w:val="bg-BG" w:eastAsia="bg-BG"/>
        </w:rPr>
        <w:t xml:space="preserve"> участникът/застрахователят ще осигури на застрахования/Министерството на транспорта, информационните технологии и съобщенията %  -но участие в реализирания положителен финансов резултат.</w:t>
      </w:r>
      <w:r w:rsidR="002A03D1">
        <w:rPr>
          <w:iCs/>
          <w:sz w:val="24"/>
          <w:szCs w:val="24"/>
          <w:lang w:val="bg-BG" w:eastAsia="bg-BG"/>
        </w:rPr>
        <w:t xml:space="preserve"> </w:t>
      </w:r>
    </w:p>
    <w:p w:rsidR="00915A3A" w:rsidRPr="00082698" w:rsidRDefault="00162200" w:rsidP="00731F94">
      <w:pPr>
        <w:pStyle w:val="TOC1"/>
        <w:tabs>
          <w:tab w:val="left" w:pos="440"/>
          <w:tab w:val="left" w:pos="709"/>
          <w:tab w:val="left" w:pos="993"/>
        </w:tabs>
        <w:spacing w:after="60"/>
        <w:ind w:firstLine="360"/>
        <w:jc w:val="both"/>
        <w:rPr>
          <w:i/>
          <w:iCs/>
          <w:sz w:val="24"/>
          <w:szCs w:val="24"/>
          <w:lang w:val="bg-BG" w:eastAsia="bg-BG"/>
        </w:rPr>
      </w:pPr>
      <w:r>
        <w:rPr>
          <w:i/>
          <w:iCs/>
          <w:sz w:val="24"/>
          <w:szCs w:val="24"/>
          <w:lang w:val="bg-BG" w:eastAsia="bg-BG"/>
        </w:rPr>
        <w:tab/>
      </w:r>
      <w:r>
        <w:rPr>
          <w:i/>
          <w:iCs/>
          <w:sz w:val="24"/>
          <w:szCs w:val="24"/>
          <w:lang w:val="bg-BG" w:eastAsia="bg-BG"/>
        </w:rPr>
        <w:tab/>
      </w:r>
      <w:r w:rsidR="00082698" w:rsidRPr="00082698">
        <w:rPr>
          <w:i/>
          <w:iCs/>
          <w:sz w:val="24"/>
          <w:szCs w:val="24"/>
          <w:lang w:val="bg-BG" w:eastAsia="bg-BG"/>
        </w:rPr>
        <w:t>Забележка:</w:t>
      </w:r>
    </w:p>
    <w:p w:rsidR="00915A3A" w:rsidRPr="00915A3A" w:rsidRDefault="00915A3A" w:rsidP="00162200">
      <w:pPr>
        <w:pStyle w:val="ListParagraph"/>
        <w:numPr>
          <w:ilvl w:val="0"/>
          <w:numId w:val="21"/>
        </w:numPr>
        <w:tabs>
          <w:tab w:val="left" w:pos="993"/>
        </w:tabs>
        <w:ind w:hanging="11"/>
        <w:rPr>
          <w:rFonts w:ascii="Times New Roman" w:hAnsi="Times New Roman"/>
        </w:rPr>
      </w:pPr>
      <w:r w:rsidRPr="00915A3A">
        <w:rPr>
          <w:rFonts w:ascii="Times New Roman" w:hAnsi="Times New Roman"/>
        </w:rPr>
        <w:t>Положителният финансов резултат се определя като разлика между внесената нето-премия и изплатените обезщетения през застрахователния период;</w:t>
      </w:r>
    </w:p>
    <w:p w:rsidR="00915A3A" w:rsidRPr="00915A3A" w:rsidRDefault="00915A3A" w:rsidP="00162200">
      <w:pPr>
        <w:pStyle w:val="ListParagraph"/>
        <w:numPr>
          <w:ilvl w:val="0"/>
          <w:numId w:val="21"/>
        </w:numPr>
        <w:tabs>
          <w:tab w:val="left" w:pos="993"/>
        </w:tabs>
        <w:ind w:hanging="11"/>
        <w:rPr>
          <w:rFonts w:ascii="Times New Roman" w:hAnsi="Times New Roman"/>
        </w:rPr>
      </w:pPr>
      <w:r w:rsidRPr="00915A3A">
        <w:rPr>
          <w:rFonts w:ascii="Times New Roman" w:hAnsi="Times New Roman"/>
        </w:rPr>
        <w:t xml:space="preserve">Нето-премията е равна на начислената премия намалена с </w:t>
      </w:r>
      <w:r w:rsidR="00082698">
        <w:rPr>
          <w:rFonts w:ascii="Times New Roman" w:hAnsi="Times New Roman"/>
        </w:rPr>
        <w:t>%</w:t>
      </w:r>
      <w:r w:rsidRPr="00915A3A">
        <w:rPr>
          <w:rFonts w:ascii="Times New Roman" w:hAnsi="Times New Roman"/>
        </w:rPr>
        <w:t xml:space="preserve"> административни разходи;</w:t>
      </w:r>
    </w:p>
    <w:p w:rsidR="00915A3A" w:rsidRPr="00915A3A" w:rsidRDefault="00915A3A" w:rsidP="00162200">
      <w:pPr>
        <w:pStyle w:val="ListParagraph"/>
        <w:numPr>
          <w:ilvl w:val="0"/>
          <w:numId w:val="21"/>
        </w:numPr>
        <w:tabs>
          <w:tab w:val="left" w:pos="440"/>
          <w:tab w:val="left" w:pos="709"/>
          <w:tab w:val="left" w:pos="993"/>
        </w:tabs>
        <w:spacing w:after="60"/>
        <w:ind w:hanging="11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15A3A">
        <w:rPr>
          <w:rFonts w:ascii="Times New Roman" w:hAnsi="Times New Roman"/>
        </w:rPr>
        <w:t xml:space="preserve">Участие в положителния финансов резултат – връщане на определен </w:t>
      </w:r>
      <w:r w:rsidR="00082698">
        <w:rPr>
          <w:rFonts w:ascii="Times New Roman" w:hAnsi="Times New Roman"/>
        </w:rPr>
        <w:t>%</w:t>
      </w:r>
      <w:r w:rsidRPr="00915A3A">
        <w:rPr>
          <w:rFonts w:ascii="Times New Roman" w:hAnsi="Times New Roman"/>
        </w:rPr>
        <w:t xml:space="preserve"> от положителния финансов резултат ако нето-квотата на щетите по застраховката не надвишава 40 %;</w:t>
      </w:r>
    </w:p>
    <w:p w:rsidR="00915A3A" w:rsidRPr="00915A3A" w:rsidRDefault="00915A3A" w:rsidP="00162200">
      <w:pPr>
        <w:pStyle w:val="ListParagraph"/>
        <w:numPr>
          <w:ilvl w:val="0"/>
          <w:numId w:val="21"/>
        </w:numPr>
        <w:tabs>
          <w:tab w:val="left" w:pos="440"/>
          <w:tab w:val="left" w:pos="709"/>
          <w:tab w:val="left" w:pos="993"/>
        </w:tabs>
        <w:spacing w:after="60"/>
        <w:ind w:hanging="11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15A3A">
        <w:rPr>
          <w:rFonts w:ascii="Times New Roman" w:hAnsi="Times New Roman"/>
          <w:iCs/>
          <w:sz w:val="24"/>
          <w:szCs w:val="24"/>
        </w:rPr>
        <w:t>Нето-квотата на щетите се изчислява по следната формула:</w:t>
      </w:r>
    </w:p>
    <w:p w:rsidR="003B286E" w:rsidRPr="00162200" w:rsidRDefault="003B286E" w:rsidP="00162200">
      <w:pPr>
        <w:pStyle w:val="ListParagraph"/>
        <w:tabs>
          <w:tab w:val="left" w:pos="993"/>
        </w:tabs>
        <w:ind w:left="142" w:hanging="11"/>
        <w:jc w:val="both"/>
        <w:rPr>
          <w:rFonts w:ascii="Times New Roman" w:hAnsi="Times New Roman"/>
          <w:iCs/>
          <w:sz w:val="20"/>
          <w:szCs w:val="20"/>
        </w:rPr>
      </w:pPr>
      <w:r w:rsidRPr="00915A3A">
        <w:rPr>
          <w:rFonts w:ascii="Times New Roman" w:hAnsi="Times New Roman"/>
          <w:iCs/>
          <w:sz w:val="24"/>
          <w:szCs w:val="24"/>
        </w:rPr>
        <w:tab/>
      </w:r>
      <w:r w:rsidRPr="00915A3A">
        <w:rPr>
          <w:rFonts w:ascii="Times New Roman" w:hAnsi="Times New Roman"/>
          <w:iCs/>
          <w:sz w:val="24"/>
          <w:szCs w:val="24"/>
        </w:rPr>
        <w:tab/>
      </w:r>
    </w:p>
    <w:p w:rsidR="00DA31A4" w:rsidRPr="00162200" w:rsidRDefault="00DA31A4" w:rsidP="00162200">
      <w:pPr>
        <w:pStyle w:val="ListParagraph"/>
        <w:tabs>
          <w:tab w:val="left" w:pos="993"/>
        </w:tabs>
        <w:spacing w:after="0"/>
        <w:ind w:left="4247" w:hanging="11"/>
        <w:rPr>
          <w:rFonts w:ascii="Times New Roman" w:hAnsi="Times New Roman"/>
          <w:b/>
          <w:iCs/>
          <w:sz w:val="18"/>
          <w:szCs w:val="18"/>
        </w:rPr>
      </w:pPr>
      <w:r w:rsidRPr="00162200">
        <w:rPr>
          <w:rFonts w:ascii="Times New Roman" w:hAnsi="Times New Roman"/>
          <w:sz w:val="18"/>
          <w:szCs w:val="18"/>
        </w:rPr>
        <w:t xml:space="preserve">изплатени обезщетения </w:t>
      </w:r>
      <w:r w:rsidRPr="00162200">
        <w:rPr>
          <w:rFonts w:ascii="Times New Roman" w:hAnsi="Times New Roman"/>
          <w:b/>
          <w:sz w:val="18"/>
          <w:szCs w:val="18"/>
        </w:rPr>
        <w:t>+</w:t>
      </w:r>
      <w:r w:rsidRPr="00162200">
        <w:rPr>
          <w:rFonts w:ascii="Times New Roman" w:hAnsi="Times New Roman"/>
          <w:sz w:val="18"/>
          <w:szCs w:val="18"/>
        </w:rPr>
        <w:t xml:space="preserve"> предявени, но не изплатени обезщетения</w:t>
      </w:r>
    </w:p>
    <w:p w:rsidR="003B286E" w:rsidRPr="00162200" w:rsidRDefault="00162200" w:rsidP="00162200">
      <w:pPr>
        <w:tabs>
          <w:tab w:val="left" w:pos="993"/>
        </w:tabs>
        <w:ind w:left="4253" w:hanging="3544"/>
        <w:rPr>
          <w:rFonts w:ascii="Times New Roman" w:hAnsi="Times New Roman"/>
          <w:iCs/>
          <w:sz w:val="18"/>
          <w:szCs w:val="18"/>
          <w:lang w:val="bg-BG"/>
        </w:rPr>
      </w:pPr>
      <w:r w:rsidRPr="00162200">
        <w:rPr>
          <w:rFonts w:ascii="Times New Roman" w:hAnsi="Times New Roman"/>
          <w:b/>
          <w:iCs/>
          <w:szCs w:val="24"/>
          <w:lang w:val="bg-BG"/>
        </w:rPr>
        <w:tab/>
      </w:r>
      <w:r w:rsidR="003B286E" w:rsidRPr="00162200">
        <w:rPr>
          <w:rFonts w:ascii="Times New Roman" w:hAnsi="Times New Roman"/>
          <w:b/>
          <w:iCs/>
          <w:szCs w:val="24"/>
          <w:lang w:val="bg-BG"/>
        </w:rPr>
        <w:t>Нето-</w:t>
      </w:r>
      <w:r w:rsidR="003B286E" w:rsidRPr="00162200">
        <w:rPr>
          <w:rFonts w:ascii="Times New Roman" w:hAnsi="Times New Roman"/>
          <w:b/>
          <w:szCs w:val="24"/>
          <w:lang w:val="bg-BG"/>
        </w:rPr>
        <w:t>квотата на щетите</w:t>
      </w:r>
      <w:r w:rsidR="003B286E" w:rsidRPr="00162200">
        <w:rPr>
          <w:rFonts w:ascii="Times New Roman" w:hAnsi="Times New Roman"/>
          <w:szCs w:val="24"/>
          <w:lang w:val="bg-BG"/>
        </w:rPr>
        <w:t xml:space="preserve"> =</w:t>
      </w:r>
      <w:r w:rsidR="003B286E" w:rsidRPr="00162200">
        <w:rPr>
          <w:rFonts w:ascii="Times New Roman" w:hAnsi="Times New Roman"/>
          <w:lang w:val="bg-BG"/>
        </w:rPr>
        <w:t xml:space="preserve"> </w:t>
      </w:r>
      <w:r w:rsidR="00DA31A4" w:rsidRPr="00162200">
        <w:rPr>
          <w:rFonts w:ascii="Times New Roman" w:hAnsi="Times New Roman"/>
          <w:lang w:val="bg-BG"/>
        </w:rPr>
        <w:t xml:space="preserve">-------------------------------------------------------------------------  </w:t>
      </w:r>
      <w:r w:rsidRPr="00162200">
        <w:rPr>
          <w:rFonts w:ascii="Times New Roman" w:hAnsi="Times New Roman"/>
          <w:lang w:val="bg-BG"/>
        </w:rPr>
        <w:t xml:space="preserve">  </w:t>
      </w:r>
      <w:r w:rsidR="00DA31A4" w:rsidRPr="00162200">
        <w:rPr>
          <w:rFonts w:ascii="Times New Roman" w:hAnsi="Times New Roman"/>
          <w:iCs/>
          <w:sz w:val="18"/>
          <w:szCs w:val="18"/>
          <w:lang w:val="bg-BG"/>
        </w:rPr>
        <w:t xml:space="preserve">застрахователна </w:t>
      </w:r>
      <w:r w:rsidR="003B286E" w:rsidRPr="00162200">
        <w:rPr>
          <w:rFonts w:ascii="Times New Roman" w:hAnsi="Times New Roman"/>
          <w:iCs/>
          <w:sz w:val="18"/>
          <w:szCs w:val="18"/>
          <w:lang w:val="bg-BG"/>
        </w:rPr>
        <w:t xml:space="preserve">премия </w:t>
      </w:r>
      <w:r w:rsidR="003B286E" w:rsidRPr="00162200">
        <w:rPr>
          <w:rFonts w:ascii="Times New Roman" w:hAnsi="Times New Roman"/>
          <w:b/>
          <w:iCs/>
          <w:sz w:val="18"/>
          <w:szCs w:val="18"/>
          <w:lang w:val="bg-BG"/>
        </w:rPr>
        <w:t>–</w:t>
      </w:r>
      <w:r w:rsidR="003B286E" w:rsidRPr="00162200">
        <w:rPr>
          <w:rFonts w:ascii="Times New Roman" w:hAnsi="Times New Roman"/>
          <w:iCs/>
          <w:sz w:val="18"/>
          <w:szCs w:val="18"/>
          <w:lang w:val="bg-BG"/>
        </w:rPr>
        <w:t xml:space="preserve"> административно-стопански разходи</w:t>
      </w:r>
    </w:p>
    <w:p w:rsidR="00915A3A" w:rsidRPr="00162200" w:rsidRDefault="00915A3A" w:rsidP="00162200">
      <w:pPr>
        <w:pStyle w:val="ListParagraph"/>
        <w:tabs>
          <w:tab w:val="left" w:pos="993"/>
        </w:tabs>
        <w:ind w:left="1440" w:hanging="11"/>
        <w:rPr>
          <w:rFonts w:ascii="Times New Roman" w:hAnsi="Times New Roman"/>
          <w:lang w:eastAsia="en-GB"/>
        </w:rPr>
      </w:pPr>
    </w:p>
    <w:p w:rsidR="00915A3A" w:rsidRPr="00915A3A" w:rsidRDefault="00915A3A" w:rsidP="00162200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ind w:left="709" w:hanging="11"/>
        <w:rPr>
          <w:rFonts w:ascii="Times New Roman" w:hAnsi="Times New Roman"/>
          <w:lang w:eastAsia="en-GB"/>
        </w:rPr>
      </w:pPr>
      <w:r w:rsidRPr="00915A3A">
        <w:rPr>
          <w:rFonts w:ascii="Times New Roman" w:hAnsi="Times New Roman"/>
          <w:lang w:eastAsia="en-GB"/>
        </w:rPr>
        <w:t>Участникът посочва само една стойност на % участие в положителния финансов резултат, валидна при обем на щетите в границите от 0% до 40 %;</w:t>
      </w:r>
    </w:p>
    <w:p w:rsidR="00915A3A" w:rsidRDefault="00915A3A" w:rsidP="00162200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ind w:hanging="731"/>
        <w:rPr>
          <w:rFonts w:ascii="Times New Roman" w:hAnsi="Times New Roman"/>
          <w:lang w:eastAsia="en-GB"/>
        </w:rPr>
      </w:pPr>
      <w:r w:rsidRPr="00915A3A">
        <w:rPr>
          <w:rFonts w:ascii="Times New Roman" w:hAnsi="Times New Roman"/>
          <w:lang w:eastAsia="en-GB"/>
        </w:rPr>
        <w:t>Участниците изрично посочват размера на административни разходи,  в %</w:t>
      </w:r>
      <w:r>
        <w:rPr>
          <w:rFonts w:ascii="Times New Roman" w:hAnsi="Times New Roman"/>
          <w:lang w:eastAsia="en-GB"/>
        </w:rPr>
        <w:t>.</w:t>
      </w:r>
    </w:p>
    <w:p w:rsidR="00915A3A" w:rsidRDefault="00915A3A" w:rsidP="005F4B31">
      <w:pPr>
        <w:pStyle w:val="TOC1"/>
        <w:tabs>
          <w:tab w:val="left" w:pos="426"/>
          <w:tab w:val="left" w:pos="709"/>
          <w:tab w:val="right" w:leader="dot" w:pos="9060"/>
        </w:tabs>
        <w:spacing w:after="60"/>
        <w:jc w:val="both"/>
        <w:rPr>
          <w:b/>
          <w:iCs/>
          <w:sz w:val="24"/>
          <w:szCs w:val="24"/>
          <w:lang w:val="bg-BG" w:eastAsia="bg-BG"/>
        </w:rPr>
      </w:pPr>
    </w:p>
    <w:p w:rsidR="00915A3A" w:rsidRDefault="00915A3A" w:rsidP="005F4B31">
      <w:pPr>
        <w:pStyle w:val="TOC1"/>
        <w:tabs>
          <w:tab w:val="left" w:pos="426"/>
          <w:tab w:val="left" w:pos="709"/>
          <w:tab w:val="right" w:leader="dot" w:pos="9060"/>
        </w:tabs>
        <w:spacing w:after="60"/>
        <w:jc w:val="both"/>
        <w:rPr>
          <w:b/>
          <w:iCs/>
          <w:sz w:val="24"/>
          <w:szCs w:val="24"/>
          <w:lang w:val="bg-BG" w:eastAsia="bg-BG"/>
        </w:rPr>
      </w:pPr>
    </w:p>
    <w:p w:rsidR="00915A3A" w:rsidRDefault="001954BD" w:rsidP="005F4B31">
      <w:pPr>
        <w:pStyle w:val="TOC1"/>
        <w:tabs>
          <w:tab w:val="left" w:pos="426"/>
          <w:tab w:val="left" w:pos="709"/>
          <w:tab w:val="right" w:leader="dot" w:pos="9060"/>
        </w:tabs>
        <w:spacing w:after="60"/>
        <w:jc w:val="both"/>
        <w:rPr>
          <w:b/>
          <w:iCs/>
          <w:sz w:val="24"/>
          <w:szCs w:val="24"/>
          <w:lang w:val="bg-BG" w:eastAsia="bg-BG"/>
        </w:rPr>
      </w:pPr>
      <w:r>
        <w:rPr>
          <w:b/>
          <w:iCs/>
          <w:sz w:val="24"/>
          <w:szCs w:val="24"/>
          <w:lang w:val="bg-BG" w:eastAsia="bg-BG"/>
        </w:rPr>
        <w:tab/>
      </w:r>
      <w:r>
        <w:rPr>
          <w:b/>
          <w:iCs/>
          <w:sz w:val="24"/>
          <w:szCs w:val="24"/>
          <w:lang w:val="bg-BG" w:eastAsia="bg-BG"/>
        </w:rPr>
        <w:tab/>
      </w:r>
    </w:p>
    <w:p w:rsidR="003B286E" w:rsidRDefault="008F0BB6" w:rsidP="005F4B31">
      <w:pPr>
        <w:pStyle w:val="TOC1"/>
        <w:tabs>
          <w:tab w:val="left" w:pos="426"/>
          <w:tab w:val="left" w:pos="709"/>
          <w:tab w:val="right" w:leader="dot" w:pos="9060"/>
        </w:tabs>
        <w:spacing w:after="60"/>
        <w:jc w:val="both"/>
        <w:rPr>
          <w:b/>
          <w:iCs/>
          <w:sz w:val="24"/>
          <w:szCs w:val="24"/>
          <w:lang w:val="bg-BG" w:eastAsia="bg-BG"/>
        </w:rPr>
      </w:pPr>
      <w:r w:rsidRPr="00EB322B">
        <w:rPr>
          <w:b/>
          <w:iCs/>
          <w:sz w:val="24"/>
          <w:szCs w:val="24"/>
          <w:lang w:val="ru-RU" w:eastAsia="bg-BG"/>
        </w:rPr>
        <w:lastRenderedPageBreak/>
        <w:tab/>
      </w:r>
      <w:r w:rsidRPr="00EB322B">
        <w:rPr>
          <w:b/>
          <w:iCs/>
          <w:sz w:val="24"/>
          <w:szCs w:val="24"/>
          <w:lang w:val="ru-RU" w:eastAsia="bg-BG"/>
        </w:rPr>
        <w:tab/>
      </w:r>
      <w:r w:rsidR="005F4B31">
        <w:rPr>
          <w:b/>
          <w:iCs/>
          <w:sz w:val="24"/>
          <w:szCs w:val="24"/>
          <w:lang w:eastAsia="bg-BG"/>
        </w:rPr>
        <w:t>II</w:t>
      </w:r>
      <w:r w:rsidR="005F4B31" w:rsidRPr="00DA31A4">
        <w:rPr>
          <w:b/>
          <w:iCs/>
          <w:sz w:val="24"/>
          <w:szCs w:val="24"/>
          <w:lang w:val="ru-RU" w:eastAsia="bg-BG"/>
        </w:rPr>
        <w:t xml:space="preserve">. </w:t>
      </w:r>
      <w:r w:rsidR="003B286E" w:rsidRPr="00D934C0">
        <w:rPr>
          <w:b/>
          <w:iCs/>
          <w:sz w:val="24"/>
          <w:szCs w:val="24"/>
          <w:lang w:val="bg-BG" w:eastAsia="bg-BG"/>
        </w:rPr>
        <w:t xml:space="preserve">Покрити рискове по застраховката </w:t>
      </w:r>
      <w:r w:rsidR="00160E94">
        <w:rPr>
          <w:b/>
          <w:iCs/>
          <w:sz w:val="24"/>
          <w:szCs w:val="24"/>
          <w:lang w:val="bg-BG" w:eastAsia="bg-BG"/>
        </w:rPr>
        <w:t xml:space="preserve">и описание на </w:t>
      </w:r>
      <w:r w:rsidR="003B286E" w:rsidRPr="00D934C0">
        <w:rPr>
          <w:b/>
          <w:iCs/>
          <w:sz w:val="24"/>
          <w:szCs w:val="24"/>
          <w:lang w:val="bg-BG" w:eastAsia="bg-BG"/>
        </w:rPr>
        <w:t>сградите:</w:t>
      </w:r>
    </w:p>
    <w:p w:rsidR="005F4B31" w:rsidRDefault="005F4B31" w:rsidP="00EB103F">
      <w:pPr>
        <w:spacing w:before="120" w:after="60"/>
        <w:ind w:firstLine="720"/>
        <w:jc w:val="both"/>
        <w:rPr>
          <w:lang w:val="bg-BG"/>
        </w:rPr>
      </w:pPr>
      <w:r w:rsidRPr="005F4B31">
        <w:rPr>
          <w:rFonts w:ascii="Times New Roman" w:hAnsi="Times New Roman"/>
          <w:b/>
          <w:szCs w:val="24"/>
          <w:u w:val="single"/>
          <w:lang w:val="bg-BG"/>
        </w:rPr>
        <w:t>Покрити рискове: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Пожар, и последиците от гасенето му, мълния, експлозия, имплозия, удар от летателни апарати или от падащи от тях части и предмети;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Природни бедствия – буря, градушка, проливен дъжд, наводнение, ураган, увреждане от тежест от натрупване на сняг и/или лед, увреждане от падащи клони и дървета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Земетресение;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Злоумишлени действия на трети лица, вандализъм, вкл. злоумишлен пожар и злоумишлена експлозия;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Изтичане на вода и пара;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Авария на водопроводни канализационни, отоплителни и климатични инсталации;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Свличане или срутване на земни пластове и/или действие на подпочвени води;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Късо съединение и токов удар;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Удар от пътно превозно средство;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Счупване на стъкла;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 xml:space="preserve">Изтичане на вода от </w:t>
      </w:r>
      <w:proofErr w:type="spellStart"/>
      <w:r w:rsidRPr="00D934C0">
        <w:rPr>
          <w:iCs/>
          <w:sz w:val="24"/>
          <w:szCs w:val="24"/>
          <w:lang w:val="bg-BG" w:eastAsia="bg-BG"/>
        </w:rPr>
        <w:t>спринклерни</w:t>
      </w:r>
      <w:proofErr w:type="spellEnd"/>
      <w:r w:rsidRPr="00D934C0">
        <w:rPr>
          <w:iCs/>
          <w:sz w:val="24"/>
          <w:szCs w:val="24"/>
          <w:lang w:val="bg-BG" w:eastAsia="bg-BG"/>
        </w:rPr>
        <w:t xml:space="preserve"> инсталации;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Ударна/звукова вълна;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Разходи за разчистване на развалини и останки;</w:t>
      </w:r>
    </w:p>
    <w:p w:rsidR="003B286E" w:rsidRPr="00D934C0" w:rsidRDefault="003B286E" w:rsidP="00277577">
      <w:pPr>
        <w:pStyle w:val="TOC1"/>
        <w:numPr>
          <w:ilvl w:val="1"/>
          <w:numId w:val="6"/>
        </w:numPr>
        <w:tabs>
          <w:tab w:val="left" w:pos="440"/>
          <w:tab w:val="left" w:pos="710"/>
          <w:tab w:val="right" w:leader="dot" w:pos="851"/>
        </w:tabs>
        <w:spacing w:after="60"/>
        <w:ind w:left="0" w:firstLine="71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Гражданска отговорност на Застрахования, възникнала вследствие проявление на покрит по полицата риск.</w:t>
      </w:r>
    </w:p>
    <w:p w:rsidR="003B286E" w:rsidRDefault="003B286E" w:rsidP="003B286E">
      <w:pPr>
        <w:pStyle w:val="TOC1"/>
        <w:tabs>
          <w:tab w:val="left" w:pos="440"/>
          <w:tab w:val="left" w:pos="1134"/>
          <w:tab w:val="right" w:leader="dot" w:pos="9060"/>
        </w:tabs>
        <w:spacing w:after="60"/>
        <w:jc w:val="both"/>
        <w:rPr>
          <w:iCs/>
          <w:sz w:val="24"/>
          <w:szCs w:val="24"/>
          <w:lang w:val="bg-BG" w:eastAsia="bg-BG"/>
        </w:rPr>
      </w:pPr>
      <w:r w:rsidRPr="00D934C0">
        <w:rPr>
          <w:iCs/>
          <w:sz w:val="24"/>
          <w:szCs w:val="24"/>
          <w:lang w:val="bg-BG" w:eastAsia="bg-BG"/>
        </w:rPr>
        <w:t>Участниците да декларират покритие на всички посочени от възложителя рискове, независимо от покритията, описани в Общите им условия.</w:t>
      </w:r>
    </w:p>
    <w:p w:rsidR="00712C92" w:rsidRDefault="00712C92" w:rsidP="00EB103F">
      <w:pPr>
        <w:rPr>
          <w:lang w:val="bg-BG"/>
        </w:rPr>
      </w:pPr>
    </w:p>
    <w:p w:rsidR="00712C92" w:rsidRPr="00EB103F" w:rsidRDefault="00712C92" w:rsidP="00EB103F">
      <w:pPr>
        <w:ind w:firstLine="708"/>
        <w:rPr>
          <w:rFonts w:ascii="Times New Roman" w:hAnsi="Times New Roman"/>
          <w:b/>
          <w:u w:val="single"/>
          <w:lang w:val="bg-BG"/>
        </w:rPr>
      </w:pPr>
      <w:r w:rsidRPr="00EB103F">
        <w:rPr>
          <w:rFonts w:ascii="Times New Roman" w:hAnsi="Times New Roman"/>
          <w:b/>
          <w:u w:val="single"/>
          <w:lang w:val="bg-BG"/>
        </w:rPr>
        <w:t>Сгради, подлежащи на застраховане</w:t>
      </w:r>
      <w:r>
        <w:rPr>
          <w:rFonts w:ascii="Times New Roman" w:hAnsi="Times New Roman"/>
          <w:b/>
          <w:lang w:val="bg-BG"/>
        </w:rPr>
        <w:t xml:space="preserve"> – Таблица № 1</w:t>
      </w:r>
    </w:p>
    <w:p w:rsidR="00712C92" w:rsidRPr="00B34524" w:rsidRDefault="00712C92" w:rsidP="00EB103F">
      <w:pPr>
        <w:jc w:val="right"/>
        <w:rPr>
          <w:rFonts w:ascii="Times New Roman" w:hAnsi="Times New Roman"/>
          <w:b/>
          <w:lang w:val="bg-BG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030"/>
        <w:gridCol w:w="2161"/>
      </w:tblGrid>
      <w:tr w:rsidR="00712C92" w:rsidRPr="005F4B31" w:rsidTr="004717B3">
        <w:trPr>
          <w:tblHeader/>
        </w:trPr>
        <w:tc>
          <w:tcPr>
            <w:tcW w:w="478" w:type="dxa"/>
            <w:shd w:val="clear" w:color="auto" w:fill="D9D9D9"/>
            <w:vAlign w:val="center"/>
          </w:tcPr>
          <w:p w:rsidR="00712C92" w:rsidRPr="005F4B31" w:rsidRDefault="00712C92" w:rsidP="004717B3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lang w:val="bg-BG"/>
              </w:rPr>
            </w:pPr>
            <w:r w:rsidRPr="005F4B31">
              <w:rPr>
                <w:rFonts w:ascii="Times New Roman" w:hAnsi="Times New Roman"/>
                <w:b/>
                <w:color w:val="000000"/>
                <w:lang w:val="bg-BG"/>
              </w:rPr>
              <w:t>№</w:t>
            </w:r>
          </w:p>
        </w:tc>
        <w:tc>
          <w:tcPr>
            <w:tcW w:w="7030" w:type="dxa"/>
            <w:shd w:val="clear" w:color="auto" w:fill="D9D9D9"/>
            <w:vAlign w:val="center"/>
          </w:tcPr>
          <w:p w:rsidR="00712C92" w:rsidRPr="005F4B31" w:rsidRDefault="00712C92" w:rsidP="004717B3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lang w:val="bg-BG"/>
              </w:rPr>
            </w:pPr>
            <w:r w:rsidRPr="005F4B31">
              <w:rPr>
                <w:rFonts w:ascii="Times New Roman" w:hAnsi="Times New Roman"/>
                <w:b/>
                <w:color w:val="000000"/>
                <w:lang w:val="bg-BG"/>
              </w:rPr>
              <w:t>Административна сграда</w:t>
            </w:r>
          </w:p>
        </w:tc>
        <w:tc>
          <w:tcPr>
            <w:tcW w:w="2161" w:type="dxa"/>
            <w:shd w:val="clear" w:color="auto" w:fill="D9D9D9"/>
            <w:vAlign w:val="center"/>
          </w:tcPr>
          <w:p w:rsidR="00712C92" w:rsidRPr="005F4B31" w:rsidRDefault="00712C92" w:rsidP="004717B3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lang w:val="bg-BG"/>
              </w:rPr>
            </w:pPr>
            <w:r w:rsidRPr="005F4B31">
              <w:rPr>
                <w:rFonts w:ascii="Times New Roman" w:hAnsi="Times New Roman"/>
                <w:b/>
                <w:color w:val="000000"/>
                <w:lang w:val="bg-BG"/>
              </w:rPr>
              <w:t>Балансова стойност в лева</w:t>
            </w:r>
          </w:p>
        </w:tc>
      </w:tr>
      <w:tr w:rsidR="00712C92" w:rsidRPr="005F4B31" w:rsidTr="004717B3">
        <w:tc>
          <w:tcPr>
            <w:tcW w:w="478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color w:val="000000"/>
                <w:lang w:val="bg-BG"/>
              </w:rPr>
              <w:t>1.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lang w:val="bg-BG"/>
              </w:rPr>
              <w:t>Административна сграда с идентификатор № 68134.100.274.8.1, ул. „Дякон Игнатий” № 11 – 19 нива (18 етажа и 1 приземен етаж)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7 379 958,24 лева</w:t>
            </w:r>
          </w:p>
        </w:tc>
      </w:tr>
      <w:tr w:rsidR="00712C92" w:rsidRPr="005F4B31" w:rsidTr="004717B3">
        <w:tc>
          <w:tcPr>
            <w:tcW w:w="478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color w:val="000000"/>
                <w:lang w:val="bg-BG"/>
              </w:rPr>
              <w:t>2.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line="276" w:lineRule="auto"/>
              <w:jc w:val="both"/>
              <w:rPr>
                <w:rFonts w:ascii="Times New Roman" w:eastAsia="Calibri" w:hAnsi="Times New Roman"/>
                <w:lang w:val="bg-BG"/>
              </w:rPr>
            </w:pPr>
            <w:r w:rsidRPr="00FC6ACF">
              <w:rPr>
                <w:rFonts w:ascii="Times New Roman" w:hAnsi="Times New Roman"/>
                <w:lang w:val="bg-BG"/>
              </w:rPr>
              <w:t>Ресторант на 18-ти етаж в административна сграда с идентификатор № 68134.100.274.8.1, ул. „Дякон Игнатий” № 11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359 627,27 лева</w:t>
            </w:r>
          </w:p>
        </w:tc>
      </w:tr>
      <w:tr w:rsidR="00712C92" w:rsidRPr="005F4B31" w:rsidTr="004717B3">
        <w:tc>
          <w:tcPr>
            <w:tcW w:w="478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color w:val="000000"/>
                <w:lang w:val="bg-BG"/>
              </w:rPr>
              <w:t>3.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lang w:val="bg-BG"/>
              </w:rPr>
              <w:t>Административна сграда с идентификатор № 68134.100.274.7, ул. „Дякон Игнатий” № 9 – 2 етажа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764 364,43 лева</w:t>
            </w:r>
          </w:p>
        </w:tc>
      </w:tr>
      <w:tr w:rsidR="00712C92" w:rsidRPr="005F4B31" w:rsidTr="004717B3">
        <w:tc>
          <w:tcPr>
            <w:tcW w:w="478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color w:val="000000"/>
                <w:lang w:val="bg-BG"/>
              </w:rPr>
              <w:t>4.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rPr>
                <w:rFonts w:ascii="Times New Roman" w:eastAsia="Calibri" w:hAnsi="Times New Roman"/>
                <w:lang w:val="bg-BG"/>
              </w:rPr>
            </w:pPr>
            <w:r w:rsidRPr="00FC6ACF">
              <w:rPr>
                <w:rFonts w:ascii="Times New Roman" w:hAnsi="Times New Roman"/>
                <w:lang w:val="bg-BG"/>
              </w:rPr>
              <w:t>Кафе-бюфет в административна сграда с идентификатор № 68134.100.274.7, ул. „Дякон Игнатий” № 9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33 238,67 лева</w:t>
            </w:r>
          </w:p>
        </w:tc>
      </w:tr>
      <w:tr w:rsidR="00712C92" w:rsidRPr="005F4B31" w:rsidTr="004717B3">
        <w:tc>
          <w:tcPr>
            <w:tcW w:w="478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color w:val="000000"/>
                <w:lang w:val="bg-BG"/>
              </w:rPr>
              <w:t>5.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rPr>
                <w:rFonts w:ascii="Times New Roman" w:eastAsia="Calibri" w:hAnsi="Times New Roman"/>
                <w:lang w:val="bg-BG"/>
              </w:rPr>
            </w:pPr>
            <w:r w:rsidRPr="00FC6ACF">
              <w:rPr>
                <w:rFonts w:ascii="Times New Roman" w:hAnsi="Times New Roman"/>
                <w:lang w:val="bg-BG"/>
              </w:rPr>
              <w:t xml:space="preserve">Административна сграда, ул. „Дякон Игнатий“ № 9 – 3 </w:t>
            </w:r>
            <w:proofErr w:type="spellStart"/>
            <w:r w:rsidRPr="00FC6ACF">
              <w:rPr>
                <w:rFonts w:ascii="Times New Roman" w:hAnsi="Times New Roman"/>
                <w:lang w:val="bg-BG"/>
              </w:rPr>
              <w:t>етажa</w:t>
            </w:r>
            <w:proofErr w:type="spellEnd"/>
            <w:r w:rsidRPr="00FC6ACF">
              <w:rPr>
                <w:rFonts w:ascii="Times New Roman" w:hAnsi="Times New Roman"/>
                <w:lang w:val="bg-BG"/>
              </w:rPr>
              <w:t xml:space="preserve"> с идентификатор № 68134.100.274.6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1 953 603,26 лева</w:t>
            </w:r>
          </w:p>
        </w:tc>
      </w:tr>
      <w:tr w:rsidR="00712C92" w:rsidRPr="005F4B31" w:rsidTr="004717B3">
        <w:tc>
          <w:tcPr>
            <w:tcW w:w="478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color w:val="000000"/>
                <w:lang w:val="bg-BG"/>
              </w:rPr>
              <w:t>6.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lang w:val="bg-BG"/>
              </w:rPr>
              <w:t xml:space="preserve">Самостоятелен обект в сграда с идентификатор № 68134.100.274.2.2, ул. „Кузман </w:t>
            </w:r>
            <w:proofErr w:type="spellStart"/>
            <w:r w:rsidRPr="00FC6ACF">
              <w:rPr>
                <w:rFonts w:ascii="Times New Roman" w:hAnsi="Times New Roman"/>
                <w:lang w:val="bg-BG"/>
              </w:rPr>
              <w:t>Шапкарев</w:t>
            </w:r>
            <w:proofErr w:type="spellEnd"/>
            <w:r w:rsidRPr="00FC6ACF">
              <w:rPr>
                <w:rFonts w:ascii="Times New Roman" w:hAnsi="Times New Roman"/>
                <w:lang w:val="bg-BG"/>
              </w:rPr>
              <w:t>“ № 6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246 951,62 лева</w:t>
            </w:r>
          </w:p>
        </w:tc>
      </w:tr>
      <w:tr w:rsidR="00712C92" w:rsidRPr="005F4B31" w:rsidTr="004717B3">
        <w:tc>
          <w:tcPr>
            <w:tcW w:w="478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color w:val="000000"/>
                <w:lang w:val="bg-BG"/>
              </w:rPr>
              <w:t>7.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lang w:val="bg-BG"/>
              </w:rPr>
              <w:t>Административна сграда, ул. „Ген. Йосиф В. Гурко” № 5 – 7 етажа с идентификатор № 68134.100.274.2.1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6 628 950,14 лева</w:t>
            </w:r>
          </w:p>
        </w:tc>
      </w:tr>
      <w:tr w:rsidR="00712C92" w:rsidRPr="005F4B31" w:rsidTr="004717B3">
        <w:tc>
          <w:tcPr>
            <w:tcW w:w="478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color w:val="000000"/>
                <w:lang w:val="bg-BG"/>
              </w:rPr>
              <w:t>8.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712C92" w:rsidRPr="00FC6ACF" w:rsidRDefault="00712C92" w:rsidP="004717B3">
            <w:pPr>
              <w:spacing w:after="60"/>
              <w:rPr>
                <w:rFonts w:ascii="Times New Roman" w:hAnsi="Times New Roman"/>
                <w:color w:val="000000"/>
                <w:lang w:val="bg-BG"/>
              </w:rPr>
            </w:pPr>
            <w:r w:rsidRPr="00FC6ACF">
              <w:rPr>
                <w:rFonts w:ascii="Times New Roman" w:hAnsi="Times New Roman"/>
                <w:lang w:val="bg-BG"/>
              </w:rPr>
              <w:t>Самостоятелен обект в сграда с идентификатор № 68134.101.120.1.5, ул. „Ген. Йосиф В. Гурко” № 6 – 4-ти етаж</w:t>
            </w:r>
            <w:r w:rsidRPr="00FC6ACF" w:rsidDel="00340AA6">
              <w:rPr>
                <w:rFonts w:ascii="Times New Roman" w:hAnsi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3 447 196,72 лева</w:t>
            </w:r>
          </w:p>
        </w:tc>
      </w:tr>
      <w:tr w:rsidR="00712C92" w:rsidRPr="005F4B31" w:rsidTr="004717B3"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C92" w:rsidRPr="005F4B31" w:rsidRDefault="00712C92" w:rsidP="004717B3">
            <w:pPr>
              <w:spacing w:after="60"/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5F4B31">
              <w:rPr>
                <w:rFonts w:ascii="Times New Roman" w:hAnsi="Times New Roman"/>
                <w:color w:val="000000"/>
                <w:lang w:val="bg-BG"/>
              </w:rPr>
              <w:lastRenderedPageBreak/>
              <w:t>9.</w:t>
            </w:r>
          </w:p>
        </w:tc>
        <w:tc>
          <w:tcPr>
            <w:tcW w:w="7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C92" w:rsidRPr="005F4B31" w:rsidRDefault="00712C92" w:rsidP="004717B3">
            <w:pPr>
              <w:spacing w:after="60"/>
              <w:rPr>
                <w:rFonts w:ascii="Times New Roman" w:hAnsi="Times New Roman"/>
                <w:color w:val="000000"/>
                <w:lang w:val="bg-BG"/>
              </w:rPr>
            </w:pPr>
            <w:r w:rsidRPr="005F4B31">
              <w:rPr>
                <w:rFonts w:ascii="Times New Roman" w:hAnsi="Times New Roman"/>
                <w:lang w:val="bg-BG"/>
              </w:rPr>
              <w:t>Подземен гараж и мазе, ул. „Цар Самуил” № 79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C92" w:rsidRPr="00522FAD" w:rsidRDefault="00712C92" w:rsidP="004717B3">
            <w:pPr>
              <w:spacing w:after="60"/>
              <w:jc w:val="right"/>
              <w:rPr>
                <w:rFonts w:ascii="Times New Roman" w:hAnsi="Times New Roman"/>
                <w:color w:val="000000"/>
                <w:highlight w:val="yellow"/>
                <w:lang w:val="bg-BG"/>
              </w:rPr>
            </w:pPr>
            <w:r w:rsidRPr="00A47B69">
              <w:rPr>
                <w:rFonts w:ascii="Times New Roman" w:hAnsi="Times New Roman"/>
                <w:color w:val="000000"/>
                <w:lang w:val="bg-BG"/>
              </w:rPr>
              <w:t>730 750,86 лева</w:t>
            </w:r>
          </w:p>
        </w:tc>
      </w:tr>
      <w:tr w:rsidR="00712C92" w:rsidRPr="005F4B31" w:rsidTr="004717B3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2C92" w:rsidRPr="005F4B31" w:rsidRDefault="00712C92" w:rsidP="004717B3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lang w:val="bg-BG"/>
              </w:rPr>
            </w:pPr>
            <w:r w:rsidRPr="005F4B31">
              <w:rPr>
                <w:rFonts w:ascii="Times New Roman" w:hAnsi="Times New Roman"/>
                <w:b/>
                <w:color w:val="000000"/>
                <w:lang w:val="bg-BG"/>
              </w:rPr>
              <w:t>Обща балансова стойност на сградите: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12C92" w:rsidRPr="00A47B69" w:rsidRDefault="00712C92" w:rsidP="004717B3">
            <w:pPr>
              <w:spacing w:after="60"/>
              <w:jc w:val="right"/>
              <w:rPr>
                <w:rFonts w:ascii="Times New Roman" w:hAnsi="Times New Roman"/>
                <w:b/>
                <w:color w:val="000000"/>
                <w:lang w:val="bg-BG"/>
              </w:rPr>
            </w:pPr>
            <w:r w:rsidRPr="00A47B69">
              <w:rPr>
                <w:rFonts w:ascii="Times New Roman" w:hAnsi="Times New Roman"/>
                <w:b/>
                <w:color w:val="000000"/>
                <w:lang w:val="bg-BG"/>
              </w:rPr>
              <w:t>21 544 641,21 лева</w:t>
            </w:r>
          </w:p>
        </w:tc>
      </w:tr>
    </w:tbl>
    <w:p w:rsidR="00D05CBD" w:rsidRDefault="00D05CBD" w:rsidP="00712C92">
      <w:pPr>
        <w:rPr>
          <w:rFonts w:ascii="Times New Roman" w:hAnsi="Times New Roman"/>
          <w:highlight w:val="yellow"/>
          <w:lang w:val="bg-BG"/>
        </w:rPr>
      </w:pPr>
    </w:p>
    <w:p w:rsidR="003B286E" w:rsidRDefault="00E22368" w:rsidP="00E22368">
      <w:pPr>
        <w:pStyle w:val="TOC1"/>
        <w:tabs>
          <w:tab w:val="left" w:pos="440"/>
          <w:tab w:val="left" w:pos="709"/>
          <w:tab w:val="right" w:leader="dot" w:pos="9060"/>
        </w:tabs>
        <w:spacing w:after="60"/>
        <w:jc w:val="both"/>
        <w:rPr>
          <w:iCs/>
          <w:sz w:val="24"/>
          <w:szCs w:val="24"/>
          <w:lang w:val="bg-BG" w:eastAsia="bg-BG"/>
        </w:rPr>
      </w:pPr>
      <w:r>
        <w:rPr>
          <w:iCs/>
          <w:sz w:val="24"/>
          <w:szCs w:val="24"/>
          <w:lang w:val="bg-BG" w:eastAsia="bg-BG"/>
        </w:rPr>
        <w:tab/>
      </w:r>
      <w:r>
        <w:rPr>
          <w:iCs/>
          <w:sz w:val="24"/>
          <w:szCs w:val="24"/>
          <w:lang w:val="bg-BG" w:eastAsia="bg-BG"/>
        </w:rPr>
        <w:tab/>
      </w:r>
      <w:r w:rsidR="00712C92" w:rsidRPr="00EB103F">
        <w:rPr>
          <w:b/>
          <w:iCs/>
          <w:sz w:val="24"/>
          <w:szCs w:val="24"/>
          <w:lang w:eastAsia="bg-BG"/>
        </w:rPr>
        <w:t>III</w:t>
      </w:r>
      <w:r w:rsidR="00712C92" w:rsidRPr="00FC6ACF">
        <w:rPr>
          <w:b/>
          <w:iCs/>
          <w:sz w:val="24"/>
          <w:szCs w:val="24"/>
          <w:lang w:val="ru-RU" w:eastAsia="bg-BG"/>
        </w:rPr>
        <w:t xml:space="preserve">. </w:t>
      </w:r>
      <w:r w:rsidR="003B286E" w:rsidRPr="00D934C0">
        <w:rPr>
          <w:b/>
          <w:iCs/>
          <w:sz w:val="24"/>
          <w:szCs w:val="24"/>
          <w:lang w:val="bg-BG" w:eastAsia="bg-BG"/>
        </w:rPr>
        <w:t xml:space="preserve">Срок на застраховката </w:t>
      </w:r>
      <w:r w:rsidR="003B286E" w:rsidRPr="00D934C0">
        <w:rPr>
          <w:iCs/>
          <w:sz w:val="24"/>
          <w:szCs w:val="24"/>
          <w:lang w:val="bg-BG" w:eastAsia="bg-BG"/>
        </w:rPr>
        <w:t>– от 00.00 ч. на 01.01.20</w:t>
      </w:r>
      <w:r w:rsidR="003B286E">
        <w:rPr>
          <w:iCs/>
          <w:sz w:val="24"/>
          <w:szCs w:val="24"/>
          <w:lang w:val="bg-BG" w:eastAsia="bg-BG"/>
        </w:rPr>
        <w:t>20</w:t>
      </w:r>
      <w:r w:rsidR="003B286E" w:rsidRPr="00D934C0">
        <w:rPr>
          <w:iCs/>
          <w:sz w:val="24"/>
          <w:szCs w:val="24"/>
          <w:lang w:val="bg-BG" w:eastAsia="bg-BG"/>
        </w:rPr>
        <w:t xml:space="preserve"> г. до 24.00 ч. на 31.12.20</w:t>
      </w:r>
      <w:r w:rsidR="003B286E">
        <w:rPr>
          <w:iCs/>
          <w:sz w:val="24"/>
          <w:szCs w:val="24"/>
          <w:lang w:val="bg-BG" w:eastAsia="bg-BG"/>
        </w:rPr>
        <w:t>2</w:t>
      </w:r>
      <w:r w:rsidR="00863E88" w:rsidRPr="00FC6ACF">
        <w:rPr>
          <w:iCs/>
          <w:sz w:val="24"/>
          <w:szCs w:val="24"/>
          <w:lang w:val="ru-RU" w:eastAsia="bg-BG"/>
        </w:rPr>
        <w:t>1</w:t>
      </w:r>
      <w:r w:rsidR="003B286E" w:rsidRPr="00D934C0">
        <w:rPr>
          <w:iCs/>
          <w:sz w:val="24"/>
          <w:szCs w:val="24"/>
          <w:lang w:val="bg-BG" w:eastAsia="bg-BG"/>
        </w:rPr>
        <w:t xml:space="preserve"> г.</w:t>
      </w:r>
    </w:p>
    <w:p w:rsidR="00EB103F" w:rsidRDefault="00712C92" w:rsidP="00E22368">
      <w:pPr>
        <w:pStyle w:val="TOC1"/>
        <w:tabs>
          <w:tab w:val="left" w:pos="426"/>
          <w:tab w:val="left" w:pos="1134"/>
          <w:tab w:val="right" w:leader="dot" w:pos="9060"/>
        </w:tabs>
        <w:spacing w:after="60"/>
        <w:ind w:firstLine="709"/>
        <w:jc w:val="both"/>
        <w:rPr>
          <w:lang w:val="bg-BG"/>
        </w:rPr>
      </w:pPr>
      <w:r>
        <w:rPr>
          <w:lang w:val="bg-BG"/>
        </w:rPr>
        <w:tab/>
      </w:r>
      <w:r w:rsidR="008213BA">
        <w:rPr>
          <w:lang w:val="bg-BG"/>
        </w:rPr>
        <w:t xml:space="preserve"> </w:t>
      </w:r>
    </w:p>
    <w:p w:rsidR="003B286E" w:rsidRPr="00D934C0" w:rsidRDefault="005F4B31" w:rsidP="00E22368">
      <w:pPr>
        <w:pStyle w:val="TOC1"/>
        <w:tabs>
          <w:tab w:val="left" w:pos="426"/>
          <w:tab w:val="left" w:pos="851"/>
          <w:tab w:val="right" w:leader="dot" w:pos="9060"/>
        </w:tabs>
        <w:spacing w:after="60"/>
        <w:ind w:firstLine="709"/>
        <w:jc w:val="both"/>
        <w:rPr>
          <w:b/>
          <w:iCs/>
          <w:sz w:val="24"/>
          <w:szCs w:val="24"/>
          <w:lang w:val="bg-BG" w:eastAsia="bg-BG"/>
        </w:rPr>
      </w:pPr>
      <w:r w:rsidRPr="00712C92">
        <w:rPr>
          <w:b/>
          <w:iCs/>
          <w:sz w:val="24"/>
          <w:szCs w:val="24"/>
          <w:lang w:eastAsia="bg-BG"/>
        </w:rPr>
        <w:t>I</w:t>
      </w:r>
      <w:r w:rsidR="00712C92" w:rsidRPr="00712C92">
        <w:rPr>
          <w:b/>
          <w:iCs/>
          <w:sz w:val="24"/>
          <w:szCs w:val="24"/>
          <w:lang w:eastAsia="bg-BG"/>
        </w:rPr>
        <w:t>V</w:t>
      </w:r>
      <w:r>
        <w:rPr>
          <w:b/>
          <w:iCs/>
          <w:sz w:val="24"/>
          <w:szCs w:val="24"/>
          <w:lang w:eastAsia="bg-BG"/>
        </w:rPr>
        <w:t xml:space="preserve">. </w:t>
      </w:r>
      <w:r w:rsidR="003B286E" w:rsidRPr="00D934C0">
        <w:rPr>
          <w:b/>
          <w:iCs/>
          <w:sz w:val="24"/>
          <w:szCs w:val="24"/>
          <w:lang w:val="bg-BG" w:eastAsia="bg-BG"/>
        </w:rPr>
        <w:t>Формиране на застрахователни премии</w:t>
      </w:r>
    </w:p>
    <w:p w:rsidR="003B286E" w:rsidRPr="00EB103F" w:rsidRDefault="003B286E" w:rsidP="00EB103F">
      <w:pPr>
        <w:pStyle w:val="TOC1"/>
        <w:numPr>
          <w:ilvl w:val="0"/>
          <w:numId w:val="19"/>
        </w:numPr>
        <w:tabs>
          <w:tab w:val="left" w:pos="440"/>
          <w:tab w:val="left" w:pos="1134"/>
          <w:tab w:val="right" w:leader="dot" w:pos="9060"/>
        </w:tabs>
        <w:spacing w:after="60"/>
        <w:ind w:left="0" w:firstLine="786"/>
        <w:jc w:val="both"/>
        <w:rPr>
          <w:iCs/>
          <w:sz w:val="24"/>
          <w:szCs w:val="24"/>
          <w:lang w:val="bg-BG" w:eastAsia="bg-BG"/>
        </w:rPr>
      </w:pPr>
      <w:r w:rsidRPr="00EB103F">
        <w:rPr>
          <w:iCs/>
          <w:sz w:val="24"/>
          <w:szCs w:val="24"/>
          <w:lang w:val="bg-BG" w:eastAsia="bg-BG"/>
        </w:rPr>
        <w:t xml:space="preserve">Застрахователната премия да се формира за всеки обект поотделно, като общата ѝ стойност се определя от сумата на застрахователните премии на всички сгради. </w:t>
      </w:r>
    </w:p>
    <w:p w:rsidR="00863E88" w:rsidRPr="00EB103F" w:rsidRDefault="00270587" w:rsidP="00EB103F">
      <w:pPr>
        <w:pStyle w:val="ListParagraph"/>
        <w:numPr>
          <w:ilvl w:val="0"/>
          <w:numId w:val="19"/>
        </w:numPr>
        <w:rPr>
          <w:rFonts w:ascii="Times New Roman" w:hAnsi="Times New Roman"/>
          <w:iCs/>
          <w:sz w:val="24"/>
          <w:szCs w:val="24"/>
        </w:rPr>
      </w:pPr>
      <w:r w:rsidRPr="00EB103F">
        <w:rPr>
          <w:rFonts w:ascii="Times New Roman" w:hAnsi="Times New Roman"/>
          <w:iCs/>
          <w:sz w:val="24"/>
          <w:szCs w:val="24"/>
        </w:rPr>
        <w:t>Застрахователн</w:t>
      </w:r>
      <w:r>
        <w:rPr>
          <w:rFonts w:ascii="Times New Roman" w:hAnsi="Times New Roman"/>
          <w:iCs/>
          <w:sz w:val="24"/>
          <w:szCs w:val="24"/>
        </w:rPr>
        <w:t xml:space="preserve">ите </w:t>
      </w:r>
      <w:r w:rsidRPr="00EB103F">
        <w:rPr>
          <w:rFonts w:ascii="Times New Roman" w:hAnsi="Times New Roman"/>
          <w:iCs/>
          <w:sz w:val="24"/>
          <w:szCs w:val="24"/>
        </w:rPr>
        <w:t>преми</w:t>
      </w:r>
      <w:r>
        <w:rPr>
          <w:rFonts w:ascii="Times New Roman" w:hAnsi="Times New Roman"/>
          <w:iCs/>
          <w:sz w:val="24"/>
          <w:szCs w:val="24"/>
        </w:rPr>
        <w:t>и</w:t>
      </w:r>
      <w:r w:rsidRPr="00EB103F">
        <w:rPr>
          <w:rFonts w:ascii="Times New Roman" w:hAnsi="Times New Roman"/>
          <w:iCs/>
          <w:sz w:val="24"/>
          <w:szCs w:val="24"/>
        </w:rPr>
        <w:t xml:space="preserve"> </w:t>
      </w:r>
      <w:r w:rsidR="00863E88" w:rsidRPr="00EB103F">
        <w:rPr>
          <w:rFonts w:ascii="Times New Roman" w:hAnsi="Times New Roman"/>
          <w:b/>
          <w:iCs/>
          <w:sz w:val="24"/>
          <w:szCs w:val="24"/>
        </w:rPr>
        <w:t>да включва</w:t>
      </w:r>
      <w:r>
        <w:rPr>
          <w:rFonts w:ascii="Times New Roman" w:hAnsi="Times New Roman"/>
          <w:b/>
          <w:iCs/>
          <w:sz w:val="24"/>
          <w:szCs w:val="24"/>
        </w:rPr>
        <w:t>т</w:t>
      </w:r>
      <w:r w:rsidR="00863E88" w:rsidRPr="00EB103F">
        <w:rPr>
          <w:rFonts w:ascii="Times New Roman" w:hAnsi="Times New Roman"/>
          <w:b/>
          <w:iCs/>
          <w:sz w:val="24"/>
          <w:szCs w:val="24"/>
        </w:rPr>
        <w:t xml:space="preserve"> дължими такси и данъци.</w:t>
      </w:r>
    </w:p>
    <w:p w:rsidR="003B286E" w:rsidRPr="00D934C0" w:rsidRDefault="00863E88" w:rsidP="00863E88">
      <w:pPr>
        <w:pStyle w:val="TOC1"/>
        <w:tabs>
          <w:tab w:val="left" w:pos="440"/>
          <w:tab w:val="left" w:pos="709"/>
          <w:tab w:val="left" w:pos="1134"/>
          <w:tab w:val="right" w:leader="dot" w:pos="9060"/>
        </w:tabs>
        <w:spacing w:after="60"/>
        <w:jc w:val="both"/>
        <w:rPr>
          <w:b/>
          <w:iCs/>
          <w:sz w:val="24"/>
          <w:szCs w:val="24"/>
          <w:lang w:val="bg-BG" w:eastAsia="bg-BG"/>
        </w:rPr>
      </w:pPr>
      <w:r w:rsidRPr="00FC6ACF">
        <w:rPr>
          <w:b/>
          <w:iCs/>
          <w:sz w:val="24"/>
          <w:szCs w:val="24"/>
          <w:lang w:val="ru-RU" w:eastAsia="bg-BG"/>
        </w:rPr>
        <w:tab/>
      </w:r>
      <w:r w:rsidRPr="00FC6ACF">
        <w:rPr>
          <w:b/>
          <w:iCs/>
          <w:sz w:val="24"/>
          <w:szCs w:val="24"/>
          <w:lang w:val="ru-RU" w:eastAsia="bg-BG"/>
        </w:rPr>
        <w:tab/>
      </w:r>
      <w:r>
        <w:rPr>
          <w:b/>
          <w:iCs/>
          <w:sz w:val="24"/>
          <w:szCs w:val="24"/>
          <w:lang w:eastAsia="bg-BG"/>
        </w:rPr>
        <w:t>V</w:t>
      </w:r>
      <w:r w:rsidRPr="00FC6ACF">
        <w:rPr>
          <w:b/>
          <w:iCs/>
          <w:sz w:val="24"/>
          <w:szCs w:val="24"/>
          <w:lang w:val="ru-RU" w:eastAsia="bg-BG"/>
        </w:rPr>
        <w:t xml:space="preserve">. </w:t>
      </w:r>
      <w:r w:rsidR="003B286E" w:rsidRPr="00D934C0">
        <w:rPr>
          <w:b/>
          <w:iCs/>
          <w:sz w:val="24"/>
          <w:szCs w:val="24"/>
          <w:lang w:val="bg-BG" w:eastAsia="bg-BG"/>
        </w:rPr>
        <w:t>Начин на плащане на дължимите застрахователни премии.</w:t>
      </w:r>
    </w:p>
    <w:p w:rsidR="003B286E" w:rsidRPr="00D934C0" w:rsidRDefault="00863E88" w:rsidP="00863E88">
      <w:pPr>
        <w:pStyle w:val="TOC1"/>
        <w:tabs>
          <w:tab w:val="left" w:pos="440"/>
          <w:tab w:val="left" w:pos="709"/>
          <w:tab w:val="left" w:pos="1134"/>
          <w:tab w:val="right" w:leader="dot" w:pos="9060"/>
        </w:tabs>
        <w:spacing w:after="60"/>
        <w:jc w:val="both"/>
        <w:rPr>
          <w:iCs/>
          <w:sz w:val="24"/>
          <w:szCs w:val="24"/>
          <w:lang w:val="bg-BG" w:eastAsia="bg-BG"/>
        </w:rPr>
      </w:pPr>
      <w:r>
        <w:rPr>
          <w:iCs/>
          <w:sz w:val="24"/>
          <w:szCs w:val="24"/>
          <w:lang w:val="bg-BG" w:eastAsia="bg-BG"/>
        </w:rPr>
        <w:tab/>
      </w:r>
      <w:r>
        <w:rPr>
          <w:iCs/>
          <w:sz w:val="24"/>
          <w:szCs w:val="24"/>
          <w:lang w:val="bg-BG" w:eastAsia="bg-BG"/>
        </w:rPr>
        <w:tab/>
      </w:r>
      <w:r w:rsidR="003B286E" w:rsidRPr="00D934C0">
        <w:rPr>
          <w:iCs/>
          <w:sz w:val="24"/>
          <w:szCs w:val="24"/>
          <w:lang w:val="bg-BG" w:eastAsia="bg-BG"/>
        </w:rPr>
        <w:t>Плащанията се извършват в български лева по банков път, срещу представяне на сметка/фактура за дължимата</w:t>
      </w:r>
      <w:r w:rsidR="00270587">
        <w:rPr>
          <w:iCs/>
          <w:sz w:val="24"/>
          <w:szCs w:val="24"/>
          <w:lang w:val="bg-BG" w:eastAsia="bg-BG"/>
        </w:rPr>
        <w:t xml:space="preserve"> обща</w:t>
      </w:r>
      <w:r w:rsidR="003B286E" w:rsidRPr="00D934C0">
        <w:rPr>
          <w:iCs/>
          <w:sz w:val="24"/>
          <w:szCs w:val="24"/>
          <w:lang w:val="bg-BG" w:eastAsia="bg-BG"/>
        </w:rPr>
        <w:t xml:space="preserve"> застрахователна премия с посочване на издаден</w:t>
      </w:r>
      <w:r w:rsidR="00270587">
        <w:rPr>
          <w:iCs/>
          <w:sz w:val="24"/>
          <w:szCs w:val="24"/>
          <w:lang w:val="bg-BG" w:eastAsia="bg-BG"/>
        </w:rPr>
        <w:t>ата/</w:t>
      </w:r>
      <w:proofErr w:type="spellStart"/>
      <w:r w:rsidR="003B286E" w:rsidRPr="00D934C0">
        <w:rPr>
          <w:iCs/>
          <w:sz w:val="24"/>
          <w:szCs w:val="24"/>
          <w:lang w:val="bg-BG" w:eastAsia="bg-BG"/>
        </w:rPr>
        <w:t>ите</w:t>
      </w:r>
      <w:proofErr w:type="spellEnd"/>
      <w:r w:rsidR="003B286E" w:rsidRPr="00D934C0">
        <w:rPr>
          <w:iCs/>
          <w:sz w:val="24"/>
          <w:szCs w:val="24"/>
          <w:lang w:val="bg-BG" w:eastAsia="bg-BG"/>
        </w:rPr>
        <w:t xml:space="preserve"> застрахователн</w:t>
      </w:r>
      <w:r w:rsidR="00270587">
        <w:rPr>
          <w:iCs/>
          <w:sz w:val="24"/>
          <w:szCs w:val="24"/>
          <w:lang w:val="bg-BG" w:eastAsia="bg-BG"/>
        </w:rPr>
        <w:t>а/</w:t>
      </w:r>
      <w:r w:rsidR="003B286E" w:rsidRPr="00D934C0">
        <w:rPr>
          <w:iCs/>
          <w:sz w:val="24"/>
          <w:szCs w:val="24"/>
          <w:lang w:val="bg-BG" w:eastAsia="bg-BG"/>
        </w:rPr>
        <w:t>и полиц</w:t>
      </w:r>
      <w:r w:rsidR="00270587">
        <w:rPr>
          <w:iCs/>
          <w:sz w:val="24"/>
          <w:szCs w:val="24"/>
          <w:lang w:val="bg-BG" w:eastAsia="bg-BG"/>
        </w:rPr>
        <w:t>а/</w:t>
      </w:r>
      <w:r w:rsidR="003B286E" w:rsidRPr="00D934C0">
        <w:rPr>
          <w:iCs/>
          <w:sz w:val="24"/>
          <w:szCs w:val="24"/>
          <w:lang w:val="bg-BG" w:eastAsia="bg-BG"/>
        </w:rPr>
        <w:t>и.</w:t>
      </w:r>
    </w:p>
    <w:p w:rsidR="003B286E" w:rsidRPr="00D934C0" w:rsidRDefault="003B286E" w:rsidP="003B286E">
      <w:pPr>
        <w:pStyle w:val="TOC1"/>
        <w:tabs>
          <w:tab w:val="left" w:pos="440"/>
          <w:tab w:val="left" w:pos="1134"/>
          <w:tab w:val="right" w:leader="dot" w:pos="9060"/>
        </w:tabs>
        <w:spacing w:after="60"/>
        <w:jc w:val="both"/>
        <w:rPr>
          <w:iCs/>
          <w:sz w:val="24"/>
          <w:szCs w:val="24"/>
          <w:lang w:val="bg-BG" w:eastAsia="bg-BG"/>
        </w:rPr>
      </w:pPr>
    </w:p>
    <w:p w:rsidR="00863E88" w:rsidRDefault="00863E88" w:rsidP="00863E88">
      <w:pPr>
        <w:pStyle w:val="TOC1"/>
        <w:tabs>
          <w:tab w:val="left" w:pos="440"/>
          <w:tab w:val="left" w:pos="709"/>
          <w:tab w:val="left" w:pos="1134"/>
          <w:tab w:val="right" w:leader="dot" w:pos="9060"/>
        </w:tabs>
        <w:spacing w:after="60"/>
        <w:jc w:val="both"/>
        <w:rPr>
          <w:iCs/>
          <w:sz w:val="24"/>
          <w:szCs w:val="24"/>
          <w:lang w:val="bg-BG" w:eastAsia="bg-BG"/>
        </w:rPr>
      </w:pPr>
      <w:r w:rsidRPr="00FC6ACF">
        <w:rPr>
          <w:b/>
          <w:iCs/>
          <w:sz w:val="24"/>
          <w:szCs w:val="24"/>
          <w:lang w:val="ru-RU" w:eastAsia="bg-BG"/>
        </w:rPr>
        <w:tab/>
      </w:r>
      <w:r w:rsidRPr="00FC6ACF">
        <w:rPr>
          <w:b/>
          <w:iCs/>
          <w:sz w:val="24"/>
          <w:szCs w:val="24"/>
          <w:lang w:val="ru-RU" w:eastAsia="bg-BG"/>
        </w:rPr>
        <w:tab/>
      </w:r>
      <w:r w:rsidRPr="00EB103F">
        <w:rPr>
          <w:b/>
          <w:iCs/>
          <w:sz w:val="24"/>
          <w:szCs w:val="24"/>
          <w:lang w:eastAsia="bg-BG"/>
        </w:rPr>
        <w:t>VI</w:t>
      </w:r>
      <w:r w:rsidRPr="00FC6ACF">
        <w:rPr>
          <w:b/>
          <w:iCs/>
          <w:sz w:val="24"/>
          <w:szCs w:val="24"/>
          <w:lang w:val="ru-RU" w:eastAsia="bg-BG"/>
        </w:rPr>
        <w:t>.</w:t>
      </w:r>
      <w:r w:rsidR="00EB103F">
        <w:rPr>
          <w:b/>
          <w:iCs/>
          <w:sz w:val="24"/>
          <w:szCs w:val="24"/>
          <w:lang w:val="bg-BG" w:eastAsia="bg-BG"/>
        </w:rPr>
        <w:t xml:space="preserve"> </w:t>
      </w:r>
      <w:r w:rsidR="003B286E" w:rsidRPr="00EB103F">
        <w:rPr>
          <w:b/>
          <w:iCs/>
          <w:sz w:val="24"/>
          <w:szCs w:val="24"/>
          <w:lang w:val="bg-BG" w:eastAsia="bg-BG"/>
        </w:rPr>
        <w:t>Участниците могат да извършат оглед на подлежащите на застраховане имоти.</w:t>
      </w:r>
      <w:r w:rsidR="003B286E" w:rsidRPr="00D934C0">
        <w:rPr>
          <w:iCs/>
          <w:sz w:val="24"/>
          <w:szCs w:val="24"/>
          <w:lang w:val="bg-BG" w:eastAsia="bg-BG"/>
        </w:rPr>
        <w:t xml:space="preserve"> </w:t>
      </w:r>
    </w:p>
    <w:p w:rsidR="006971FC" w:rsidRPr="001B5473" w:rsidRDefault="00863E88" w:rsidP="00E22368">
      <w:pPr>
        <w:tabs>
          <w:tab w:val="left" w:pos="709"/>
          <w:tab w:val="left" w:pos="1418"/>
        </w:tabs>
        <w:rPr>
          <w:rFonts w:ascii="Times New Roman" w:hAnsi="Times New Roman"/>
          <w:iCs/>
          <w:szCs w:val="24"/>
          <w:lang w:val="bg-BG"/>
        </w:rPr>
      </w:pPr>
      <w:r>
        <w:rPr>
          <w:iCs/>
          <w:szCs w:val="24"/>
          <w:lang w:val="bg-BG"/>
        </w:rPr>
        <w:tab/>
      </w:r>
      <w:r w:rsidR="003B286E" w:rsidRPr="001B5473">
        <w:rPr>
          <w:rFonts w:ascii="Times New Roman" w:hAnsi="Times New Roman"/>
          <w:iCs/>
          <w:szCs w:val="24"/>
          <w:lang w:val="bg-BG"/>
        </w:rPr>
        <w:t xml:space="preserve">Огледът се съгласува с лицето за контакт: </w:t>
      </w:r>
      <w:r w:rsidR="00EB103F" w:rsidRPr="001B5473">
        <w:rPr>
          <w:rFonts w:ascii="Times New Roman" w:hAnsi="Times New Roman"/>
          <w:iCs/>
          <w:szCs w:val="24"/>
          <w:lang w:val="bg-BG"/>
        </w:rPr>
        <w:t>Галина Вълчева</w:t>
      </w:r>
      <w:r w:rsidR="003B286E" w:rsidRPr="001B5473">
        <w:rPr>
          <w:rFonts w:ascii="Times New Roman" w:hAnsi="Times New Roman"/>
          <w:iCs/>
          <w:szCs w:val="24"/>
          <w:lang w:val="bg-BG"/>
        </w:rPr>
        <w:t>, тел. 0</w:t>
      </w:r>
      <w:r w:rsidR="00FF0141" w:rsidRPr="001B5473">
        <w:rPr>
          <w:rFonts w:ascii="Times New Roman" w:hAnsi="Times New Roman"/>
          <w:iCs/>
          <w:szCs w:val="24"/>
          <w:lang w:val="bg-BG"/>
        </w:rPr>
        <w:t>2</w:t>
      </w:r>
      <w:r w:rsidRPr="001B5473">
        <w:rPr>
          <w:rFonts w:ascii="Times New Roman" w:hAnsi="Times New Roman"/>
          <w:iCs/>
          <w:szCs w:val="24"/>
          <w:lang w:val="bg-BG"/>
        </w:rPr>
        <w:t>/</w:t>
      </w:r>
      <w:r w:rsidR="00FF0141" w:rsidRPr="001B5473">
        <w:rPr>
          <w:rFonts w:ascii="Times New Roman" w:hAnsi="Times New Roman"/>
          <w:iCs/>
          <w:szCs w:val="24"/>
          <w:lang w:val="bg-BG"/>
        </w:rPr>
        <w:t>9409</w:t>
      </w:r>
      <w:r w:rsidRPr="001B5473">
        <w:rPr>
          <w:rFonts w:ascii="Times New Roman" w:hAnsi="Times New Roman"/>
          <w:iCs/>
          <w:szCs w:val="24"/>
          <w:lang w:val="bg-BG"/>
        </w:rPr>
        <w:t xml:space="preserve"> </w:t>
      </w:r>
      <w:r w:rsidR="00EB103F" w:rsidRPr="001B5473">
        <w:rPr>
          <w:rFonts w:ascii="Times New Roman" w:hAnsi="Times New Roman"/>
          <w:iCs/>
          <w:szCs w:val="24"/>
          <w:lang w:val="bg-BG"/>
        </w:rPr>
        <w:t>588</w:t>
      </w:r>
      <w:r w:rsidRPr="001B5473">
        <w:rPr>
          <w:rFonts w:ascii="Times New Roman" w:hAnsi="Times New Roman"/>
          <w:iCs/>
          <w:szCs w:val="24"/>
          <w:lang w:val="bg-BG"/>
        </w:rPr>
        <w:t>.</w:t>
      </w:r>
    </w:p>
    <w:sectPr w:rsidR="006971FC" w:rsidRPr="001B5473" w:rsidSect="00EB103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1B" w:rsidRDefault="0044611B">
      <w:r>
        <w:separator/>
      </w:r>
    </w:p>
  </w:endnote>
  <w:endnote w:type="continuationSeparator" w:id="0">
    <w:p w:rsidR="0044611B" w:rsidRDefault="0044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1B" w:rsidRPr="004C0CFD" w:rsidRDefault="0044611B">
    <w:pPr>
      <w:pStyle w:val="Footer"/>
      <w:jc w:val="right"/>
      <w:rPr>
        <w:rFonts w:ascii="Times New Roman" w:hAnsi="Times New Roman"/>
        <w:sz w:val="20"/>
      </w:rPr>
    </w:pPr>
    <w:r w:rsidRPr="004C0CFD">
      <w:rPr>
        <w:rFonts w:ascii="Times New Roman" w:hAnsi="Times New Roman"/>
        <w:sz w:val="20"/>
      </w:rPr>
      <w:fldChar w:fldCharType="begin"/>
    </w:r>
    <w:r w:rsidRPr="004C0CFD">
      <w:rPr>
        <w:rFonts w:ascii="Times New Roman" w:hAnsi="Times New Roman"/>
        <w:sz w:val="20"/>
      </w:rPr>
      <w:instrText xml:space="preserve"> PAGE   \* MERGEFORMAT </w:instrText>
    </w:r>
    <w:r w:rsidRPr="004C0CFD">
      <w:rPr>
        <w:rFonts w:ascii="Times New Roman" w:hAnsi="Times New Roman"/>
        <w:sz w:val="20"/>
      </w:rPr>
      <w:fldChar w:fldCharType="separate"/>
    </w:r>
    <w:r w:rsidR="00803148">
      <w:rPr>
        <w:rFonts w:ascii="Times New Roman" w:hAnsi="Times New Roman"/>
        <w:noProof/>
        <w:sz w:val="20"/>
      </w:rPr>
      <w:t>9</w:t>
    </w:r>
    <w:r w:rsidRPr="004C0CFD">
      <w:rPr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1B" w:rsidRDefault="0044611B">
      <w:r>
        <w:separator/>
      </w:r>
    </w:p>
  </w:footnote>
  <w:footnote w:type="continuationSeparator" w:id="0">
    <w:p w:rsidR="0044611B" w:rsidRDefault="0044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1B" w:rsidRPr="003C669D" w:rsidRDefault="0044611B" w:rsidP="005F4B31">
    <w:pPr>
      <w:pStyle w:val="Footer"/>
      <w:tabs>
        <w:tab w:val="left" w:pos="-142"/>
        <w:tab w:val="right" w:pos="9214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261"/>
    <w:multiLevelType w:val="hybridMultilevel"/>
    <w:tmpl w:val="F17E1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2B6"/>
    <w:multiLevelType w:val="hybridMultilevel"/>
    <w:tmpl w:val="F72AB22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3A58BD"/>
    <w:multiLevelType w:val="hybridMultilevel"/>
    <w:tmpl w:val="AAD8B00E"/>
    <w:lvl w:ilvl="0" w:tplc="9976E01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85C317E"/>
    <w:multiLevelType w:val="hybridMultilevel"/>
    <w:tmpl w:val="B462C046"/>
    <w:lvl w:ilvl="0" w:tplc="0402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2147629C"/>
    <w:multiLevelType w:val="hybridMultilevel"/>
    <w:tmpl w:val="A27AB13A"/>
    <w:lvl w:ilvl="0" w:tplc="9976E0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4465"/>
    <w:multiLevelType w:val="multilevel"/>
    <w:tmpl w:val="878A59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F54711"/>
    <w:multiLevelType w:val="hybridMultilevel"/>
    <w:tmpl w:val="1E0C158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5B44F5"/>
    <w:multiLevelType w:val="hybridMultilevel"/>
    <w:tmpl w:val="43E043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0A07"/>
    <w:multiLevelType w:val="hybridMultilevel"/>
    <w:tmpl w:val="98CA0B2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9D2D88"/>
    <w:multiLevelType w:val="hybridMultilevel"/>
    <w:tmpl w:val="A96AEBAC"/>
    <w:lvl w:ilvl="0" w:tplc="0402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E53430"/>
    <w:multiLevelType w:val="multilevel"/>
    <w:tmpl w:val="878A59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5926E1"/>
    <w:multiLevelType w:val="multilevel"/>
    <w:tmpl w:val="878A59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244315"/>
    <w:multiLevelType w:val="hybridMultilevel"/>
    <w:tmpl w:val="8A2AC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BC0"/>
    <w:multiLevelType w:val="hybridMultilevel"/>
    <w:tmpl w:val="AAD8B00E"/>
    <w:lvl w:ilvl="0" w:tplc="9976E01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57BB5A59"/>
    <w:multiLevelType w:val="hybridMultilevel"/>
    <w:tmpl w:val="CF42D5F0"/>
    <w:lvl w:ilvl="0" w:tplc="87D8F9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56622"/>
    <w:multiLevelType w:val="hybridMultilevel"/>
    <w:tmpl w:val="0C36EEA6"/>
    <w:lvl w:ilvl="0" w:tplc="9976E0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24254"/>
    <w:multiLevelType w:val="hybridMultilevel"/>
    <w:tmpl w:val="A83A5D4C"/>
    <w:lvl w:ilvl="0" w:tplc="0402000F">
      <w:start w:val="1"/>
      <w:numFmt w:val="decimal"/>
      <w:lvlText w:val="%1."/>
      <w:lvlJc w:val="left"/>
      <w:pPr>
        <w:ind w:left="1364" w:hanging="360"/>
      </w:p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36B5105"/>
    <w:multiLevelType w:val="hybridMultilevel"/>
    <w:tmpl w:val="453090E4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D64356"/>
    <w:multiLevelType w:val="hybridMultilevel"/>
    <w:tmpl w:val="159664D2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EE3A95"/>
    <w:multiLevelType w:val="multilevel"/>
    <w:tmpl w:val="878A59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5B003D"/>
    <w:multiLevelType w:val="hybridMultilevel"/>
    <w:tmpl w:val="AC5CEDA4"/>
    <w:lvl w:ilvl="0" w:tplc="30DCB07A">
      <w:start w:val="1"/>
      <w:numFmt w:val="decimal"/>
      <w:lvlText w:val="%1."/>
      <w:lvlJc w:val="left"/>
      <w:pPr>
        <w:ind w:left="8157" w:hanging="360"/>
      </w:pPr>
      <w:rPr>
        <w:rFonts w:hint="default"/>
        <w:i w:val="0"/>
      </w:rPr>
    </w:lvl>
    <w:lvl w:ilvl="1" w:tplc="87D8F92A">
      <w:numFmt w:val="bullet"/>
      <w:lvlText w:val="-"/>
      <w:lvlJc w:val="left"/>
      <w:pPr>
        <w:ind w:left="8877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9597" w:hanging="180"/>
      </w:pPr>
    </w:lvl>
    <w:lvl w:ilvl="3" w:tplc="0402000F" w:tentative="1">
      <w:start w:val="1"/>
      <w:numFmt w:val="decimal"/>
      <w:lvlText w:val="%4."/>
      <w:lvlJc w:val="left"/>
      <w:pPr>
        <w:ind w:left="10317" w:hanging="360"/>
      </w:pPr>
    </w:lvl>
    <w:lvl w:ilvl="4" w:tplc="04020019" w:tentative="1">
      <w:start w:val="1"/>
      <w:numFmt w:val="lowerLetter"/>
      <w:lvlText w:val="%5."/>
      <w:lvlJc w:val="left"/>
      <w:pPr>
        <w:ind w:left="11037" w:hanging="360"/>
      </w:pPr>
    </w:lvl>
    <w:lvl w:ilvl="5" w:tplc="0402001B" w:tentative="1">
      <w:start w:val="1"/>
      <w:numFmt w:val="lowerRoman"/>
      <w:lvlText w:val="%6."/>
      <w:lvlJc w:val="right"/>
      <w:pPr>
        <w:ind w:left="11757" w:hanging="180"/>
      </w:pPr>
    </w:lvl>
    <w:lvl w:ilvl="6" w:tplc="0402000F" w:tentative="1">
      <w:start w:val="1"/>
      <w:numFmt w:val="decimal"/>
      <w:lvlText w:val="%7."/>
      <w:lvlJc w:val="left"/>
      <w:pPr>
        <w:ind w:left="12477" w:hanging="360"/>
      </w:pPr>
    </w:lvl>
    <w:lvl w:ilvl="7" w:tplc="04020019" w:tentative="1">
      <w:start w:val="1"/>
      <w:numFmt w:val="lowerLetter"/>
      <w:lvlText w:val="%8."/>
      <w:lvlJc w:val="left"/>
      <w:pPr>
        <w:ind w:left="13197" w:hanging="360"/>
      </w:pPr>
    </w:lvl>
    <w:lvl w:ilvl="8" w:tplc="0402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1" w15:restartNumberingAfterBreak="0">
    <w:nsid w:val="71521712"/>
    <w:multiLevelType w:val="hybridMultilevel"/>
    <w:tmpl w:val="4C6E93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873715"/>
    <w:multiLevelType w:val="hybridMultilevel"/>
    <w:tmpl w:val="DE24CE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0"/>
  </w:num>
  <w:num w:numId="5">
    <w:abstractNumId w:val="19"/>
  </w:num>
  <w:num w:numId="6">
    <w:abstractNumId w:val="11"/>
  </w:num>
  <w:num w:numId="7">
    <w:abstractNumId w:val="14"/>
  </w:num>
  <w:num w:numId="8">
    <w:abstractNumId w:val="17"/>
  </w:num>
  <w:num w:numId="9">
    <w:abstractNumId w:val="16"/>
  </w:num>
  <w:num w:numId="10">
    <w:abstractNumId w:val="13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15"/>
  </w:num>
  <w:num w:numId="16">
    <w:abstractNumId w:val="22"/>
  </w:num>
  <w:num w:numId="17">
    <w:abstractNumId w:val="12"/>
  </w:num>
  <w:num w:numId="18">
    <w:abstractNumId w:val="0"/>
  </w:num>
  <w:num w:numId="19">
    <w:abstractNumId w:val="9"/>
  </w:num>
  <w:num w:numId="20">
    <w:abstractNumId w:val="2"/>
  </w:num>
  <w:num w:numId="21">
    <w:abstractNumId w:val="7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6E"/>
    <w:rsid w:val="00004AC6"/>
    <w:rsid w:val="00007F93"/>
    <w:rsid w:val="000132DB"/>
    <w:rsid w:val="00014AAA"/>
    <w:rsid w:val="00082698"/>
    <w:rsid w:val="00091034"/>
    <w:rsid w:val="00096A41"/>
    <w:rsid w:val="000B75D7"/>
    <w:rsid w:val="000D3802"/>
    <w:rsid w:val="000E280A"/>
    <w:rsid w:val="00130CBA"/>
    <w:rsid w:val="00136A9E"/>
    <w:rsid w:val="001374F3"/>
    <w:rsid w:val="00147A75"/>
    <w:rsid w:val="001605A1"/>
    <w:rsid w:val="00160E94"/>
    <w:rsid w:val="0016134E"/>
    <w:rsid w:val="00162200"/>
    <w:rsid w:val="00173710"/>
    <w:rsid w:val="001954BD"/>
    <w:rsid w:val="001955D0"/>
    <w:rsid w:val="001A0F57"/>
    <w:rsid w:val="001A7413"/>
    <w:rsid w:val="001B5473"/>
    <w:rsid w:val="002120AD"/>
    <w:rsid w:val="00230987"/>
    <w:rsid w:val="002323A3"/>
    <w:rsid w:val="00243157"/>
    <w:rsid w:val="002461AC"/>
    <w:rsid w:val="00270587"/>
    <w:rsid w:val="00275905"/>
    <w:rsid w:val="00276F66"/>
    <w:rsid w:val="00277577"/>
    <w:rsid w:val="00295DC7"/>
    <w:rsid w:val="002A03D1"/>
    <w:rsid w:val="002A763B"/>
    <w:rsid w:val="002B2DEA"/>
    <w:rsid w:val="002B75FC"/>
    <w:rsid w:val="002C0688"/>
    <w:rsid w:val="002C1712"/>
    <w:rsid w:val="002D1C45"/>
    <w:rsid w:val="0030007C"/>
    <w:rsid w:val="00314EB4"/>
    <w:rsid w:val="00317C7C"/>
    <w:rsid w:val="00377C2A"/>
    <w:rsid w:val="00390FF0"/>
    <w:rsid w:val="003B286E"/>
    <w:rsid w:val="003B2ECF"/>
    <w:rsid w:val="003B7D46"/>
    <w:rsid w:val="003C66E1"/>
    <w:rsid w:val="003D5762"/>
    <w:rsid w:val="00444C39"/>
    <w:rsid w:val="0044611B"/>
    <w:rsid w:val="004717B3"/>
    <w:rsid w:val="00472C6E"/>
    <w:rsid w:val="004979DF"/>
    <w:rsid w:val="004A7AF3"/>
    <w:rsid w:val="004C35D4"/>
    <w:rsid w:val="004E0CC3"/>
    <w:rsid w:val="004F214B"/>
    <w:rsid w:val="00522FAD"/>
    <w:rsid w:val="0054276F"/>
    <w:rsid w:val="005428FF"/>
    <w:rsid w:val="00543B82"/>
    <w:rsid w:val="0054462A"/>
    <w:rsid w:val="005A6C3D"/>
    <w:rsid w:val="005A77DB"/>
    <w:rsid w:val="005C7069"/>
    <w:rsid w:val="005F4B31"/>
    <w:rsid w:val="005F4B51"/>
    <w:rsid w:val="006155B0"/>
    <w:rsid w:val="00622901"/>
    <w:rsid w:val="0063483D"/>
    <w:rsid w:val="00641F8E"/>
    <w:rsid w:val="00642831"/>
    <w:rsid w:val="0064419E"/>
    <w:rsid w:val="006971FC"/>
    <w:rsid w:val="006B24E3"/>
    <w:rsid w:val="006F3D89"/>
    <w:rsid w:val="00711877"/>
    <w:rsid w:val="007125B1"/>
    <w:rsid w:val="00712C92"/>
    <w:rsid w:val="00720B1C"/>
    <w:rsid w:val="00725B45"/>
    <w:rsid w:val="00731F94"/>
    <w:rsid w:val="00734810"/>
    <w:rsid w:val="00754996"/>
    <w:rsid w:val="00761BE8"/>
    <w:rsid w:val="00765FD0"/>
    <w:rsid w:val="00774B2B"/>
    <w:rsid w:val="00782CF8"/>
    <w:rsid w:val="007A749D"/>
    <w:rsid w:val="007A7ED8"/>
    <w:rsid w:val="007D6C1A"/>
    <w:rsid w:val="007E71D6"/>
    <w:rsid w:val="007F263F"/>
    <w:rsid w:val="00803148"/>
    <w:rsid w:val="008213BA"/>
    <w:rsid w:val="008226D8"/>
    <w:rsid w:val="0083406F"/>
    <w:rsid w:val="00840E33"/>
    <w:rsid w:val="0085114A"/>
    <w:rsid w:val="0086006E"/>
    <w:rsid w:val="00863E88"/>
    <w:rsid w:val="00867021"/>
    <w:rsid w:val="00880774"/>
    <w:rsid w:val="00894EB4"/>
    <w:rsid w:val="008D0335"/>
    <w:rsid w:val="008F0BB6"/>
    <w:rsid w:val="008F2B11"/>
    <w:rsid w:val="009004FF"/>
    <w:rsid w:val="00902557"/>
    <w:rsid w:val="00915648"/>
    <w:rsid w:val="00915A3A"/>
    <w:rsid w:val="00926DAA"/>
    <w:rsid w:val="009723D1"/>
    <w:rsid w:val="00981978"/>
    <w:rsid w:val="00994030"/>
    <w:rsid w:val="009D6392"/>
    <w:rsid w:val="009F1A35"/>
    <w:rsid w:val="009F24D2"/>
    <w:rsid w:val="009F7324"/>
    <w:rsid w:val="00A21830"/>
    <w:rsid w:val="00A307B0"/>
    <w:rsid w:val="00A31FFC"/>
    <w:rsid w:val="00A36F80"/>
    <w:rsid w:val="00A375B9"/>
    <w:rsid w:val="00A47B69"/>
    <w:rsid w:val="00A5337E"/>
    <w:rsid w:val="00AA4F90"/>
    <w:rsid w:val="00AB2663"/>
    <w:rsid w:val="00AB2C18"/>
    <w:rsid w:val="00B171B1"/>
    <w:rsid w:val="00B31DF1"/>
    <w:rsid w:val="00B47911"/>
    <w:rsid w:val="00B73E1D"/>
    <w:rsid w:val="00B96A01"/>
    <w:rsid w:val="00BA2508"/>
    <w:rsid w:val="00C269E1"/>
    <w:rsid w:val="00C56176"/>
    <w:rsid w:val="00C7394E"/>
    <w:rsid w:val="00C77C3A"/>
    <w:rsid w:val="00C91D3D"/>
    <w:rsid w:val="00CE7BE4"/>
    <w:rsid w:val="00CF33CF"/>
    <w:rsid w:val="00D05679"/>
    <w:rsid w:val="00D05CBD"/>
    <w:rsid w:val="00D07747"/>
    <w:rsid w:val="00D41F3B"/>
    <w:rsid w:val="00D60AAF"/>
    <w:rsid w:val="00D73767"/>
    <w:rsid w:val="00D83256"/>
    <w:rsid w:val="00D837EA"/>
    <w:rsid w:val="00D87C46"/>
    <w:rsid w:val="00DA31A4"/>
    <w:rsid w:val="00DC7C61"/>
    <w:rsid w:val="00DE49A0"/>
    <w:rsid w:val="00E061E1"/>
    <w:rsid w:val="00E06E06"/>
    <w:rsid w:val="00E146DC"/>
    <w:rsid w:val="00E22368"/>
    <w:rsid w:val="00E25771"/>
    <w:rsid w:val="00E35F16"/>
    <w:rsid w:val="00E466DA"/>
    <w:rsid w:val="00E51E8E"/>
    <w:rsid w:val="00E525B4"/>
    <w:rsid w:val="00E702B0"/>
    <w:rsid w:val="00E73CA0"/>
    <w:rsid w:val="00E91422"/>
    <w:rsid w:val="00E975F8"/>
    <w:rsid w:val="00E97EB0"/>
    <w:rsid w:val="00EB103F"/>
    <w:rsid w:val="00EB322B"/>
    <w:rsid w:val="00EB4CC9"/>
    <w:rsid w:val="00EE4D58"/>
    <w:rsid w:val="00EE587A"/>
    <w:rsid w:val="00F04ED8"/>
    <w:rsid w:val="00F42097"/>
    <w:rsid w:val="00F70794"/>
    <w:rsid w:val="00FC6ACF"/>
    <w:rsid w:val="00FF0141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8EE4-6339-4F57-853D-8172DBCB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86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aliases w:val="Stopka Znak Char"/>
    <w:link w:val="Footer"/>
    <w:uiPriority w:val="99"/>
    <w:rsid w:val="003B286E"/>
    <w:rPr>
      <w:rFonts w:ascii="Arial" w:eastAsia="Times New Roman" w:hAnsi="Arial" w:cs="Times New Roman"/>
      <w:sz w:val="24"/>
      <w:lang w:val="en-AU" w:eastAsia="bg-BG"/>
    </w:rPr>
  </w:style>
  <w:style w:type="paragraph" w:styleId="Footer">
    <w:name w:val="footer"/>
    <w:aliases w:val="Stopka Znak"/>
    <w:basedOn w:val="Normal"/>
    <w:link w:val="FooterChar"/>
    <w:uiPriority w:val="99"/>
    <w:rsid w:val="003B286E"/>
    <w:pPr>
      <w:tabs>
        <w:tab w:val="center" w:pos="4536"/>
        <w:tab w:val="right" w:pos="9072"/>
      </w:tabs>
    </w:pPr>
    <w:rPr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3B286E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TOC1">
    <w:name w:val="toc 1"/>
    <w:basedOn w:val="Normal"/>
    <w:next w:val="Normal"/>
    <w:uiPriority w:val="39"/>
    <w:rsid w:val="003B286E"/>
    <w:rPr>
      <w:rFonts w:ascii="Times New Roman" w:hAnsi="Times New Roman"/>
      <w:sz w:val="20"/>
      <w:lang w:val="en-US" w:eastAsia="en-GB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3B28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3B286E"/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46"/>
    <w:rPr>
      <w:rFonts w:ascii="Segoe UI" w:eastAsia="Times New Roman" w:hAnsi="Segoe UI" w:cs="Segoe UI"/>
      <w:sz w:val="18"/>
      <w:szCs w:val="18"/>
      <w:lang w:val="en-AU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F3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A48"/>
    <w:rPr>
      <w:rFonts w:ascii="Arial" w:eastAsia="Times New Roman" w:hAnsi="Arial" w:cs="Times New Roman"/>
      <w:sz w:val="20"/>
      <w:szCs w:val="20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A48"/>
    <w:rPr>
      <w:rFonts w:ascii="Arial" w:eastAsia="Times New Roman" w:hAnsi="Arial" w:cs="Times New Roman"/>
      <w:b/>
      <w:bCs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2474-ABF0-4BDB-9694-21D650FF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Mayia Alimanova</cp:lastModifiedBy>
  <cp:revision>3</cp:revision>
  <cp:lastPrinted>2019-08-12T13:56:00Z</cp:lastPrinted>
  <dcterms:created xsi:type="dcterms:W3CDTF">2019-08-12T13:51:00Z</dcterms:created>
  <dcterms:modified xsi:type="dcterms:W3CDTF">2019-08-12T13:59:00Z</dcterms:modified>
</cp:coreProperties>
</file>