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57" w:rsidRPr="00763457" w:rsidRDefault="00763457" w:rsidP="00763457">
      <w:pPr>
        <w:ind w:left="360"/>
        <w:jc w:val="right"/>
        <w:rPr>
          <w:b/>
          <w:caps/>
          <w:lang w:eastAsia="en-US"/>
        </w:rPr>
      </w:pPr>
      <w:r>
        <w:rPr>
          <w:b/>
          <w:lang w:eastAsia="en-US"/>
        </w:rPr>
        <w:t>П</w:t>
      </w:r>
      <w:r w:rsidRPr="00763457">
        <w:rPr>
          <w:b/>
          <w:lang w:eastAsia="en-US"/>
        </w:rPr>
        <w:t>риложение № 1</w:t>
      </w:r>
    </w:p>
    <w:p w:rsidR="00423074" w:rsidRDefault="00423074" w:rsidP="00763457">
      <w:pPr>
        <w:ind w:left="360"/>
        <w:jc w:val="center"/>
        <w:rPr>
          <w:rFonts w:ascii="Times New Roman Bold" w:hAnsi="Times New Roman Bold"/>
          <w:b/>
          <w:caps/>
          <w:lang w:val="en-US" w:eastAsia="en-US"/>
        </w:rPr>
      </w:pPr>
    </w:p>
    <w:p w:rsidR="00763457" w:rsidRDefault="00763457" w:rsidP="00763457">
      <w:pPr>
        <w:ind w:left="360"/>
        <w:jc w:val="center"/>
        <w:rPr>
          <w:rFonts w:ascii="Times New Roman Bold" w:hAnsi="Times New Roman Bold"/>
          <w:b/>
          <w:caps/>
          <w:lang w:val="en-US" w:eastAsia="en-US"/>
        </w:rPr>
      </w:pPr>
      <w:r w:rsidRPr="00C731BD">
        <w:rPr>
          <w:rFonts w:ascii="Times New Roman Bold" w:hAnsi="Times New Roman Bold"/>
          <w:b/>
          <w:caps/>
          <w:lang w:val="en-US" w:eastAsia="en-US"/>
        </w:rPr>
        <w:t>Техническа спецификация</w:t>
      </w:r>
    </w:p>
    <w:p w:rsidR="00763457" w:rsidRDefault="00763457" w:rsidP="00763457">
      <w:pPr>
        <w:ind w:left="360"/>
        <w:jc w:val="both"/>
        <w:rPr>
          <w:rFonts w:ascii="Times New Roman Bold" w:hAnsi="Times New Roman Bold"/>
          <w:b/>
          <w:caps/>
          <w:lang w:val="en-US" w:eastAsia="en-US"/>
        </w:rPr>
      </w:pPr>
    </w:p>
    <w:p w:rsidR="00763457" w:rsidRPr="00763457" w:rsidRDefault="00763457" w:rsidP="00763457">
      <w:pPr>
        <w:pStyle w:val="ListParagraph"/>
        <w:jc w:val="both"/>
        <w:rPr>
          <w:rFonts w:ascii="Times New Roman Bold" w:hAnsi="Times New Roman Bold"/>
          <w:b/>
          <w:caps/>
          <w:lang w:val="en-US" w:eastAsia="en-US"/>
        </w:rPr>
      </w:pPr>
      <w:r w:rsidRPr="00763457">
        <w:rPr>
          <w:rFonts w:eastAsia="Calibri"/>
          <w:b/>
          <w:color w:val="000000"/>
          <w:lang w:eastAsia="en-US"/>
        </w:rPr>
        <w:t>Описание на наличната Географска информационна система на МТИТС</w:t>
      </w:r>
    </w:p>
    <w:p w:rsidR="00763457" w:rsidRPr="00C731BD" w:rsidRDefault="00763457" w:rsidP="00763457">
      <w:pPr>
        <w:spacing w:before="120" w:after="200"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C731BD">
        <w:rPr>
          <w:rFonts w:eastAsia="Calibri"/>
          <w:color w:val="000000"/>
          <w:lang w:eastAsia="en-US"/>
        </w:rPr>
        <w:t xml:space="preserve">През </w:t>
      </w:r>
      <w:smartTag w:uri="urn:schemas-microsoft-com:office:smarttags" w:element="metricconverter">
        <w:smartTagPr>
          <w:attr w:name="ProductID" w:val="2001 г"/>
        </w:smartTagPr>
        <w:r w:rsidRPr="00C731BD">
          <w:rPr>
            <w:rFonts w:eastAsia="Calibri"/>
            <w:color w:val="000000"/>
            <w:lang w:eastAsia="en-US"/>
          </w:rPr>
          <w:t>2001 г</w:t>
        </w:r>
      </w:smartTag>
      <w:r w:rsidRPr="00C731BD">
        <w:rPr>
          <w:rFonts w:eastAsia="Calibri"/>
          <w:color w:val="000000"/>
          <w:lang w:eastAsia="en-US"/>
        </w:rPr>
        <w:t>. с доставката на оборудването за Ситуационния център на МТИТС е закупена Географската информационна система (ГИС) с цел подпомагане вземането на информирани решения посредством пространствено моделиране, при възникване на кризисни ситуации от военен и невоенен характер. Придоби</w:t>
      </w:r>
      <w:r>
        <w:rPr>
          <w:rFonts w:eastAsia="Calibri"/>
          <w:color w:val="000000"/>
          <w:lang w:eastAsia="en-US"/>
        </w:rPr>
        <w:t xml:space="preserve">тата ГИС от МТИТС се </w:t>
      </w:r>
      <w:r w:rsidR="00237376">
        <w:rPr>
          <w:rFonts w:eastAsia="Calibri"/>
          <w:color w:val="000000"/>
          <w:lang w:eastAsia="en-US"/>
        </w:rPr>
        <w:t>е състояла от</w:t>
      </w:r>
      <w:r w:rsidRPr="00C731BD">
        <w:rPr>
          <w:rFonts w:eastAsia="Calibri"/>
          <w:color w:val="000000"/>
          <w:lang w:eastAsia="en-US"/>
        </w:rPr>
        <w:t>:</w:t>
      </w:r>
    </w:p>
    <w:p w:rsidR="00763457" w:rsidRPr="00C731BD" w:rsidRDefault="00763457" w:rsidP="00763457">
      <w:pPr>
        <w:numPr>
          <w:ilvl w:val="0"/>
          <w:numId w:val="2"/>
        </w:numPr>
        <w:spacing w:before="120"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Приложен ГИС софтуер за управление при кризи; </w:t>
      </w:r>
    </w:p>
    <w:p w:rsidR="00763457" w:rsidRPr="00C731BD" w:rsidRDefault="00763457" w:rsidP="00763457">
      <w:pPr>
        <w:numPr>
          <w:ilvl w:val="0"/>
          <w:numId w:val="2"/>
        </w:numPr>
        <w:spacing w:before="120"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C731BD">
        <w:rPr>
          <w:rFonts w:eastAsia="Calibri"/>
          <w:color w:val="000000"/>
          <w:lang w:eastAsia="en-US"/>
        </w:rPr>
        <w:t xml:space="preserve">ГИС сървърен софтуер </w:t>
      </w:r>
      <w:proofErr w:type="spellStart"/>
      <w:r w:rsidRPr="00C731BD">
        <w:rPr>
          <w:rFonts w:eastAsia="Calibri"/>
          <w:color w:val="000000"/>
          <w:lang w:eastAsia="en-US"/>
        </w:rPr>
        <w:t>ArcGIS</w:t>
      </w:r>
      <w:proofErr w:type="spellEnd"/>
      <w:r w:rsidRPr="00C731BD">
        <w:rPr>
          <w:rFonts w:eastAsia="Calibri"/>
          <w:color w:val="000000"/>
          <w:lang w:eastAsia="en-US"/>
        </w:rPr>
        <w:t xml:space="preserve"> </w:t>
      </w:r>
      <w:proofErr w:type="spellStart"/>
      <w:r w:rsidRPr="00C731BD">
        <w:rPr>
          <w:rFonts w:eastAsia="Calibri"/>
          <w:color w:val="000000"/>
          <w:lang w:eastAsia="en-US"/>
        </w:rPr>
        <w:t>for</w:t>
      </w:r>
      <w:proofErr w:type="spellEnd"/>
      <w:r w:rsidRPr="00C731BD">
        <w:rPr>
          <w:rFonts w:eastAsia="Calibri"/>
          <w:color w:val="000000"/>
          <w:lang w:eastAsia="en-US"/>
        </w:rPr>
        <w:t xml:space="preserve"> Server </w:t>
      </w:r>
      <w:proofErr w:type="spellStart"/>
      <w:r w:rsidRPr="00C731BD">
        <w:rPr>
          <w:rFonts w:eastAsia="Calibri"/>
          <w:color w:val="000000"/>
          <w:lang w:eastAsia="en-US"/>
        </w:rPr>
        <w:t>Workgroup</w:t>
      </w:r>
      <w:proofErr w:type="spellEnd"/>
      <w:r w:rsidRPr="00C731BD">
        <w:rPr>
          <w:rFonts w:eastAsia="Calibri"/>
          <w:color w:val="000000"/>
          <w:lang w:eastAsia="en-US"/>
        </w:rPr>
        <w:t xml:space="preserve"> Standard – 1 бр. лиценз за 2 </w:t>
      </w:r>
      <w:proofErr w:type="spellStart"/>
      <w:r w:rsidRPr="00C731BD">
        <w:rPr>
          <w:rFonts w:eastAsia="Calibri"/>
          <w:color w:val="000000"/>
          <w:lang w:eastAsia="en-US"/>
        </w:rPr>
        <w:t>процесорни</w:t>
      </w:r>
      <w:proofErr w:type="spellEnd"/>
      <w:r w:rsidRPr="00C731BD">
        <w:rPr>
          <w:rFonts w:eastAsia="Calibri"/>
          <w:color w:val="000000"/>
          <w:lang w:eastAsia="en-US"/>
        </w:rPr>
        <w:t xml:space="preserve"> ядра, 10 </w:t>
      </w:r>
      <w:proofErr w:type="spellStart"/>
      <w:r w:rsidRPr="00C731BD">
        <w:rPr>
          <w:rFonts w:eastAsia="Calibri"/>
          <w:color w:val="000000"/>
          <w:lang w:eastAsia="en-US"/>
        </w:rPr>
        <w:t>конекции</w:t>
      </w:r>
      <w:proofErr w:type="spellEnd"/>
      <w:r w:rsidRPr="00C731BD">
        <w:rPr>
          <w:rFonts w:eastAsia="Calibri"/>
          <w:color w:val="000000"/>
          <w:lang w:eastAsia="en-US"/>
        </w:rPr>
        <w:t xml:space="preserve"> и 10 GB данни;</w:t>
      </w:r>
    </w:p>
    <w:p w:rsidR="00763457" w:rsidRDefault="00763457" w:rsidP="00763457">
      <w:pPr>
        <w:numPr>
          <w:ilvl w:val="0"/>
          <w:numId w:val="2"/>
        </w:numPr>
        <w:spacing w:before="120"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C731BD">
        <w:rPr>
          <w:rFonts w:eastAsia="Calibri"/>
          <w:color w:val="000000"/>
          <w:lang w:eastAsia="en-US"/>
        </w:rPr>
        <w:t xml:space="preserve">ГИС настолен  редактор </w:t>
      </w:r>
      <w:proofErr w:type="spellStart"/>
      <w:r w:rsidRPr="00C731BD">
        <w:rPr>
          <w:rFonts w:eastAsia="Calibri"/>
          <w:color w:val="000000"/>
          <w:lang w:eastAsia="en-US"/>
        </w:rPr>
        <w:t>ArcGIS</w:t>
      </w:r>
      <w:proofErr w:type="spellEnd"/>
      <w:r w:rsidRPr="00C731BD">
        <w:rPr>
          <w:rFonts w:eastAsia="Calibri"/>
          <w:color w:val="000000"/>
          <w:lang w:eastAsia="en-US"/>
        </w:rPr>
        <w:t xml:space="preserve"> </w:t>
      </w:r>
      <w:proofErr w:type="spellStart"/>
      <w:r w:rsidRPr="00C731BD">
        <w:rPr>
          <w:rFonts w:eastAsia="Calibri"/>
          <w:color w:val="000000"/>
          <w:lang w:eastAsia="en-US"/>
        </w:rPr>
        <w:t>for</w:t>
      </w:r>
      <w:proofErr w:type="spellEnd"/>
      <w:r w:rsidRPr="00C731BD">
        <w:rPr>
          <w:rFonts w:eastAsia="Calibri"/>
          <w:color w:val="000000"/>
          <w:lang w:eastAsia="en-US"/>
        </w:rPr>
        <w:t xml:space="preserve"> </w:t>
      </w:r>
      <w:proofErr w:type="spellStart"/>
      <w:r w:rsidRPr="00C731BD">
        <w:rPr>
          <w:rFonts w:eastAsia="Calibri"/>
          <w:color w:val="000000"/>
          <w:lang w:eastAsia="en-US"/>
        </w:rPr>
        <w:t>Desktop</w:t>
      </w:r>
      <w:proofErr w:type="spellEnd"/>
      <w:r w:rsidRPr="00C731BD">
        <w:rPr>
          <w:rFonts w:eastAsia="Calibri"/>
          <w:color w:val="000000"/>
          <w:lang w:eastAsia="en-US"/>
        </w:rPr>
        <w:t xml:space="preserve"> </w:t>
      </w:r>
      <w:proofErr w:type="spellStart"/>
      <w:r w:rsidRPr="00C731BD">
        <w:rPr>
          <w:rFonts w:eastAsia="Calibri"/>
          <w:color w:val="000000"/>
          <w:lang w:eastAsia="en-US"/>
        </w:rPr>
        <w:t>Basic</w:t>
      </w:r>
      <w:proofErr w:type="spellEnd"/>
      <w:r w:rsidRPr="00C731BD">
        <w:rPr>
          <w:rFonts w:eastAsia="Calibri"/>
          <w:color w:val="000000"/>
          <w:lang w:eastAsia="en-US"/>
        </w:rPr>
        <w:t xml:space="preserve"> (бивше наименование </w:t>
      </w:r>
      <w:r w:rsidRPr="00C731BD">
        <w:rPr>
          <w:rFonts w:eastAsia="Calibri"/>
          <w:color w:val="000000"/>
          <w:lang w:val="en-US" w:eastAsia="en-US"/>
        </w:rPr>
        <w:t>ArcView</w:t>
      </w:r>
      <w:r w:rsidRPr="00C731BD">
        <w:rPr>
          <w:rFonts w:eastAsia="Calibri"/>
          <w:color w:val="000000"/>
          <w:lang w:eastAsia="en-US"/>
        </w:rPr>
        <w:t>);</w:t>
      </w:r>
    </w:p>
    <w:p w:rsidR="00237376" w:rsidRDefault="00237376" w:rsidP="00763457">
      <w:pPr>
        <w:suppressAutoHyphens/>
        <w:jc w:val="both"/>
        <w:rPr>
          <w:rFonts w:eastAsia="Calibri"/>
          <w:color w:val="000000"/>
          <w:lang w:eastAsia="en-US"/>
        </w:rPr>
      </w:pPr>
    </w:p>
    <w:p w:rsidR="00237376" w:rsidRPr="00B522AD" w:rsidRDefault="00B93792" w:rsidP="00237376">
      <w:pPr>
        <w:ind w:firstLine="567"/>
        <w:jc w:val="both"/>
        <w:rPr>
          <w:rFonts w:eastAsia="MS Mincho"/>
          <w:color w:val="000000"/>
        </w:rPr>
      </w:pPr>
      <w:r>
        <w:rPr>
          <w:color w:val="000000"/>
        </w:rPr>
        <w:t>През 2015 г.</w:t>
      </w:r>
      <w:r w:rsidR="00237376">
        <w:t xml:space="preserve">  базовия ГИС софтуер бе надграден и развит</w:t>
      </w:r>
      <w:r w:rsidR="00237376" w:rsidRPr="004E0191">
        <w:rPr>
          <w:rFonts w:eastAsia="MS Mincho"/>
          <w:color w:val="000000"/>
        </w:rPr>
        <w:t>.</w:t>
      </w:r>
      <w:r w:rsidR="00237376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 xml:space="preserve"> С</w:t>
      </w:r>
      <w:r w:rsidR="00237376" w:rsidRPr="0059592E">
        <w:rPr>
          <w:rFonts w:eastAsia="MS Mincho"/>
          <w:color w:val="000000"/>
        </w:rPr>
        <w:t>ъзда</w:t>
      </w:r>
      <w:r>
        <w:rPr>
          <w:rFonts w:eastAsia="MS Mincho"/>
          <w:color w:val="000000"/>
        </w:rPr>
        <w:t>де</w:t>
      </w:r>
      <w:r w:rsidR="00D332FE">
        <w:rPr>
          <w:rFonts w:eastAsia="MS Mincho"/>
          <w:color w:val="000000"/>
        </w:rPr>
        <w:t>на</w:t>
      </w:r>
      <w:r>
        <w:rPr>
          <w:rFonts w:eastAsia="MS Mincho"/>
          <w:color w:val="000000"/>
        </w:rPr>
        <w:t xml:space="preserve"> бе</w:t>
      </w:r>
      <w:r w:rsidR="00237376" w:rsidRPr="0059592E">
        <w:rPr>
          <w:rFonts w:eastAsia="MS Mincho"/>
          <w:color w:val="000000"/>
        </w:rPr>
        <w:t xml:space="preserve"> единна информационна среда за поддържане и управление на специализираните данни и информация</w:t>
      </w:r>
      <w:r w:rsidR="004949CF">
        <w:rPr>
          <w:rFonts w:eastAsia="MS Mincho"/>
          <w:color w:val="000000"/>
        </w:rPr>
        <w:t>, за което</w:t>
      </w:r>
      <w:r w:rsidR="00237376">
        <w:rPr>
          <w:rFonts w:eastAsia="MS Mincho"/>
          <w:color w:val="000000"/>
        </w:rPr>
        <w:t xml:space="preserve">:   </w:t>
      </w:r>
    </w:p>
    <w:p w:rsidR="00237376" w:rsidRDefault="004949CF" w:rsidP="0023737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а</w:t>
      </w:r>
      <w:r w:rsidR="00237376" w:rsidRPr="00C731BD">
        <w:rPr>
          <w:rFonts w:eastAsia="Calibri"/>
          <w:color w:val="000000"/>
          <w:lang w:eastAsia="en-US"/>
        </w:rPr>
        <w:t>ктуализ</w:t>
      </w:r>
      <w:r w:rsidR="00237376">
        <w:rPr>
          <w:rFonts w:eastAsia="Calibri"/>
          <w:color w:val="000000"/>
          <w:lang w:eastAsia="en-US"/>
        </w:rPr>
        <w:t>ира</w:t>
      </w:r>
      <w:r>
        <w:rPr>
          <w:rFonts w:eastAsia="Calibri"/>
          <w:color w:val="000000"/>
          <w:lang w:eastAsia="en-US"/>
        </w:rPr>
        <w:t>н е</w:t>
      </w:r>
      <w:r w:rsidR="00237376" w:rsidRPr="00C731BD">
        <w:rPr>
          <w:rFonts w:eastAsia="Calibri"/>
          <w:color w:val="000000"/>
          <w:lang w:eastAsia="en-US"/>
        </w:rPr>
        <w:t xml:space="preserve"> наличния базов ГИС сървърен софтуер </w:t>
      </w:r>
      <w:proofErr w:type="spellStart"/>
      <w:r w:rsidR="00237376" w:rsidRPr="00C731BD">
        <w:rPr>
          <w:rFonts w:eastAsia="Calibri"/>
          <w:color w:val="000000"/>
          <w:lang w:eastAsia="en-US"/>
        </w:rPr>
        <w:t>ArcGIS</w:t>
      </w:r>
      <w:proofErr w:type="spellEnd"/>
      <w:r w:rsidR="00237376" w:rsidRPr="00C731BD">
        <w:rPr>
          <w:rFonts w:eastAsia="Calibri"/>
          <w:color w:val="000000"/>
          <w:lang w:eastAsia="en-US"/>
        </w:rPr>
        <w:t xml:space="preserve"> </w:t>
      </w:r>
      <w:proofErr w:type="spellStart"/>
      <w:r w:rsidR="00237376" w:rsidRPr="00C731BD">
        <w:rPr>
          <w:rFonts w:eastAsia="Calibri"/>
          <w:color w:val="000000"/>
          <w:lang w:eastAsia="en-US"/>
        </w:rPr>
        <w:t>for</w:t>
      </w:r>
      <w:proofErr w:type="spellEnd"/>
      <w:r w:rsidR="00237376" w:rsidRPr="00C731BD">
        <w:rPr>
          <w:rFonts w:eastAsia="Calibri"/>
          <w:color w:val="000000"/>
          <w:lang w:eastAsia="en-US"/>
        </w:rPr>
        <w:t xml:space="preserve"> Server </w:t>
      </w:r>
      <w:proofErr w:type="spellStart"/>
      <w:r w:rsidR="00237376" w:rsidRPr="00C731BD">
        <w:rPr>
          <w:rFonts w:eastAsia="Calibri"/>
          <w:color w:val="000000"/>
          <w:lang w:eastAsia="en-US"/>
        </w:rPr>
        <w:t>Workgroup</w:t>
      </w:r>
      <w:proofErr w:type="spellEnd"/>
      <w:r w:rsidR="00237376" w:rsidRPr="00C731BD">
        <w:rPr>
          <w:rFonts w:eastAsia="Calibri"/>
          <w:color w:val="000000"/>
          <w:lang w:eastAsia="en-US"/>
        </w:rPr>
        <w:t xml:space="preserve"> Standard </w:t>
      </w:r>
      <w:r w:rsidR="00237376">
        <w:rPr>
          <w:rFonts w:eastAsia="Calibri"/>
          <w:color w:val="000000"/>
          <w:lang w:eastAsia="en-US"/>
        </w:rPr>
        <w:t>или еквивалент</w:t>
      </w:r>
      <w:r w:rsidR="00237376" w:rsidRPr="00C731BD">
        <w:rPr>
          <w:rFonts w:eastAsia="Calibri"/>
          <w:color w:val="000000"/>
          <w:lang w:eastAsia="en-US"/>
        </w:rPr>
        <w:t xml:space="preserve"> – </w:t>
      </w:r>
      <w:r w:rsidR="00237376">
        <w:rPr>
          <w:rFonts w:eastAsia="Calibri"/>
          <w:color w:val="000000"/>
          <w:lang w:eastAsia="en-US"/>
        </w:rPr>
        <w:t xml:space="preserve">достави се </w:t>
      </w:r>
      <w:r w:rsidR="00237376" w:rsidRPr="00C731BD">
        <w:rPr>
          <w:rFonts w:eastAsia="Calibri"/>
          <w:color w:val="000000"/>
          <w:lang w:eastAsia="en-US"/>
        </w:rPr>
        <w:t>1</w:t>
      </w:r>
      <w:r w:rsidR="00237376">
        <w:rPr>
          <w:rFonts w:eastAsia="Calibri"/>
          <w:color w:val="000000"/>
          <w:lang w:eastAsia="en-US"/>
        </w:rPr>
        <w:t xml:space="preserve"> </w:t>
      </w:r>
      <w:r w:rsidR="00237376" w:rsidRPr="00C731BD">
        <w:rPr>
          <w:rFonts w:eastAsia="Calibri"/>
          <w:color w:val="000000"/>
          <w:lang w:eastAsia="en-US"/>
        </w:rPr>
        <w:t xml:space="preserve">бр. лиценз </w:t>
      </w:r>
      <w:r w:rsidR="00237376">
        <w:rPr>
          <w:rFonts w:eastAsia="Calibri"/>
          <w:color w:val="000000"/>
          <w:lang w:eastAsia="en-US"/>
        </w:rPr>
        <w:t>към последна версия</w:t>
      </w:r>
      <w:r w:rsidR="00237376" w:rsidRPr="00C731BD">
        <w:rPr>
          <w:rFonts w:eastAsia="Calibri"/>
          <w:color w:val="000000"/>
          <w:lang w:eastAsia="en-US"/>
        </w:rPr>
        <w:t>;</w:t>
      </w:r>
    </w:p>
    <w:p w:rsidR="00237376" w:rsidRDefault="004949CF" w:rsidP="0023737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извършена е </w:t>
      </w:r>
      <w:r w:rsidR="00237376">
        <w:rPr>
          <w:rFonts w:eastAsia="Calibri"/>
          <w:color w:val="000000"/>
          <w:lang w:eastAsia="en-US"/>
        </w:rPr>
        <w:t xml:space="preserve">миграция на наличния приложен ГИС софтуер в МТИТС  към </w:t>
      </w:r>
      <w:r w:rsidR="00237376" w:rsidRPr="00457190">
        <w:rPr>
          <w:rFonts w:eastAsia="Calibri"/>
          <w:color w:val="000000"/>
          <w:lang w:eastAsia="en-US"/>
        </w:rPr>
        <w:t>последна версия</w:t>
      </w:r>
      <w:r w:rsidR="00237376">
        <w:rPr>
          <w:rFonts w:eastAsia="Calibri"/>
          <w:color w:val="000000"/>
          <w:lang w:eastAsia="en-US"/>
        </w:rPr>
        <w:t xml:space="preserve"> на доставяния ГИС софтуер; </w:t>
      </w:r>
    </w:p>
    <w:p w:rsidR="00237376" w:rsidRDefault="00237376" w:rsidP="0023737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</w:t>
      </w:r>
      <w:r w:rsidRPr="00C731BD">
        <w:rPr>
          <w:rFonts w:eastAsia="Calibri"/>
          <w:color w:val="000000"/>
          <w:lang w:eastAsia="en-US"/>
        </w:rPr>
        <w:t>остав</w:t>
      </w:r>
      <w:r w:rsidR="004949CF">
        <w:rPr>
          <w:rFonts w:eastAsia="Calibri"/>
          <w:color w:val="000000"/>
          <w:lang w:eastAsia="en-US"/>
        </w:rPr>
        <w:t xml:space="preserve">ена </w:t>
      </w:r>
      <w:r>
        <w:rPr>
          <w:rFonts w:eastAsia="Calibri"/>
          <w:color w:val="000000"/>
          <w:lang w:eastAsia="en-US"/>
        </w:rPr>
        <w:t xml:space="preserve"> и </w:t>
      </w:r>
      <w:proofErr w:type="spellStart"/>
      <w:r>
        <w:rPr>
          <w:rFonts w:eastAsia="Calibri"/>
          <w:color w:val="000000"/>
          <w:lang w:eastAsia="en-US"/>
        </w:rPr>
        <w:t>къстамизира</w:t>
      </w:r>
      <w:r w:rsidR="004949CF">
        <w:rPr>
          <w:rFonts w:eastAsia="Calibri"/>
          <w:color w:val="000000"/>
          <w:lang w:eastAsia="en-US"/>
        </w:rPr>
        <w:t>на</w:t>
      </w:r>
      <w:proofErr w:type="spellEnd"/>
      <w:r w:rsidR="004949CF">
        <w:rPr>
          <w:rFonts w:eastAsia="Calibri"/>
          <w:color w:val="000000"/>
          <w:lang w:eastAsia="en-US"/>
        </w:rPr>
        <w:t xml:space="preserve"> е</w:t>
      </w:r>
      <w:r>
        <w:rPr>
          <w:rFonts w:eastAsia="Calibri"/>
          <w:color w:val="000000"/>
          <w:lang w:eastAsia="en-US"/>
        </w:rPr>
        <w:t xml:space="preserve"> специализирана ГИС за управление при кризисни ситуации </w:t>
      </w:r>
      <w:r w:rsidRPr="00C731BD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</w:t>
      </w:r>
      <w:r w:rsidRPr="00C731BD">
        <w:rPr>
          <w:rFonts w:eastAsia="Calibri"/>
          <w:color w:val="000000"/>
          <w:lang w:eastAsia="en-US"/>
        </w:rPr>
        <w:t xml:space="preserve">към наличния базов ГИС сървърен софтуер; </w:t>
      </w:r>
    </w:p>
    <w:p w:rsidR="00237376" w:rsidRPr="00E80610" w:rsidRDefault="00237376" w:rsidP="0023737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E80610">
        <w:rPr>
          <w:rFonts w:eastAsia="Calibri"/>
          <w:color w:val="000000"/>
          <w:lang w:eastAsia="en-US"/>
        </w:rPr>
        <w:t>модифицира</w:t>
      </w:r>
      <w:r w:rsidR="004949CF">
        <w:rPr>
          <w:rFonts w:eastAsia="Calibri"/>
          <w:color w:val="000000"/>
          <w:lang w:eastAsia="en-US"/>
        </w:rPr>
        <w:t>на е</w:t>
      </w:r>
      <w:r>
        <w:rPr>
          <w:rFonts w:eastAsia="Calibri"/>
          <w:color w:val="000000"/>
          <w:lang w:eastAsia="en-US"/>
        </w:rPr>
        <w:t xml:space="preserve"> </w:t>
      </w:r>
      <w:r w:rsidRPr="00E80610">
        <w:rPr>
          <w:rFonts w:eastAsia="Calibri"/>
          <w:color w:val="000000"/>
          <w:lang w:eastAsia="en-US"/>
        </w:rPr>
        <w:t>ГИС на МТИТС чрез обвързване с базата данни на държавно предприятие Национална компания „Железопътна инфраструктура“.</w:t>
      </w:r>
    </w:p>
    <w:p w:rsidR="00237376" w:rsidRPr="000453D5" w:rsidRDefault="004949CF" w:rsidP="00237376">
      <w:pPr>
        <w:numPr>
          <w:ilvl w:val="0"/>
          <w:numId w:val="7"/>
        </w:numPr>
        <w:ind w:left="1122" w:hanging="357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о</w:t>
      </w:r>
      <w:r w:rsidR="00237376">
        <w:rPr>
          <w:rFonts w:eastAsia="MS Mincho"/>
          <w:color w:val="000000"/>
        </w:rPr>
        <w:t>буч</w:t>
      </w:r>
      <w:r>
        <w:rPr>
          <w:rFonts w:eastAsia="MS Mincho"/>
          <w:color w:val="000000"/>
        </w:rPr>
        <w:t>ени са</w:t>
      </w:r>
      <w:r w:rsidR="00237376">
        <w:rPr>
          <w:rFonts w:eastAsia="MS Mincho"/>
          <w:color w:val="000000"/>
        </w:rPr>
        <w:t xml:space="preserve"> трима служители на дирекция БТНУК за работа с </w:t>
      </w:r>
      <w:r w:rsidR="00237376">
        <w:rPr>
          <w:color w:val="000000"/>
        </w:rPr>
        <w:t>а</w:t>
      </w:r>
      <w:r w:rsidR="00237376" w:rsidRPr="004E0191">
        <w:rPr>
          <w:color w:val="000000"/>
        </w:rPr>
        <w:t>ктуализ</w:t>
      </w:r>
      <w:r w:rsidR="00237376">
        <w:rPr>
          <w:color w:val="000000"/>
        </w:rPr>
        <w:t>ирания</w:t>
      </w:r>
      <w:r w:rsidR="00237376" w:rsidRPr="004E0191">
        <w:rPr>
          <w:color w:val="000000"/>
        </w:rPr>
        <w:t xml:space="preserve"> ГИС </w:t>
      </w:r>
      <w:r w:rsidR="00237376">
        <w:rPr>
          <w:color w:val="000000"/>
        </w:rPr>
        <w:t xml:space="preserve"> </w:t>
      </w:r>
      <w:r w:rsidR="00237376" w:rsidRPr="004E0191">
        <w:rPr>
          <w:color w:val="000000"/>
        </w:rPr>
        <w:t xml:space="preserve">софтуер </w:t>
      </w:r>
      <w:r w:rsidR="00237376">
        <w:rPr>
          <w:color w:val="000000"/>
        </w:rPr>
        <w:t xml:space="preserve">и </w:t>
      </w:r>
      <w:r w:rsidR="00237376" w:rsidRPr="004E0191">
        <w:rPr>
          <w:color w:val="000000"/>
        </w:rPr>
        <w:t>специализиран</w:t>
      </w:r>
      <w:r w:rsidR="00237376">
        <w:rPr>
          <w:color w:val="000000"/>
        </w:rPr>
        <w:t>ата ГИС за управление при кризисни ситуации;</w:t>
      </w:r>
      <w:r w:rsidR="00237376" w:rsidRPr="004E0191">
        <w:rPr>
          <w:color w:val="000000"/>
        </w:rPr>
        <w:t xml:space="preserve"> </w:t>
      </w:r>
    </w:p>
    <w:p w:rsidR="00237376" w:rsidRDefault="00237376" w:rsidP="00237376">
      <w:pPr>
        <w:ind w:firstLine="720"/>
        <w:jc w:val="both"/>
      </w:pPr>
      <w:r>
        <w:t xml:space="preserve"> </w:t>
      </w:r>
    </w:p>
    <w:p w:rsidR="00237376" w:rsidRDefault="00237376" w:rsidP="00237376">
      <w:pPr>
        <w:spacing w:before="120" w:line="240" w:lineRule="atLeast"/>
        <w:ind w:firstLine="708"/>
        <w:jc w:val="both"/>
        <w:rPr>
          <w:bCs/>
          <w:color w:val="000000"/>
        </w:rPr>
      </w:pPr>
      <w:r>
        <w:rPr>
          <w:rFonts w:eastAsia="MS Mincho"/>
          <w:color w:val="000000"/>
        </w:rPr>
        <w:t xml:space="preserve"> </w:t>
      </w:r>
      <w:r>
        <w:rPr>
          <w:rFonts w:eastAsia="Calibri"/>
          <w:color w:val="000000"/>
          <w:lang w:eastAsia="en-US"/>
        </w:rPr>
        <w:t>Специализираната ГИС за управление при кризисни ситуации</w:t>
      </w:r>
      <w:r>
        <w:rPr>
          <w:rFonts w:eastAsia="MS Mincho"/>
          <w:color w:val="000000"/>
        </w:rPr>
        <w:t xml:space="preserve"> </w:t>
      </w:r>
      <w:r w:rsidRPr="0059592E">
        <w:rPr>
          <w:rFonts w:eastAsia="MS Mincho"/>
          <w:color w:val="000000"/>
        </w:rPr>
        <w:t>оптимизира процесите при управление на кризисни ситуации</w:t>
      </w:r>
      <w:r>
        <w:rPr>
          <w:rFonts w:eastAsia="MS Mincho"/>
          <w:color w:val="000000"/>
        </w:rPr>
        <w:t xml:space="preserve"> от военен и невоенен характер, като осигури следните функционални възможности</w:t>
      </w:r>
      <w:r w:rsidRPr="0059592E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</w:p>
    <w:p w:rsidR="00237376" w:rsidRDefault="00237376" w:rsidP="00237376">
      <w:pPr>
        <w:spacing w:before="120" w:line="240" w:lineRule="atLeast"/>
        <w:ind w:firstLine="708"/>
        <w:jc w:val="both"/>
        <w:rPr>
          <w:bCs/>
          <w:color w:val="000000"/>
        </w:rPr>
      </w:pPr>
    </w:p>
    <w:p w:rsidR="004F6AF3" w:rsidRPr="00C731BD" w:rsidRDefault="004F6AF3" w:rsidP="004F6AF3">
      <w:pPr>
        <w:numPr>
          <w:ilvl w:val="2"/>
          <w:numId w:val="3"/>
        </w:numPr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C731BD">
        <w:rPr>
          <w:rFonts w:eastAsia="Calibri"/>
          <w:b/>
          <w:i/>
          <w:color w:val="000000"/>
          <w:lang w:eastAsia="en-US"/>
        </w:rPr>
        <w:t>Управление на данни</w:t>
      </w:r>
      <w:r>
        <w:rPr>
          <w:rFonts w:eastAsia="Calibri"/>
          <w:color w:val="000000"/>
          <w:lang w:eastAsia="en-US"/>
        </w:rPr>
        <w:t xml:space="preserve"> – </w:t>
      </w:r>
      <w:r w:rsidRPr="00C731BD">
        <w:rPr>
          <w:rFonts w:eastAsia="Calibri"/>
          <w:color w:val="000000"/>
          <w:lang w:eastAsia="en-US"/>
        </w:rPr>
        <w:t>позвол</w:t>
      </w:r>
      <w:r>
        <w:rPr>
          <w:rFonts w:eastAsia="Calibri"/>
          <w:color w:val="000000"/>
          <w:lang w:eastAsia="en-US"/>
        </w:rPr>
        <w:t>и</w:t>
      </w:r>
      <w:r w:rsidRPr="00C731BD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се </w:t>
      </w:r>
      <w:r w:rsidRPr="00C731BD">
        <w:rPr>
          <w:rFonts w:eastAsia="Calibri"/>
          <w:color w:val="000000"/>
          <w:lang w:eastAsia="en-US"/>
        </w:rPr>
        <w:t xml:space="preserve">управление на данните по начин, удобен за анализиране, като </w:t>
      </w:r>
      <w:r>
        <w:rPr>
          <w:rFonts w:eastAsia="Calibri"/>
          <w:color w:val="000000"/>
          <w:lang w:eastAsia="en-US"/>
        </w:rPr>
        <w:t xml:space="preserve">се </w:t>
      </w:r>
      <w:r w:rsidRPr="00C731BD">
        <w:rPr>
          <w:rFonts w:eastAsia="Calibri"/>
          <w:color w:val="000000"/>
          <w:lang w:eastAsia="en-US"/>
        </w:rPr>
        <w:t>да</w:t>
      </w:r>
      <w:r>
        <w:rPr>
          <w:rFonts w:eastAsia="Calibri"/>
          <w:color w:val="000000"/>
          <w:lang w:eastAsia="en-US"/>
        </w:rPr>
        <w:t>де</w:t>
      </w:r>
      <w:r w:rsidRPr="00C731BD">
        <w:rPr>
          <w:rFonts w:eastAsia="Calibri"/>
          <w:color w:val="000000"/>
          <w:lang w:eastAsia="en-US"/>
        </w:rPr>
        <w:t xml:space="preserve"> възможност различните потребители лесно да споделят информация помежду си или да формират различни „общности“ за взимане на адекватни решения </w:t>
      </w:r>
      <w:r>
        <w:rPr>
          <w:rFonts w:eastAsia="Calibri"/>
          <w:color w:val="000000"/>
          <w:lang w:eastAsia="en-US"/>
        </w:rPr>
        <w:t>при кризисни/аварийни ситуации;</w:t>
      </w:r>
    </w:p>
    <w:p w:rsidR="004F6AF3" w:rsidRPr="00C731BD" w:rsidRDefault="004F6AF3" w:rsidP="004F6AF3">
      <w:pPr>
        <w:numPr>
          <w:ilvl w:val="2"/>
          <w:numId w:val="3"/>
        </w:numPr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C731BD">
        <w:rPr>
          <w:rFonts w:eastAsia="Calibri"/>
          <w:b/>
          <w:i/>
          <w:color w:val="000000"/>
          <w:lang w:eastAsia="en-US"/>
        </w:rPr>
        <w:t>Планиране и анализ</w:t>
      </w:r>
      <w:r>
        <w:rPr>
          <w:rFonts w:eastAsia="Calibri"/>
          <w:color w:val="000000"/>
          <w:lang w:eastAsia="en-US"/>
        </w:rPr>
        <w:t xml:space="preserve">  –  </w:t>
      </w:r>
      <w:r w:rsidRPr="00C731BD">
        <w:rPr>
          <w:rFonts w:eastAsia="Calibri"/>
          <w:color w:val="000000"/>
          <w:lang w:eastAsia="en-US"/>
        </w:rPr>
        <w:t>позвол</w:t>
      </w:r>
      <w:r>
        <w:rPr>
          <w:rFonts w:eastAsia="Calibri"/>
          <w:color w:val="000000"/>
          <w:lang w:eastAsia="en-US"/>
        </w:rPr>
        <w:t>и</w:t>
      </w:r>
      <w:r w:rsidRPr="00C731BD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се </w:t>
      </w:r>
      <w:r w:rsidRPr="00C731BD">
        <w:rPr>
          <w:rFonts w:eastAsia="Calibri"/>
          <w:color w:val="000000"/>
          <w:lang w:eastAsia="en-US"/>
        </w:rPr>
        <w:t>превръщане на „суровите“ данни в полезна и ст</w:t>
      </w:r>
      <w:r>
        <w:rPr>
          <w:rFonts w:eastAsia="Calibri"/>
          <w:color w:val="000000"/>
          <w:lang w:eastAsia="en-US"/>
        </w:rPr>
        <w:t>руктурирана информация, която</w:t>
      </w:r>
      <w:r w:rsidRPr="00C731BD">
        <w:rPr>
          <w:rFonts w:eastAsia="Calibri"/>
          <w:color w:val="000000"/>
          <w:lang w:eastAsia="en-US"/>
        </w:rPr>
        <w:t xml:space="preserve"> подпомага</w:t>
      </w:r>
      <w:r>
        <w:rPr>
          <w:rFonts w:eastAsia="Calibri"/>
          <w:color w:val="000000"/>
          <w:lang w:eastAsia="en-US"/>
        </w:rPr>
        <w:t xml:space="preserve"> вземането на адекватни решения;</w:t>
      </w:r>
      <w:r w:rsidRPr="00C731BD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</w:t>
      </w:r>
    </w:p>
    <w:p w:rsidR="004F6AF3" w:rsidRPr="00C731BD" w:rsidRDefault="004F6AF3" w:rsidP="004F6AF3">
      <w:pPr>
        <w:numPr>
          <w:ilvl w:val="2"/>
          <w:numId w:val="3"/>
        </w:numPr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C731BD">
        <w:rPr>
          <w:rFonts w:eastAsia="Calibri"/>
          <w:b/>
          <w:i/>
          <w:color w:val="000000"/>
          <w:lang w:eastAsia="en-US"/>
        </w:rPr>
        <w:t xml:space="preserve">Обща оперативна картина </w:t>
      </w:r>
      <w:r>
        <w:rPr>
          <w:rFonts w:eastAsia="Calibri"/>
          <w:color w:val="000000"/>
          <w:lang w:eastAsia="en-US"/>
        </w:rPr>
        <w:t>– даде се възможност за представяне на</w:t>
      </w:r>
      <w:r w:rsidRPr="00C731BD">
        <w:rPr>
          <w:rFonts w:eastAsia="Calibri"/>
          <w:color w:val="000000"/>
          <w:lang w:eastAsia="en-US"/>
        </w:rPr>
        <w:t xml:space="preserve"> информация за възникналата ситуация, визуализирана върху картова подложка, позволяваща тактическо планиране за овладяване на бедствията и показваща пълна картина на текущата ситуация. </w:t>
      </w:r>
      <w:r>
        <w:rPr>
          <w:rFonts w:eastAsia="Calibri"/>
          <w:color w:val="000000"/>
          <w:lang w:eastAsia="en-US"/>
        </w:rPr>
        <w:t>Това позволи</w:t>
      </w:r>
      <w:r w:rsidRPr="00C731BD">
        <w:rPr>
          <w:rFonts w:eastAsia="Calibri"/>
          <w:color w:val="000000"/>
          <w:lang w:eastAsia="en-US"/>
        </w:rPr>
        <w:t>:</w:t>
      </w:r>
    </w:p>
    <w:p w:rsidR="004F6AF3" w:rsidRPr="00C731BD" w:rsidRDefault="004F6AF3" w:rsidP="004F6AF3">
      <w:pPr>
        <w:numPr>
          <w:ilvl w:val="3"/>
          <w:numId w:val="4"/>
        </w:numPr>
        <w:spacing w:after="200" w:line="276" w:lineRule="auto"/>
        <w:ind w:left="2127" w:hanging="426"/>
        <w:contextualSpacing/>
        <w:jc w:val="both"/>
        <w:rPr>
          <w:rFonts w:eastAsia="Calibri"/>
          <w:color w:val="000000"/>
          <w:lang w:eastAsia="en-US"/>
        </w:rPr>
      </w:pPr>
      <w:r w:rsidRPr="00C731BD">
        <w:rPr>
          <w:rFonts w:eastAsia="Calibri"/>
          <w:color w:val="000000"/>
          <w:lang w:eastAsia="en-US"/>
        </w:rPr>
        <w:t>Преместване по картата и промяна на мащаба</w:t>
      </w:r>
      <w:r>
        <w:rPr>
          <w:rFonts w:eastAsia="Calibri"/>
          <w:color w:val="000000"/>
          <w:lang w:eastAsia="en-US"/>
        </w:rPr>
        <w:t>;</w:t>
      </w:r>
    </w:p>
    <w:p w:rsidR="004F6AF3" w:rsidRPr="00C731BD" w:rsidRDefault="004F6AF3" w:rsidP="004F6AF3">
      <w:pPr>
        <w:numPr>
          <w:ilvl w:val="3"/>
          <w:numId w:val="4"/>
        </w:numPr>
        <w:spacing w:after="200" w:line="276" w:lineRule="auto"/>
        <w:ind w:left="2127" w:hanging="426"/>
        <w:contextualSpacing/>
        <w:jc w:val="both"/>
        <w:rPr>
          <w:rFonts w:eastAsia="Calibri"/>
          <w:color w:val="000000"/>
          <w:lang w:eastAsia="en-US"/>
        </w:rPr>
      </w:pPr>
      <w:r w:rsidRPr="00C731BD">
        <w:rPr>
          <w:rFonts w:eastAsia="Calibri"/>
          <w:color w:val="000000"/>
          <w:lang w:eastAsia="en-US"/>
        </w:rPr>
        <w:lastRenderedPageBreak/>
        <w:t>Визуализиране на произшествията с условни знаци в зависимост от типа и тежестта им</w:t>
      </w:r>
      <w:r>
        <w:rPr>
          <w:rFonts w:eastAsia="Calibri"/>
          <w:color w:val="000000"/>
          <w:lang w:eastAsia="en-US"/>
        </w:rPr>
        <w:t>;</w:t>
      </w:r>
    </w:p>
    <w:p w:rsidR="004F6AF3" w:rsidRPr="00C731BD" w:rsidRDefault="004F6AF3" w:rsidP="004F6AF3">
      <w:pPr>
        <w:numPr>
          <w:ilvl w:val="3"/>
          <w:numId w:val="4"/>
        </w:numPr>
        <w:spacing w:after="200" w:line="276" w:lineRule="auto"/>
        <w:ind w:left="2127" w:hanging="426"/>
        <w:contextualSpacing/>
        <w:jc w:val="both"/>
        <w:rPr>
          <w:rFonts w:eastAsia="Calibri"/>
          <w:color w:val="000000"/>
          <w:lang w:eastAsia="en-US"/>
        </w:rPr>
      </w:pPr>
      <w:r w:rsidRPr="00C731BD">
        <w:rPr>
          <w:rFonts w:eastAsia="Calibri"/>
          <w:color w:val="000000"/>
          <w:lang w:eastAsia="en-US"/>
        </w:rPr>
        <w:t xml:space="preserve">Позициониране към </w:t>
      </w:r>
      <w:proofErr w:type="spellStart"/>
      <w:r w:rsidRPr="00C731BD">
        <w:rPr>
          <w:rFonts w:eastAsia="Calibri"/>
          <w:color w:val="000000"/>
          <w:lang w:eastAsia="en-US"/>
        </w:rPr>
        <w:t>новопостъпило</w:t>
      </w:r>
      <w:proofErr w:type="spellEnd"/>
      <w:r w:rsidRPr="00C731BD">
        <w:rPr>
          <w:rFonts w:eastAsia="Calibri"/>
          <w:color w:val="000000"/>
          <w:lang w:eastAsia="en-US"/>
        </w:rPr>
        <w:t xml:space="preserve"> произшествие и преглед на информацията за </w:t>
      </w:r>
      <w:proofErr w:type="spellStart"/>
      <w:r w:rsidRPr="00C731BD">
        <w:rPr>
          <w:rFonts w:eastAsia="Calibri"/>
          <w:color w:val="000000"/>
          <w:lang w:eastAsia="en-US"/>
        </w:rPr>
        <w:t>новопостъпили</w:t>
      </w:r>
      <w:proofErr w:type="spellEnd"/>
      <w:r w:rsidRPr="00C731BD">
        <w:rPr>
          <w:rFonts w:eastAsia="Calibri"/>
          <w:color w:val="000000"/>
          <w:lang w:eastAsia="en-US"/>
        </w:rPr>
        <w:t xml:space="preserve"> произшествия</w:t>
      </w:r>
      <w:r>
        <w:rPr>
          <w:rFonts w:eastAsia="Calibri"/>
          <w:color w:val="000000"/>
          <w:lang w:eastAsia="en-US"/>
        </w:rPr>
        <w:t>;</w:t>
      </w:r>
    </w:p>
    <w:p w:rsidR="004F6AF3" w:rsidRPr="00C731BD" w:rsidRDefault="004F6AF3" w:rsidP="004F6AF3">
      <w:pPr>
        <w:numPr>
          <w:ilvl w:val="2"/>
          <w:numId w:val="3"/>
        </w:numPr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C731BD">
        <w:rPr>
          <w:rFonts w:eastAsia="Calibri"/>
          <w:b/>
          <w:i/>
          <w:color w:val="000000"/>
          <w:lang w:eastAsia="en-US"/>
        </w:rPr>
        <w:t>Справки и отчети</w:t>
      </w:r>
      <w:r w:rsidRPr="00C731BD">
        <w:rPr>
          <w:rFonts w:eastAsia="Calibri"/>
          <w:color w:val="000000"/>
          <w:lang w:eastAsia="en-US"/>
        </w:rPr>
        <w:t xml:space="preserve"> – </w:t>
      </w:r>
      <w:r>
        <w:rPr>
          <w:rFonts w:eastAsia="Calibri"/>
          <w:color w:val="000000"/>
          <w:lang w:eastAsia="en-US"/>
        </w:rPr>
        <w:t xml:space="preserve">даде се възможност за </w:t>
      </w:r>
      <w:r w:rsidRPr="00C731BD">
        <w:rPr>
          <w:rFonts w:eastAsia="Calibri"/>
          <w:color w:val="000000"/>
          <w:lang w:eastAsia="en-US"/>
        </w:rPr>
        <w:t>генериране на справки и отчети сле</w:t>
      </w:r>
      <w:r>
        <w:rPr>
          <w:rFonts w:eastAsia="Calibri"/>
          <w:color w:val="000000"/>
          <w:lang w:eastAsia="en-US"/>
        </w:rPr>
        <w:t>д приключване на дадено събитие;</w:t>
      </w:r>
      <w:r w:rsidRPr="00C731BD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</w:t>
      </w:r>
    </w:p>
    <w:p w:rsidR="004F6AF3" w:rsidRPr="00C731BD" w:rsidRDefault="004F6AF3" w:rsidP="004F6AF3">
      <w:pPr>
        <w:numPr>
          <w:ilvl w:val="2"/>
          <w:numId w:val="3"/>
        </w:numPr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C731BD">
        <w:rPr>
          <w:rFonts w:eastAsia="Calibri"/>
          <w:b/>
          <w:i/>
          <w:color w:val="000000"/>
          <w:lang w:eastAsia="en-US"/>
        </w:rPr>
        <w:t xml:space="preserve">Мобилни </w:t>
      </w:r>
      <w:r w:rsidRPr="00C731BD">
        <w:rPr>
          <w:rFonts w:eastAsia="Calibri"/>
          <w:color w:val="000000"/>
          <w:lang w:eastAsia="en-US"/>
        </w:rPr>
        <w:t xml:space="preserve">– </w:t>
      </w:r>
      <w:r>
        <w:rPr>
          <w:rFonts w:eastAsia="Calibri"/>
          <w:color w:val="000000"/>
          <w:lang w:eastAsia="en-US"/>
        </w:rPr>
        <w:t xml:space="preserve">даде се </w:t>
      </w:r>
      <w:r w:rsidRPr="00C731BD">
        <w:rPr>
          <w:rFonts w:eastAsia="Calibri"/>
          <w:color w:val="000000"/>
          <w:lang w:eastAsia="en-US"/>
        </w:rPr>
        <w:t>възможност за връзка от и към мобилни приложения.</w:t>
      </w:r>
      <w:r>
        <w:rPr>
          <w:rFonts w:eastAsia="Calibri"/>
          <w:color w:val="000000"/>
          <w:lang w:eastAsia="en-US"/>
        </w:rPr>
        <w:t xml:space="preserve">  </w:t>
      </w:r>
    </w:p>
    <w:p w:rsidR="009B36B8" w:rsidRDefault="009B36B8" w:rsidP="00237376">
      <w:pPr>
        <w:spacing w:before="120" w:line="240" w:lineRule="atLeast"/>
        <w:jc w:val="both"/>
        <w:rPr>
          <w:bCs/>
          <w:color w:val="000000"/>
        </w:rPr>
      </w:pPr>
    </w:p>
    <w:p w:rsidR="00B93792" w:rsidRPr="009B36B8" w:rsidRDefault="00B93792" w:rsidP="009B36B8">
      <w:pPr>
        <w:ind w:firstLine="708"/>
        <w:jc w:val="both"/>
        <w:rPr>
          <w:rFonts w:eastAsia="Calibri"/>
          <w:b/>
          <w:color w:val="000000"/>
          <w:lang w:eastAsia="en-US"/>
        </w:rPr>
      </w:pPr>
      <w:r w:rsidRPr="009B36B8">
        <w:rPr>
          <w:rFonts w:eastAsia="Calibri"/>
          <w:b/>
          <w:color w:val="000000"/>
          <w:lang w:eastAsia="en-US"/>
        </w:rPr>
        <w:t xml:space="preserve">С цел подобряване готовността на МТИТС за навременна и ефективна реакция в кризисна ситуация от военен и невоенен характер е необходимо  съществуващия ГИС софтуер да бъде надграден и развит както следва:  </w:t>
      </w:r>
    </w:p>
    <w:p w:rsidR="00B93792" w:rsidRDefault="00B93792" w:rsidP="00237376">
      <w:pPr>
        <w:spacing w:before="120" w:line="240" w:lineRule="atLeast"/>
        <w:jc w:val="both"/>
        <w:rPr>
          <w:bCs/>
          <w:color w:val="000000"/>
        </w:rPr>
      </w:pPr>
    </w:p>
    <w:p w:rsidR="00B93792" w:rsidRPr="00B93792" w:rsidRDefault="00B93792" w:rsidP="00B93792">
      <w:pPr>
        <w:spacing w:after="200" w:line="276" w:lineRule="auto"/>
        <w:ind w:firstLine="708"/>
        <w:contextualSpacing/>
        <w:jc w:val="both"/>
        <w:rPr>
          <w:rFonts w:eastAsia="PMingLiU"/>
        </w:rPr>
      </w:pPr>
      <w:r w:rsidRPr="00B93792">
        <w:rPr>
          <w:b/>
        </w:rPr>
        <w:t>Развитие</w:t>
      </w:r>
      <w:r w:rsidRPr="00B93792">
        <w:rPr>
          <w:rFonts w:eastAsia="PMingLiU"/>
          <w:b/>
        </w:rPr>
        <w:t xml:space="preserve"> на атрибутната информация на въвежданите в системата събития, ресурси и справки.</w:t>
      </w:r>
      <w:r w:rsidRPr="00B93792">
        <w:rPr>
          <w:rFonts w:eastAsia="PMingLiU"/>
        </w:rPr>
        <w:t xml:space="preserve"> Изпълнителят следва да извърши следните дейности:</w:t>
      </w:r>
    </w:p>
    <w:p w:rsidR="00B93792" w:rsidRPr="00B93792" w:rsidRDefault="00B93792" w:rsidP="00B9379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PMingLiU"/>
        </w:rPr>
      </w:pPr>
      <w:r w:rsidRPr="00B93792">
        <w:rPr>
          <w:rFonts w:eastAsia="PMingLiU"/>
        </w:rPr>
        <w:t>Дефиниране на допълнителната атрибутна информация необходима за създаване на събития, ресурси, справки в зависимост от новата с</w:t>
      </w:r>
      <w:r w:rsidR="00A806C5">
        <w:rPr>
          <w:rFonts w:eastAsia="PMingLiU"/>
        </w:rPr>
        <w:t xml:space="preserve">труктура на базата данни и </w:t>
      </w:r>
      <w:proofErr w:type="spellStart"/>
      <w:r w:rsidR="00A806C5">
        <w:rPr>
          <w:rFonts w:eastAsia="PMingLiU"/>
        </w:rPr>
        <w:t>ново</w:t>
      </w:r>
      <w:r w:rsidRPr="00B93792">
        <w:rPr>
          <w:rFonts w:eastAsia="PMingLiU"/>
        </w:rPr>
        <w:t>постъпилите</w:t>
      </w:r>
      <w:proofErr w:type="spellEnd"/>
      <w:r w:rsidRPr="00B93792">
        <w:rPr>
          <w:rFonts w:eastAsia="PMingLiU"/>
        </w:rPr>
        <w:t xml:space="preserve"> от ГИС на </w:t>
      </w:r>
      <w:r w:rsidRPr="00B93792">
        <w:t xml:space="preserve">Държавно предприятие „Пристанищна инфраструктура“ </w:t>
      </w:r>
      <w:r w:rsidRPr="00B93792">
        <w:rPr>
          <w:rFonts w:eastAsia="PMingLiU"/>
        </w:rPr>
        <w:t>данни;</w:t>
      </w:r>
    </w:p>
    <w:p w:rsidR="00B93792" w:rsidRPr="00B93792" w:rsidRDefault="00B93792" w:rsidP="00B9379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PMingLiU"/>
        </w:rPr>
      </w:pPr>
      <w:r w:rsidRPr="00B93792">
        <w:rPr>
          <w:rFonts w:eastAsia="PMingLiU"/>
        </w:rPr>
        <w:t>Съгласуване на дефиниран</w:t>
      </w:r>
      <w:r w:rsidR="00700757">
        <w:rPr>
          <w:rFonts w:eastAsia="PMingLiU"/>
        </w:rPr>
        <w:t xml:space="preserve">ата допълнителна атрибутна информация </w:t>
      </w:r>
      <w:r w:rsidRPr="00B93792">
        <w:rPr>
          <w:rFonts w:eastAsia="PMingLiU"/>
        </w:rPr>
        <w:t xml:space="preserve">с </w:t>
      </w:r>
      <w:r w:rsidR="00700757">
        <w:rPr>
          <w:rFonts w:eastAsia="PMingLiU"/>
        </w:rPr>
        <w:t>възложителя</w:t>
      </w:r>
      <w:r w:rsidRPr="00B93792">
        <w:rPr>
          <w:rFonts w:eastAsia="PMingLiU"/>
        </w:rPr>
        <w:t>;</w:t>
      </w:r>
      <w:r w:rsidR="00700757">
        <w:rPr>
          <w:rFonts w:eastAsia="PMingLiU"/>
        </w:rPr>
        <w:t xml:space="preserve">  </w:t>
      </w:r>
    </w:p>
    <w:p w:rsidR="00B93792" w:rsidRPr="00B93792" w:rsidRDefault="00B93792" w:rsidP="00B9379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PMingLiU"/>
        </w:rPr>
      </w:pPr>
      <w:r w:rsidRPr="00B93792">
        <w:rPr>
          <w:rFonts w:eastAsia="PMingLiU"/>
        </w:rPr>
        <w:t>Разработка на новата функционалност;</w:t>
      </w:r>
    </w:p>
    <w:p w:rsidR="00B93792" w:rsidRPr="00B93792" w:rsidRDefault="00B93792" w:rsidP="00B9379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PMingLiU"/>
        </w:rPr>
      </w:pPr>
      <w:r w:rsidRPr="00B93792">
        <w:rPr>
          <w:rFonts w:eastAsia="PMingLiU"/>
        </w:rPr>
        <w:t>Предоставяне на ръководство за работа със системата</w:t>
      </w:r>
      <w:r w:rsidR="00700757">
        <w:rPr>
          <w:rFonts w:eastAsia="PMingLiU"/>
        </w:rPr>
        <w:t>.</w:t>
      </w:r>
    </w:p>
    <w:p w:rsidR="00B93792" w:rsidRPr="00B93792" w:rsidRDefault="00B93792" w:rsidP="00B93792">
      <w:pPr>
        <w:jc w:val="both"/>
        <w:rPr>
          <w:rFonts w:eastAsia="Calibri"/>
          <w:color w:val="000000"/>
          <w:lang w:eastAsia="en-US"/>
        </w:rPr>
      </w:pPr>
    </w:p>
    <w:p w:rsidR="00B93792" w:rsidRPr="00B93792" w:rsidRDefault="002928C7" w:rsidP="00B93792">
      <w:pPr>
        <w:spacing w:after="200" w:line="276" w:lineRule="auto"/>
        <w:ind w:firstLine="708"/>
        <w:contextualSpacing/>
        <w:jc w:val="both"/>
        <w:rPr>
          <w:rFonts w:eastAsia="Calibri"/>
          <w:color w:val="000000"/>
          <w:lang w:eastAsia="en-US"/>
        </w:rPr>
      </w:pPr>
      <w:r w:rsidRPr="00E23E09">
        <w:rPr>
          <w:rFonts w:eastAsia="Calibri"/>
          <w:b/>
          <w:lang w:eastAsia="en-US"/>
        </w:rPr>
        <w:t xml:space="preserve">Надграждане </w:t>
      </w:r>
      <w:r w:rsidR="00B93792" w:rsidRPr="00B93792">
        <w:rPr>
          <w:rFonts w:eastAsia="Calibri"/>
          <w:b/>
          <w:color w:val="000000"/>
          <w:lang w:eastAsia="en-US"/>
        </w:rPr>
        <w:t>на системата за управление при кризи на МТИТС с базата данни на</w:t>
      </w:r>
      <w:r w:rsidR="00B93792" w:rsidRPr="00B93792">
        <w:t xml:space="preserve"> </w:t>
      </w:r>
      <w:r w:rsidR="00B93792" w:rsidRPr="00BF6DA8">
        <w:rPr>
          <w:b/>
        </w:rPr>
        <w:t>ГИС на Държавно предприятие „Пристанищна инфраструктура“</w:t>
      </w:r>
      <w:r w:rsidR="00B93792" w:rsidRPr="00B93792">
        <w:t xml:space="preserve"> – системата следва да съдържа следната информация, групирана в текущите групи: </w:t>
      </w:r>
    </w:p>
    <w:p w:rsidR="00B93792" w:rsidRPr="00B93792" w:rsidRDefault="00B93792" w:rsidP="00B9379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PMingLiU"/>
        </w:rPr>
      </w:pPr>
      <w:r w:rsidRPr="00B93792">
        <w:rPr>
          <w:rFonts w:eastAsia="PMingLiU"/>
        </w:rPr>
        <w:t>Инфраструктурни обекти  и съоръжения на пристанищ</w:t>
      </w:r>
      <w:r w:rsidR="00A806C5">
        <w:rPr>
          <w:rFonts w:eastAsia="PMingLiU"/>
        </w:rPr>
        <w:t>ата</w:t>
      </w:r>
      <w:r w:rsidRPr="00B93792">
        <w:rPr>
          <w:rFonts w:eastAsia="PMingLiU"/>
        </w:rPr>
        <w:t>;</w:t>
      </w:r>
    </w:p>
    <w:p w:rsidR="00B93792" w:rsidRPr="00B93792" w:rsidRDefault="00B93792" w:rsidP="00B9379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PMingLiU"/>
        </w:rPr>
      </w:pPr>
      <w:r w:rsidRPr="00B93792">
        <w:rPr>
          <w:rFonts w:eastAsia="PMingLiU"/>
        </w:rPr>
        <w:t>Обекти от кадастрална карта</w:t>
      </w:r>
      <w:r w:rsidR="00A806C5">
        <w:rPr>
          <w:rFonts w:eastAsia="PMingLiU"/>
        </w:rPr>
        <w:t xml:space="preserve"> на територията на пристанищата</w:t>
      </w:r>
      <w:r w:rsidRPr="00B93792">
        <w:rPr>
          <w:rFonts w:eastAsia="PMingLiU"/>
        </w:rPr>
        <w:t>;</w:t>
      </w:r>
    </w:p>
    <w:p w:rsidR="00B93792" w:rsidRPr="00B93792" w:rsidRDefault="00B93792" w:rsidP="00B9379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PMingLiU"/>
        </w:rPr>
      </w:pPr>
      <w:r w:rsidRPr="00B93792">
        <w:rPr>
          <w:rFonts w:eastAsia="PMingLiU"/>
        </w:rPr>
        <w:t>ВиК, Електро и Комуникационна инфраструктура и съоръжения</w:t>
      </w:r>
      <w:r w:rsidR="00A806C5">
        <w:rPr>
          <w:rFonts w:eastAsia="PMingLiU"/>
        </w:rPr>
        <w:t xml:space="preserve"> на територията на пристанищата</w:t>
      </w:r>
      <w:r w:rsidRPr="00B93792">
        <w:rPr>
          <w:rFonts w:eastAsia="PMingLiU"/>
        </w:rPr>
        <w:t>;</w:t>
      </w:r>
    </w:p>
    <w:p w:rsidR="00B93792" w:rsidRPr="00B93792" w:rsidRDefault="00B93792" w:rsidP="00B9379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PMingLiU"/>
        </w:rPr>
      </w:pPr>
      <w:r w:rsidRPr="00B93792">
        <w:rPr>
          <w:rFonts w:eastAsia="PMingLiU"/>
        </w:rPr>
        <w:t>ЖП инфраструктура</w:t>
      </w:r>
      <w:r w:rsidR="00A806C5">
        <w:rPr>
          <w:rFonts w:eastAsia="PMingLiU"/>
        </w:rPr>
        <w:t xml:space="preserve"> на територията на пристанищата</w:t>
      </w:r>
      <w:r w:rsidRPr="00B93792">
        <w:rPr>
          <w:rFonts w:eastAsia="PMingLiU"/>
        </w:rPr>
        <w:t>.</w:t>
      </w:r>
    </w:p>
    <w:p w:rsidR="004949CF" w:rsidRDefault="004949CF" w:rsidP="004949CF">
      <w:pPr>
        <w:spacing w:before="120" w:line="240" w:lineRule="atLeast"/>
        <w:ind w:firstLine="708"/>
        <w:jc w:val="both"/>
        <w:rPr>
          <w:rFonts w:eastAsia="MS Mincho"/>
          <w:color w:val="000000"/>
        </w:rPr>
      </w:pPr>
    </w:p>
    <w:p w:rsidR="00901266" w:rsidRDefault="00901266" w:rsidP="00901266">
      <w:pPr>
        <w:spacing w:before="120" w:line="240" w:lineRule="atLeast"/>
        <w:ind w:firstLine="708"/>
        <w:jc w:val="both"/>
        <w:rPr>
          <w:b/>
          <w:color w:val="000000"/>
        </w:rPr>
      </w:pPr>
      <w:r w:rsidRPr="004949CF">
        <w:rPr>
          <w:rFonts w:eastAsia="MS Mincho"/>
          <w:b/>
          <w:color w:val="000000"/>
        </w:rPr>
        <w:t xml:space="preserve">Обучение на трима служители на дирекция БТНУК на МТИТС за работа с надградения и развит </w:t>
      </w:r>
      <w:r w:rsidRPr="004949CF">
        <w:rPr>
          <w:b/>
          <w:color w:val="000000"/>
        </w:rPr>
        <w:t>ГИС  софтуер</w:t>
      </w:r>
      <w:r>
        <w:rPr>
          <w:b/>
          <w:color w:val="000000"/>
        </w:rPr>
        <w:t>.</w:t>
      </w:r>
      <w:r w:rsidRPr="004949CF">
        <w:rPr>
          <w:b/>
          <w:color w:val="000000"/>
        </w:rPr>
        <w:t xml:space="preserve"> </w:t>
      </w:r>
    </w:p>
    <w:p w:rsidR="00E23E09" w:rsidRPr="009410E7" w:rsidRDefault="00E23E09" w:rsidP="00E23E09">
      <w:pPr>
        <w:spacing w:before="120" w:line="240" w:lineRule="atLeast"/>
        <w:ind w:firstLine="708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 Предмет на техническата оценка, подробно описана в Приложение № 4 са наличието на:    </w:t>
      </w:r>
    </w:p>
    <w:p w:rsidR="00C7737E" w:rsidRDefault="00901266" w:rsidP="00C7737E">
      <w:pPr>
        <w:ind w:firstLine="708"/>
        <w:jc w:val="both"/>
        <w:rPr>
          <w:bCs/>
        </w:rPr>
      </w:pPr>
      <w:r w:rsidRPr="00E23E09">
        <w:rPr>
          <w:bCs/>
        </w:rPr>
        <w:t xml:space="preserve">- </w:t>
      </w:r>
      <w:r w:rsidR="009410E7" w:rsidRPr="00E23E09">
        <w:rPr>
          <w:bCs/>
        </w:rPr>
        <w:t>тестова среда, еквивалентна със съществуващата при ВЪЗЛОЖИТЕЛЯ (</w:t>
      </w:r>
      <w:proofErr w:type="spellStart"/>
      <w:r w:rsidR="009410E7" w:rsidRPr="00E23E09">
        <w:rPr>
          <w:rFonts w:eastAsia="Calibri"/>
          <w:lang w:eastAsia="en-US"/>
        </w:rPr>
        <w:t>ArcGIS</w:t>
      </w:r>
      <w:proofErr w:type="spellEnd"/>
      <w:r w:rsidR="009410E7" w:rsidRPr="00E23E09">
        <w:rPr>
          <w:rFonts w:eastAsia="Calibri"/>
          <w:lang w:eastAsia="en-US"/>
        </w:rPr>
        <w:t xml:space="preserve"> </w:t>
      </w:r>
      <w:proofErr w:type="spellStart"/>
      <w:r w:rsidR="009410E7" w:rsidRPr="00E23E09">
        <w:rPr>
          <w:rFonts w:eastAsia="Calibri"/>
          <w:lang w:eastAsia="en-US"/>
        </w:rPr>
        <w:t>for</w:t>
      </w:r>
      <w:proofErr w:type="spellEnd"/>
      <w:r w:rsidR="009410E7" w:rsidRPr="00E23E09">
        <w:rPr>
          <w:rFonts w:eastAsia="Calibri"/>
          <w:lang w:eastAsia="en-US"/>
        </w:rPr>
        <w:t xml:space="preserve"> Server </w:t>
      </w:r>
      <w:proofErr w:type="spellStart"/>
      <w:r w:rsidR="009410E7" w:rsidRPr="00E23E09">
        <w:rPr>
          <w:rFonts w:eastAsia="Calibri"/>
          <w:lang w:eastAsia="en-US"/>
        </w:rPr>
        <w:t>Workgroup</w:t>
      </w:r>
      <w:proofErr w:type="spellEnd"/>
      <w:r w:rsidR="009410E7" w:rsidRPr="00E23E09">
        <w:rPr>
          <w:rFonts w:eastAsia="Calibri"/>
          <w:lang w:eastAsia="en-US"/>
        </w:rPr>
        <w:t xml:space="preserve"> Standard</w:t>
      </w:r>
      <w:r w:rsidR="009410E7" w:rsidRPr="00E23E09">
        <w:rPr>
          <w:bCs/>
        </w:rPr>
        <w:t xml:space="preserve">), на която да </w:t>
      </w:r>
      <w:r w:rsidR="004F6AF3">
        <w:rPr>
          <w:bCs/>
        </w:rPr>
        <w:t xml:space="preserve">се </w:t>
      </w:r>
      <w:r w:rsidR="009410E7" w:rsidRPr="00E23E09">
        <w:rPr>
          <w:bCs/>
        </w:rPr>
        <w:t>извърши надграждането и въвеждането на данните, предмет на текущата поръчка</w:t>
      </w:r>
      <w:r w:rsidR="00E23E09">
        <w:rPr>
          <w:bCs/>
        </w:rPr>
        <w:t>;</w:t>
      </w:r>
      <w:r w:rsidRPr="00E23E09">
        <w:rPr>
          <w:bCs/>
        </w:rPr>
        <w:t xml:space="preserve"> </w:t>
      </w:r>
    </w:p>
    <w:p w:rsidR="00C7737E" w:rsidRPr="00C7737E" w:rsidRDefault="00C7737E" w:rsidP="00C7737E">
      <w:pPr>
        <w:ind w:firstLine="708"/>
        <w:jc w:val="both"/>
        <w:rPr>
          <w:bCs/>
          <w:i/>
        </w:rPr>
      </w:pPr>
      <w:r w:rsidRPr="00C7737E">
        <w:rPr>
          <w:bCs/>
          <w:i/>
        </w:rPr>
        <w:t xml:space="preserve">Доказва се с </w:t>
      </w:r>
      <w:r w:rsidRPr="00C7737E">
        <w:rPr>
          <w:bCs/>
          <w:i/>
        </w:rPr>
        <w:t>предостав</w:t>
      </w:r>
      <w:r w:rsidRPr="00C7737E">
        <w:rPr>
          <w:bCs/>
          <w:i/>
        </w:rPr>
        <w:t xml:space="preserve">яне на </w:t>
      </w:r>
      <w:proofErr w:type="spellStart"/>
      <w:r w:rsidRPr="00C7737E">
        <w:rPr>
          <w:bCs/>
          <w:i/>
        </w:rPr>
        <w:t>оторизационно</w:t>
      </w:r>
      <w:proofErr w:type="spellEnd"/>
      <w:r w:rsidRPr="00C7737E">
        <w:rPr>
          <w:bCs/>
          <w:i/>
        </w:rPr>
        <w:t xml:space="preserve"> писмо от производителя на ГИС софтуера, договор за </w:t>
      </w:r>
      <w:proofErr w:type="spellStart"/>
      <w:r w:rsidRPr="00C7737E">
        <w:rPr>
          <w:bCs/>
          <w:i/>
        </w:rPr>
        <w:t>риселърство</w:t>
      </w:r>
      <w:proofErr w:type="spellEnd"/>
      <w:r w:rsidRPr="00C7737E">
        <w:rPr>
          <w:bCs/>
          <w:i/>
        </w:rPr>
        <w:t>, сертификат за партньорство или друг документ, удостоверяващ, че кандидатът е оторизиран от производителя на ГИС софтуера да извършва доставка на ГИС софтуерните продукти (заверено за вярност с оригинала копие).</w:t>
      </w:r>
      <w:r w:rsidRPr="00C7737E">
        <w:rPr>
          <w:bCs/>
          <w:i/>
        </w:rPr>
        <w:t xml:space="preserve">  </w:t>
      </w:r>
    </w:p>
    <w:p w:rsidR="00C7737E" w:rsidRDefault="00901266" w:rsidP="00901266">
      <w:pPr>
        <w:pStyle w:val="ListParagraph"/>
        <w:ind w:left="0" w:firstLine="708"/>
        <w:jc w:val="both"/>
        <w:rPr>
          <w:spacing w:val="3"/>
        </w:rPr>
      </w:pPr>
      <w:r w:rsidRPr="00E23E09">
        <w:rPr>
          <w:spacing w:val="3"/>
        </w:rPr>
        <w:t xml:space="preserve">- </w:t>
      </w:r>
      <w:r w:rsidR="009410E7" w:rsidRPr="00E23E09">
        <w:rPr>
          <w:spacing w:val="3"/>
        </w:rPr>
        <w:t>програмисти,</w:t>
      </w:r>
      <w:r w:rsidR="00A806C5">
        <w:rPr>
          <w:spacing w:val="3"/>
        </w:rPr>
        <w:t xml:space="preserve"> притежаващи сертификати за ГИС-</w:t>
      </w:r>
      <w:r w:rsidR="009410E7" w:rsidRPr="00E23E09">
        <w:rPr>
          <w:spacing w:val="3"/>
        </w:rPr>
        <w:t xml:space="preserve">разработчици </w:t>
      </w:r>
      <w:r w:rsidR="00A806C5">
        <w:rPr>
          <w:spacing w:val="3"/>
        </w:rPr>
        <w:t>за</w:t>
      </w:r>
      <w:r w:rsidR="009410E7" w:rsidRPr="00E23E09">
        <w:rPr>
          <w:spacing w:val="3"/>
        </w:rPr>
        <w:t xml:space="preserve"> наличния при възложителя </w:t>
      </w:r>
      <w:r w:rsidR="00E23E09" w:rsidRPr="00E23E09">
        <w:rPr>
          <w:spacing w:val="3"/>
        </w:rPr>
        <w:t xml:space="preserve">или еквивалентен </w:t>
      </w:r>
      <w:r w:rsidR="009410E7" w:rsidRPr="00E23E09">
        <w:rPr>
          <w:spacing w:val="3"/>
        </w:rPr>
        <w:t>базов ГИС</w:t>
      </w:r>
      <w:r w:rsidR="00A806C5" w:rsidRPr="00A806C5">
        <w:rPr>
          <w:spacing w:val="3"/>
        </w:rPr>
        <w:t xml:space="preserve"> </w:t>
      </w:r>
      <w:r w:rsidR="00A806C5" w:rsidRPr="00E23E09">
        <w:rPr>
          <w:spacing w:val="3"/>
        </w:rPr>
        <w:t>софтуер</w:t>
      </w:r>
      <w:r w:rsidR="00E23E09">
        <w:rPr>
          <w:spacing w:val="3"/>
        </w:rPr>
        <w:t>.</w:t>
      </w:r>
      <w:r w:rsidR="009410E7" w:rsidRPr="00E23E09">
        <w:rPr>
          <w:spacing w:val="3"/>
        </w:rPr>
        <w:t xml:space="preserve"> </w:t>
      </w:r>
    </w:p>
    <w:p w:rsidR="00C7737E" w:rsidRPr="00C7737E" w:rsidRDefault="00C7737E" w:rsidP="00C7737E">
      <w:pPr>
        <w:ind w:firstLine="708"/>
        <w:jc w:val="both"/>
        <w:rPr>
          <w:bCs/>
          <w:i/>
        </w:rPr>
      </w:pPr>
      <w:r w:rsidRPr="00C7737E">
        <w:rPr>
          <w:i/>
          <w:spacing w:val="3"/>
        </w:rPr>
        <w:t>Доказва се с</w:t>
      </w:r>
      <w:r>
        <w:rPr>
          <w:i/>
          <w:spacing w:val="3"/>
        </w:rPr>
        <w:t>ъс</w:t>
      </w:r>
      <w:r w:rsidRPr="00C7737E">
        <w:rPr>
          <w:i/>
          <w:spacing w:val="3"/>
        </w:rPr>
        <w:t xml:space="preserve"> </w:t>
      </w:r>
      <w:r w:rsidRPr="00C7737E">
        <w:rPr>
          <w:bCs/>
          <w:i/>
        </w:rPr>
        <w:t>завере</w:t>
      </w:r>
      <w:r w:rsidRPr="00C7737E">
        <w:rPr>
          <w:bCs/>
          <w:i/>
        </w:rPr>
        <w:t>но за вярност с оригинала копие на сертификат.</w:t>
      </w:r>
      <w:r w:rsidRPr="00C7737E">
        <w:rPr>
          <w:bCs/>
          <w:i/>
        </w:rPr>
        <w:t xml:space="preserve">  </w:t>
      </w:r>
    </w:p>
    <w:p w:rsidR="009410E7" w:rsidRDefault="00C7737E" w:rsidP="00901266">
      <w:pPr>
        <w:pStyle w:val="ListParagraph"/>
        <w:ind w:left="0" w:firstLine="708"/>
        <w:jc w:val="both"/>
        <w:rPr>
          <w:spacing w:val="3"/>
        </w:rPr>
      </w:pPr>
      <w:r>
        <w:rPr>
          <w:spacing w:val="3"/>
        </w:rPr>
        <w:t xml:space="preserve"> </w:t>
      </w:r>
    </w:p>
    <w:p w:rsidR="00763457" w:rsidRPr="004F6AF3" w:rsidRDefault="00763457" w:rsidP="00763457">
      <w:pPr>
        <w:jc w:val="both"/>
        <w:rPr>
          <w:rFonts w:eastAsia="Calibri"/>
          <w:b/>
          <w:color w:val="000000"/>
          <w:lang w:eastAsia="en-US"/>
        </w:rPr>
      </w:pPr>
      <w:bookmarkStart w:id="0" w:name="_GoBack"/>
      <w:bookmarkEnd w:id="0"/>
      <w:r w:rsidRPr="004F6AF3">
        <w:rPr>
          <w:rFonts w:eastAsia="Calibri"/>
          <w:b/>
          <w:color w:val="000000"/>
          <w:lang w:eastAsia="en-US"/>
        </w:rPr>
        <w:t>Под еквивалент</w:t>
      </w:r>
      <w:r w:rsidR="00A806C5" w:rsidRPr="004F6AF3">
        <w:rPr>
          <w:rFonts w:eastAsia="Calibri"/>
          <w:b/>
          <w:color w:val="000000"/>
          <w:lang w:eastAsia="en-US"/>
        </w:rPr>
        <w:t>ен</w:t>
      </w:r>
      <w:r w:rsidRPr="004F6AF3">
        <w:rPr>
          <w:rFonts w:eastAsia="Calibri"/>
          <w:b/>
          <w:color w:val="000000"/>
          <w:lang w:eastAsia="en-US"/>
        </w:rPr>
        <w:t xml:space="preserve"> се разбира софтуер, който включва всички възможности и характеристики на </w:t>
      </w:r>
      <w:r w:rsidR="00A806C5" w:rsidRPr="004F6AF3">
        <w:rPr>
          <w:rFonts w:eastAsia="Calibri"/>
          <w:b/>
          <w:color w:val="000000"/>
          <w:lang w:eastAsia="en-US"/>
        </w:rPr>
        <w:t>съществуващия при възложителя</w:t>
      </w:r>
      <w:r w:rsidR="004F6AF3" w:rsidRPr="004F6AF3">
        <w:rPr>
          <w:rFonts w:eastAsia="Calibri"/>
          <w:b/>
          <w:color w:val="000000"/>
          <w:lang w:eastAsia="en-US"/>
        </w:rPr>
        <w:t xml:space="preserve"> ГИС</w:t>
      </w:r>
      <w:r w:rsidRPr="004F6AF3">
        <w:rPr>
          <w:rFonts w:eastAsia="Calibri"/>
          <w:b/>
          <w:color w:val="000000"/>
          <w:lang w:eastAsia="en-US"/>
        </w:rPr>
        <w:t xml:space="preserve"> софтуер.</w:t>
      </w:r>
      <w:r w:rsidR="00903F65" w:rsidRPr="004F6AF3">
        <w:rPr>
          <w:rFonts w:eastAsia="Calibri"/>
          <w:b/>
          <w:color w:val="000000"/>
          <w:lang w:eastAsia="en-US"/>
        </w:rPr>
        <w:t xml:space="preserve"> </w:t>
      </w:r>
      <w:r w:rsidR="009556D3" w:rsidRPr="004F6AF3">
        <w:rPr>
          <w:rFonts w:eastAsia="Calibri"/>
          <w:b/>
          <w:color w:val="000000"/>
          <w:lang w:eastAsia="en-US"/>
        </w:rPr>
        <w:t xml:space="preserve">   </w:t>
      </w:r>
    </w:p>
    <w:sectPr w:rsidR="00763457" w:rsidRPr="004F6AF3" w:rsidSect="00466B04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760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C229C0"/>
    <w:multiLevelType w:val="hybridMultilevel"/>
    <w:tmpl w:val="C088C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BA4C7BB4">
      <w:start w:val="1"/>
      <w:numFmt w:val="decimal"/>
      <w:lvlText w:val="%2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64C3C"/>
    <w:multiLevelType w:val="multilevel"/>
    <w:tmpl w:val="A26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8F0249"/>
    <w:multiLevelType w:val="multilevel"/>
    <w:tmpl w:val="6472D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0209A4"/>
    <w:multiLevelType w:val="multilevel"/>
    <w:tmpl w:val="1BF85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6C53F12"/>
    <w:multiLevelType w:val="hybridMultilevel"/>
    <w:tmpl w:val="0136F754"/>
    <w:lvl w:ilvl="0" w:tplc="A4469C98">
      <w:start w:val="2"/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50C262ED"/>
    <w:multiLevelType w:val="hybridMultilevel"/>
    <w:tmpl w:val="DB12D3D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694DA6"/>
    <w:multiLevelType w:val="hybridMultilevel"/>
    <w:tmpl w:val="34C27F1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3D546FF"/>
    <w:multiLevelType w:val="hybridMultilevel"/>
    <w:tmpl w:val="C776ABA8"/>
    <w:lvl w:ilvl="0" w:tplc="D316A4F4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04" w:hanging="360"/>
      </w:pPr>
    </w:lvl>
    <w:lvl w:ilvl="2" w:tplc="0402001B">
      <w:start w:val="1"/>
      <w:numFmt w:val="lowerRoman"/>
      <w:lvlText w:val="%3."/>
      <w:lvlJc w:val="right"/>
      <w:pPr>
        <w:ind w:left="3024" w:hanging="180"/>
      </w:pPr>
    </w:lvl>
    <w:lvl w:ilvl="3" w:tplc="0402000F" w:tentative="1">
      <w:start w:val="1"/>
      <w:numFmt w:val="decimal"/>
      <w:lvlText w:val="%4."/>
      <w:lvlJc w:val="left"/>
      <w:pPr>
        <w:ind w:left="3744" w:hanging="360"/>
      </w:pPr>
    </w:lvl>
    <w:lvl w:ilvl="4" w:tplc="04020019" w:tentative="1">
      <w:start w:val="1"/>
      <w:numFmt w:val="lowerLetter"/>
      <w:lvlText w:val="%5."/>
      <w:lvlJc w:val="left"/>
      <w:pPr>
        <w:ind w:left="4464" w:hanging="360"/>
      </w:pPr>
    </w:lvl>
    <w:lvl w:ilvl="5" w:tplc="0402001B" w:tentative="1">
      <w:start w:val="1"/>
      <w:numFmt w:val="lowerRoman"/>
      <w:lvlText w:val="%6."/>
      <w:lvlJc w:val="right"/>
      <w:pPr>
        <w:ind w:left="5184" w:hanging="180"/>
      </w:pPr>
    </w:lvl>
    <w:lvl w:ilvl="6" w:tplc="0402000F" w:tentative="1">
      <w:start w:val="1"/>
      <w:numFmt w:val="decimal"/>
      <w:lvlText w:val="%7."/>
      <w:lvlJc w:val="left"/>
      <w:pPr>
        <w:ind w:left="5904" w:hanging="360"/>
      </w:pPr>
    </w:lvl>
    <w:lvl w:ilvl="7" w:tplc="04020019" w:tentative="1">
      <w:start w:val="1"/>
      <w:numFmt w:val="lowerLetter"/>
      <w:lvlText w:val="%8."/>
      <w:lvlJc w:val="left"/>
      <w:pPr>
        <w:ind w:left="6624" w:hanging="360"/>
      </w:pPr>
    </w:lvl>
    <w:lvl w:ilvl="8" w:tplc="0402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71E81AF4"/>
    <w:multiLevelType w:val="hybridMultilevel"/>
    <w:tmpl w:val="766C873C"/>
    <w:lvl w:ilvl="0" w:tplc="762CDE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5148C"/>
    <w:multiLevelType w:val="hybridMultilevel"/>
    <w:tmpl w:val="0AD4CC62"/>
    <w:lvl w:ilvl="0" w:tplc="7BDAEDB6">
      <w:start w:val="1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57"/>
    <w:rsid w:val="00237376"/>
    <w:rsid w:val="002928C7"/>
    <w:rsid w:val="002E245C"/>
    <w:rsid w:val="0030106A"/>
    <w:rsid w:val="00423074"/>
    <w:rsid w:val="00466B04"/>
    <w:rsid w:val="004949CF"/>
    <w:rsid w:val="004E1BDE"/>
    <w:rsid w:val="004F6AF3"/>
    <w:rsid w:val="0051163F"/>
    <w:rsid w:val="005D5A8C"/>
    <w:rsid w:val="00700757"/>
    <w:rsid w:val="007112D9"/>
    <w:rsid w:val="00763457"/>
    <w:rsid w:val="007E494B"/>
    <w:rsid w:val="008214D1"/>
    <w:rsid w:val="00901266"/>
    <w:rsid w:val="00903F65"/>
    <w:rsid w:val="009410E7"/>
    <w:rsid w:val="009556D3"/>
    <w:rsid w:val="009B36B8"/>
    <w:rsid w:val="00A806C5"/>
    <w:rsid w:val="00A85EB6"/>
    <w:rsid w:val="00B34C0C"/>
    <w:rsid w:val="00B90187"/>
    <w:rsid w:val="00B93792"/>
    <w:rsid w:val="00BF6DA8"/>
    <w:rsid w:val="00C7737E"/>
    <w:rsid w:val="00D332FE"/>
    <w:rsid w:val="00E23E09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9ADBD-D2E9-414F-9E9E-24AE494A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A8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Torbov</dc:creator>
  <cp:keywords/>
  <dc:description/>
  <cp:lastModifiedBy>Nikolay Torbov</cp:lastModifiedBy>
  <cp:revision>23</cp:revision>
  <cp:lastPrinted>2016-10-13T11:48:00Z</cp:lastPrinted>
  <dcterms:created xsi:type="dcterms:W3CDTF">2015-08-11T08:58:00Z</dcterms:created>
  <dcterms:modified xsi:type="dcterms:W3CDTF">2016-10-13T12:23:00Z</dcterms:modified>
</cp:coreProperties>
</file>