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E37BB" w:rsidRDefault="00CB5C03" w:rsidP="00EE37BB">
      <w:pPr>
        <w:jc w:val="right"/>
        <w:rPr>
          <w:i/>
          <w:caps/>
        </w:rPr>
      </w:pPr>
      <w:r>
        <w:rPr>
          <w:i/>
          <w:caps/>
        </w:rPr>
        <w:t>ПРИЛОЖЕНИЕ № 7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F2037D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</w:p>
    <w:p w:rsidR="00F2037D" w:rsidRPr="00F70E1D" w:rsidRDefault="00F2037D" w:rsidP="00F2037D">
      <w:pPr>
        <w:tabs>
          <w:tab w:val="left" w:pos="720"/>
        </w:tabs>
        <w:spacing w:line="360" w:lineRule="auto"/>
        <w:jc w:val="center"/>
        <w:rPr>
          <w:b/>
        </w:rPr>
      </w:pPr>
      <w:r w:rsidRPr="008B537C">
        <w:rPr>
          <w:b/>
          <w:i/>
        </w:rPr>
        <w:t>„</w:t>
      </w:r>
      <w:r w:rsidR="00A22127" w:rsidRPr="00A22127">
        <w:rPr>
          <w:b/>
          <w:i/>
        </w:rPr>
        <w:t>Разработване на идейна концепция, дизайн и изготвяне на аудио-визуални рекламни формати за популяризиране на ОП „Транспорт и транспортна инфраструктура“ 2014-2020</w:t>
      </w:r>
      <w:bookmarkStart w:id="0" w:name="_GoBack"/>
      <w:bookmarkEnd w:id="0"/>
    </w:p>
    <w:p w:rsidR="007116C1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F2037D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F2037D">
        <w:rPr>
          <w:bCs/>
          <w:i/>
          <w:u w:val="single"/>
          <w:lang w:eastAsia="en-US"/>
        </w:rPr>
        <w:t>Забележка:</w:t>
      </w:r>
      <w:r w:rsidRPr="00F2037D">
        <w:rPr>
          <w:bCs/>
          <w:i/>
          <w:lang w:eastAsia="en-US"/>
        </w:rPr>
        <w:t xml:space="preserve"> </w:t>
      </w:r>
      <w:r w:rsidRPr="00F2037D">
        <w:rPr>
          <w:i/>
          <w:lang w:eastAsia="en-US"/>
        </w:rPr>
        <w:t xml:space="preserve">Точка 3 се попълва, само ако за участника се отнася някое от обстоятелствата по чл. 4 от Закона за икономическите и финансовите отношения с </w:t>
      </w:r>
      <w:r w:rsidRPr="00F2037D">
        <w:rPr>
          <w:i/>
          <w:lang w:eastAsia="en-US"/>
        </w:rPr>
        <w:lastRenderedPageBreak/>
        <w:t>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Default="00F2037D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6D" w:rsidRDefault="0033486D" w:rsidP="009F25BD">
      <w:r>
        <w:separator/>
      </w:r>
    </w:p>
  </w:endnote>
  <w:endnote w:type="continuationSeparator" w:id="0">
    <w:p w:rsidR="0033486D" w:rsidRDefault="0033486D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6D" w:rsidRDefault="0033486D" w:rsidP="009F25BD">
      <w:r>
        <w:separator/>
      </w:r>
    </w:p>
  </w:footnote>
  <w:footnote w:type="continuationSeparator" w:id="0">
    <w:p w:rsidR="0033486D" w:rsidRDefault="0033486D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28490C"/>
    <w:rsid w:val="003331FB"/>
    <w:rsid w:val="0033486D"/>
    <w:rsid w:val="003C3CB0"/>
    <w:rsid w:val="004C638F"/>
    <w:rsid w:val="006C5773"/>
    <w:rsid w:val="006F57AE"/>
    <w:rsid w:val="007116C1"/>
    <w:rsid w:val="0074482E"/>
    <w:rsid w:val="0079682D"/>
    <w:rsid w:val="008149D6"/>
    <w:rsid w:val="009F25BD"/>
    <w:rsid w:val="00A22127"/>
    <w:rsid w:val="00A553DE"/>
    <w:rsid w:val="00A94B77"/>
    <w:rsid w:val="00B55AD6"/>
    <w:rsid w:val="00B77534"/>
    <w:rsid w:val="00B90D07"/>
    <w:rsid w:val="00CB5C03"/>
    <w:rsid w:val="00D1134F"/>
    <w:rsid w:val="00DC282F"/>
    <w:rsid w:val="00E833F4"/>
    <w:rsid w:val="00EE37BB"/>
    <w:rsid w:val="00F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Miglena Belyakova</cp:lastModifiedBy>
  <cp:revision>3</cp:revision>
  <dcterms:created xsi:type="dcterms:W3CDTF">2016-12-05T09:59:00Z</dcterms:created>
  <dcterms:modified xsi:type="dcterms:W3CDTF">2016-12-05T09:59:00Z</dcterms:modified>
</cp:coreProperties>
</file>