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E5" w:rsidRPr="003F0FE5" w:rsidRDefault="003F0FE5" w:rsidP="003F0FE5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b/>
          <w:szCs w:val="24"/>
          <w:lang w:eastAsia="ja-JP"/>
        </w:rPr>
      </w:pPr>
      <w:bookmarkStart w:id="0" w:name="_GoBack"/>
      <w:bookmarkEnd w:id="0"/>
      <w:r w:rsidRPr="003F0FE5">
        <w:rPr>
          <w:rFonts w:ascii="Times New Roman" w:hAnsi="Times New Roman"/>
          <w:b/>
          <w:bCs/>
          <w:szCs w:val="24"/>
          <w:bdr w:val="none" w:sz="0" w:space="0" w:color="auto" w:frame="1"/>
        </w:rPr>
        <w:t>CEF-TC-2019-2</w:t>
      </w:r>
      <w:r w:rsidRPr="003F0FE5">
        <w:rPr>
          <w:rFonts w:ascii="Times New Roman" w:hAnsi="Times New Roman"/>
          <w:b/>
          <w:szCs w:val="24"/>
        </w:rPr>
        <w:t xml:space="preserve">: </w:t>
      </w:r>
      <w:proofErr w:type="spellStart"/>
      <w:r w:rsidRPr="003F0FE5">
        <w:rPr>
          <w:rFonts w:ascii="Times New Roman" w:hAnsi="Times New Roman"/>
          <w:b/>
          <w:szCs w:val="24"/>
        </w:rPr>
        <w:t>Киберсигурност</w:t>
      </w:r>
      <w:proofErr w:type="spellEnd"/>
      <w:r w:rsidRPr="003F0FE5">
        <w:rPr>
          <w:rFonts w:ascii="Times New Roman" w:hAnsi="Times New Roman"/>
          <w:b/>
          <w:szCs w:val="24"/>
        </w:rPr>
        <w:t xml:space="preserve"> (</w:t>
      </w:r>
      <w:r w:rsidRPr="003F0FE5">
        <w:rPr>
          <w:rFonts w:ascii="Times New Roman" w:hAnsi="Times New Roman"/>
          <w:b/>
          <w:szCs w:val="24"/>
          <w:lang w:val="en-US"/>
        </w:rPr>
        <w:t>Cybersecurity)</w:t>
      </w:r>
    </w:p>
    <w:p w:rsidR="003F0FE5" w:rsidRPr="00B319D9" w:rsidRDefault="003F0FE5" w:rsidP="003F0FE5">
      <w:pPr>
        <w:jc w:val="both"/>
        <w:rPr>
          <w:rFonts w:ascii="Times New Roman" w:hAnsi="Times New Roman"/>
          <w:b/>
          <w:sz w:val="12"/>
          <w:szCs w:val="12"/>
          <w:lang w:val="en-US"/>
        </w:rPr>
      </w:pPr>
    </w:p>
    <w:p w:rsidR="003F0FE5" w:rsidRPr="00B319D9" w:rsidRDefault="003F0FE5" w:rsidP="003F0FE5">
      <w:pPr>
        <w:ind w:firstLine="357"/>
        <w:jc w:val="both"/>
        <w:rPr>
          <w:rFonts w:ascii="Times New Roman" w:eastAsia="Calibri" w:hAnsi="Times New Roman"/>
          <w:szCs w:val="24"/>
          <w:lang w:eastAsia="ja-JP"/>
        </w:rPr>
      </w:pPr>
      <w:r w:rsidRPr="00B319D9">
        <w:rPr>
          <w:rFonts w:ascii="Times New Roman" w:eastAsia="Calibri" w:hAnsi="Times New Roman"/>
          <w:szCs w:val="24"/>
          <w:lang w:eastAsia="ja-JP"/>
        </w:rPr>
        <w:t>Дейностите по Работни програми 2016 и 2017 имаха за цел да дадат възможност на държавите членки да развият капацитета на националните центрове за действие при инциденти в информационната сигурност (CSIRT) на местно равнище. Това е необходимо за оперативната съвместимост на техните възможности с механизма за сътрудничество (</w:t>
      </w:r>
      <w:proofErr w:type="spellStart"/>
      <w:r w:rsidRPr="00B319D9">
        <w:rPr>
          <w:rFonts w:ascii="Times New Roman" w:eastAsia="Calibri" w:hAnsi="Times New Roman"/>
          <w:szCs w:val="24"/>
          <w:lang w:eastAsia="ja-JP"/>
        </w:rPr>
        <w:t>MeliCERTs</w:t>
      </w:r>
      <w:proofErr w:type="spellEnd"/>
      <w:r w:rsidRPr="00B319D9">
        <w:rPr>
          <w:rFonts w:ascii="Times New Roman" w:eastAsia="Calibri" w:hAnsi="Times New Roman"/>
          <w:szCs w:val="24"/>
          <w:lang w:eastAsia="ja-JP"/>
        </w:rPr>
        <w:t>), създаден в рамките по Работна програма 2015.</w:t>
      </w:r>
    </w:p>
    <w:p w:rsidR="003F0FE5" w:rsidRPr="00B319D9" w:rsidRDefault="003F0FE5" w:rsidP="003F0FE5">
      <w:pPr>
        <w:ind w:firstLine="357"/>
        <w:jc w:val="both"/>
        <w:rPr>
          <w:rFonts w:ascii="Times New Roman" w:eastAsia="Calibri" w:hAnsi="Times New Roman"/>
          <w:szCs w:val="24"/>
          <w:lang w:eastAsia="ja-JP"/>
        </w:rPr>
      </w:pPr>
      <w:r w:rsidRPr="00B319D9">
        <w:rPr>
          <w:rFonts w:ascii="Times New Roman" w:eastAsia="Calibri" w:hAnsi="Times New Roman"/>
          <w:szCs w:val="24"/>
          <w:lang w:eastAsia="ja-JP"/>
        </w:rPr>
        <w:t>Дейностите по Работна програма 2018 предвиждаха развитие на капацитета не само на националните центрове за действие при инциденти в информационната сигурност, но и на оператори на съществени услуги, доставчици на цифрови услуги и национални компетентни органи по Директива</w:t>
      </w:r>
      <w:r w:rsidRPr="00B319D9">
        <w:rPr>
          <w:rFonts w:ascii="Times New Roman" w:hAnsi="Times New Roman"/>
          <w:szCs w:val="24"/>
        </w:rPr>
        <w:t xml:space="preserve"> </w:t>
      </w:r>
      <w:r w:rsidRPr="00B319D9">
        <w:rPr>
          <w:rFonts w:ascii="Times New Roman" w:eastAsia="Calibri" w:hAnsi="Times New Roman"/>
          <w:szCs w:val="24"/>
          <w:lang w:eastAsia="ja-JP"/>
        </w:rPr>
        <w:t>(EС) 2016/1148 относно мерки за високо общо ниво на сигурност на мрежите и информационните системи в Съюза (</w:t>
      </w:r>
      <w:r w:rsidRPr="00B319D9">
        <w:rPr>
          <w:rFonts w:ascii="Times New Roman" w:eastAsia="Calibri" w:hAnsi="Times New Roman"/>
          <w:szCs w:val="24"/>
          <w:lang w:val="en-US" w:eastAsia="ja-JP"/>
        </w:rPr>
        <w:t>NIS</w:t>
      </w:r>
      <w:r w:rsidRPr="00B319D9">
        <w:rPr>
          <w:rFonts w:ascii="Times New Roman" w:eastAsia="Calibri" w:hAnsi="Times New Roman"/>
          <w:szCs w:val="24"/>
          <w:lang w:eastAsia="ja-JP"/>
        </w:rPr>
        <w:t xml:space="preserve"> директива</w:t>
      </w:r>
      <w:r w:rsidRPr="00B319D9">
        <w:rPr>
          <w:rFonts w:ascii="Times New Roman" w:eastAsia="Calibri" w:hAnsi="Times New Roman"/>
          <w:szCs w:val="24"/>
          <w:lang w:val="en-US" w:eastAsia="ja-JP"/>
        </w:rPr>
        <w:t>)</w:t>
      </w:r>
      <w:r w:rsidRPr="00B319D9">
        <w:rPr>
          <w:rFonts w:ascii="Times New Roman" w:eastAsia="Calibri" w:hAnsi="Times New Roman"/>
          <w:szCs w:val="24"/>
          <w:lang w:eastAsia="ja-JP"/>
        </w:rPr>
        <w:t>.</w:t>
      </w:r>
    </w:p>
    <w:p w:rsidR="003F0FE5" w:rsidRPr="00B319D9" w:rsidRDefault="003F0FE5" w:rsidP="003F0FE5">
      <w:pPr>
        <w:ind w:firstLine="357"/>
        <w:jc w:val="both"/>
        <w:rPr>
          <w:rFonts w:ascii="Times New Roman" w:eastAsia="Calibri" w:hAnsi="Times New Roman"/>
          <w:szCs w:val="24"/>
          <w:lang w:eastAsia="ja-JP"/>
        </w:rPr>
      </w:pPr>
      <w:r w:rsidRPr="00B319D9">
        <w:rPr>
          <w:rFonts w:ascii="Times New Roman" w:eastAsia="Calibri" w:hAnsi="Times New Roman"/>
          <w:szCs w:val="24"/>
          <w:lang w:eastAsia="ja-JP"/>
        </w:rPr>
        <w:t xml:space="preserve">Дейностите през 2019 г. ще продължат да подкрепят укрепването на капацитета в областта на </w:t>
      </w:r>
      <w:proofErr w:type="spellStart"/>
      <w:r w:rsidRPr="00B319D9">
        <w:rPr>
          <w:rFonts w:ascii="Times New Roman" w:eastAsia="Calibri" w:hAnsi="Times New Roman"/>
          <w:szCs w:val="24"/>
          <w:lang w:eastAsia="ja-JP"/>
        </w:rPr>
        <w:t>киберсигурността</w:t>
      </w:r>
      <w:proofErr w:type="spellEnd"/>
      <w:r w:rsidRPr="00B319D9">
        <w:rPr>
          <w:rFonts w:ascii="Times New Roman" w:eastAsia="Calibri" w:hAnsi="Times New Roman"/>
          <w:szCs w:val="24"/>
          <w:lang w:eastAsia="ja-JP"/>
        </w:rPr>
        <w:t xml:space="preserve"> в ЕС – на национални компетентни органи, единни звена за контакт, оператори на съществени услуги, доставч</w:t>
      </w:r>
      <w:r>
        <w:rPr>
          <w:rFonts w:ascii="Times New Roman" w:eastAsia="Calibri" w:hAnsi="Times New Roman"/>
          <w:szCs w:val="24"/>
          <w:lang w:eastAsia="ja-JP"/>
        </w:rPr>
        <w:t>ици на цифрови услуги, както и н</w:t>
      </w:r>
      <w:r w:rsidRPr="00B319D9">
        <w:rPr>
          <w:rFonts w:ascii="Times New Roman" w:eastAsia="Calibri" w:hAnsi="Times New Roman"/>
          <w:szCs w:val="24"/>
          <w:lang w:eastAsia="ja-JP"/>
        </w:rPr>
        <w:t xml:space="preserve">а националните центрове за действие при инциденти в информационната сигурност. Дейностите  могат да включват инфраструктура или меки мерки като развитие на умения. </w:t>
      </w:r>
    </w:p>
    <w:p w:rsidR="003F0FE5" w:rsidRPr="00B319D9" w:rsidRDefault="003F0FE5" w:rsidP="003F0FE5">
      <w:pPr>
        <w:ind w:firstLine="357"/>
        <w:jc w:val="both"/>
        <w:rPr>
          <w:rFonts w:ascii="Times New Roman" w:eastAsia="Calibri" w:hAnsi="Times New Roman"/>
          <w:szCs w:val="24"/>
          <w:lang w:eastAsia="ja-JP"/>
        </w:rPr>
      </w:pPr>
      <w:r w:rsidRPr="00B319D9">
        <w:rPr>
          <w:rFonts w:ascii="Times New Roman" w:eastAsia="Calibri" w:hAnsi="Times New Roman"/>
          <w:szCs w:val="24"/>
          <w:lang w:eastAsia="ja-JP"/>
        </w:rPr>
        <w:t xml:space="preserve">Ключовият акцент е върху подобряването на оперативните капацитети в областта на </w:t>
      </w:r>
      <w:proofErr w:type="spellStart"/>
      <w:r w:rsidRPr="00B319D9">
        <w:rPr>
          <w:rFonts w:ascii="Times New Roman" w:eastAsia="Calibri" w:hAnsi="Times New Roman"/>
          <w:szCs w:val="24"/>
          <w:lang w:eastAsia="ja-JP"/>
        </w:rPr>
        <w:t>киберсигурността</w:t>
      </w:r>
      <w:proofErr w:type="spellEnd"/>
      <w:r w:rsidRPr="00B319D9">
        <w:rPr>
          <w:rFonts w:ascii="Times New Roman" w:eastAsia="Calibri" w:hAnsi="Times New Roman"/>
          <w:szCs w:val="24"/>
          <w:lang w:eastAsia="ja-JP"/>
        </w:rPr>
        <w:t xml:space="preserve"> на всички заинтересовани участници съгласно NIS директивата. Примерните дейности могат да включват: придобиване и експлоатация на ИТ системи на национално равнище; експериментални </w:t>
      </w:r>
      <w:r>
        <w:rPr>
          <w:rFonts w:ascii="Times New Roman" w:eastAsia="Calibri" w:hAnsi="Times New Roman"/>
          <w:szCs w:val="24"/>
          <w:lang w:eastAsia="ja-JP"/>
        </w:rPr>
        <w:t xml:space="preserve">тестови </w:t>
      </w:r>
      <w:r w:rsidRPr="00B319D9">
        <w:rPr>
          <w:rFonts w:ascii="Times New Roman" w:eastAsia="Calibri" w:hAnsi="Times New Roman"/>
          <w:szCs w:val="24"/>
          <w:lang w:eastAsia="ja-JP"/>
        </w:rPr>
        <w:t xml:space="preserve">платформи, включително инфраструктура за киберпространство; обучения; одит и др. Може да бъде включена и структурна подкрепа, съдържаща организационен анализ; управление на риска и др. </w:t>
      </w:r>
    </w:p>
    <w:p w:rsidR="003F0FE5" w:rsidRPr="00B319D9" w:rsidRDefault="003F0FE5" w:rsidP="003F0FE5">
      <w:pPr>
        <w:ind w:firstLine="357"/>
        <w:jc w:val="both"/>
        <w:rPr>
          <w:rFonts w:ascii="Times New Roman" w:eastAsia="Calibri" w:hAnsi="Times New Roman"/>
          <w:szCs w:val="24"/>
          <w:lang w:eastAsia="ja-JP"/>
        </w:rPr>
      </w:pPr>
      <w:r w:rsidRPr="00B319D9">
        <w:rPr>
          <w:rFonts w:ascii="Times New Roman" w:eastAsia="Calibri" w:hAnsi="Times New Roman"/>
          <w:szCs w:val="24"/>
          <w:lang w:eastAsia="ja-JP"/>
        </w:rPr>
        <w:t xml:space="preserve">Приоритет ще бъде даден на операторите на основни услуги както в публичния, така и в частния сектор, които инвестират в подобрена инфраструктура в областта на </w:t>
      </w:r>
      <w:proofErr w:type="spellStart"/>
      <w:r w:rsidRPr="00B319D9">
        <w:rPr>
          <w:rFonts w:ascii="Times New Roman" w:eastAsia="Calibri" w:hAnsi="Times New Roman"/>
          <w:szCs w:val="24"/>
          <w:lang w:eastAsia="ja-JP"/>
        </w:rPr>
        <w:t>киберсигурността</w:t>
      </w:r>
      <w:proofErr w:type="spellEnd"/>
      <w:r w:rsidRPr="00B319D9">
        <w:rPr>
          <w:rFonts w:ascii="Times New Roman" w:eastAsia="Calibri" w:hAnsi="Times New Roman"/>
          <w:szCs w:val="24"/>
          <w:lang w:eastAsia="ja-JP"/>
        </w:rPr>
        <w:t>.</w:t>
      </w:r>
    </w:p>
    <w:p w:rsidR="003F0FE5" w:rsidRPr="00B319D9" w:rsidRDefault="003F0FE5" w:rsidP="003F0FE5">
      <w:pPr>
        <w:ind w:firstLine="357"/>
        <w:jc w:val="both"/>
        <w:rPr>
          <w:rFonts w:ascii="Times New Roman" w:eastAsia="Calibri" w:hAnsi="Times New Roman"/>
          <w:szCs w:val="24"/>
          <w:lang w:eastAsia="ja-JP"/>
        </w:rPr>
      </w:pPr>
      <w:r w:rsidRPr="00B319D9">
        <w:rPr>
          <w:rFonts w:ascii="Times New Roman" w:eastAsia="Calibri" w:hAnsi="Times New Roman"/>
          <w:szCs w:val="24"/>
          <w:lang w:eastAsia="ja-JP"/>
        </w:rPr>
        <w:t>Бюджетът е 10 млн. евро, а индикативната продължителност на проектите 3 години. Финансирането от ЕК е до 75 % от допустимите преки разходи плюс 7 % непреки разходи.</w:t>
      </w:r>
    </w:p>
    <w:p w:rsidR="00770358" w:rsidRDefault="00770358"/>
    <w:sectPr w:rsidR="0077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A35"/>
    <w:multiLevelType w:val="hybridMultilevel"/>
    <w:tmpl w:val="A6D831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597C"/>
    <w:multiLevelType w:val="hybridMultilevel"/>
    <w:tmpl w:val="E77CFF3A"/>
    <w:lvl w:ilvl="0" w:tplc="0402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E5"/>
    <w:rsid w:val="003F0FE5"/>
    <w:rsid w:val="007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E1A5"/>
  <w15:chartTrackingRefBased/>
  <w15:docId w15:val="{965C4A86-24D0-4465-8C9E-892883D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E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Kaneva</dc:creator>
  <cp:keywords/>
  <dc:description/>
  <cp:lastModifiedBy>Eli Kaneva</cp:lastModifiedBy>
  <cp:revision>1</cp:revision>
  <dcterms:created xsi:type="dcterms:W3CDTF">2019-06-24T06:31:00Z</dcterms:created>
  <dcterms:modified xsi:type="dcterms:W3CDTF">2019-06-24T06:32:00Z</dcterms:modified>
</cp:coreProperties>
</file>