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2F" w:rsidRPr="00885CCF" w:rsidRDefault="004A132F"/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6218"/>
      </w:tblGrid>
      <w:tr w:rsidR="004A132F" w:rsidRPr="00885CCF">
        <w:trPr>
          <w:trHeight w:val="1440"/>
        </w:trPr>
        <w:tc>
          <w:tcPr>
            <w:tcW w:w="2409" w:type="dxa"/>
            <w:shd w:val="clear" w:color="auto" w:fill="auto"/>
          </w:tcPr>
          <w:p w:rsidR="004A132F" w:rsidRPr="00885CCF" w:rsidRDefault="008C0951">
            <w:pPr>
              <w:pStyle w:val="ZCom"/>
              <w:ind w:right="1105"/>
            </w:pPr>
            <w:r w:rsidRPr="00885CCF">
              <w:rPr>
                <w:noProof/>
                <w:lang w:eastAsia="bg-BG"/>
              </w:rPr>
              <w:drawing>
                <wp:inline distT="0" distB="0" distL="0" distR="9525">
                  <wp:extent cx="1362075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shd w:val="clear" w:color="auto" w:fill="auto"/>
          </w:tcPr>
          <w:p w:rsidR="004A132F" w:rsidRPr="00885CCF" w:rsidRDefault="008C0951">
            <w:pPr>
              <w:pStyle w:val="ZCom"/>
              <w:spacing w:before="90" w:after="240"/>
            </w:pPr>
            <w:r w:rsidRPr="00885CCF">
              <w:t>ЕВРОПЕЙСКА КОМИСИЯ</w:t>
            </w:r>
          </w:p>
          <w:p w:rsidR="004A132F" w:rsidRPr="00885CCF" w:rsidRDefault="008C0951">
            <w:pPr>
              <w:pStyle w:val="ZDGName"/>
            </w:pPr>
            <w:r w:rsidRPr="00885CCF">
              <w:t>Генерална дирекция „Вътрешен пазар, промишленост, предприемачество и МСП“</w:t>
            </w:r>
          </w:p>
          <w:p w:rsidR="004A132F" w:rsidRPr="00885CCF" w:rsidRDefault="004A132F">
            <w:pPr>
              <w:pStyle w:val="ZDGName"/>
            </w:pPr>
          </w:p>
          <w:p w:rsidR="004A132F" w:rsidRPr="00885CCF" w:rsidRDefault="008C0951">
            <w:pPr>
              <w:pStyle w:val="ZDGName"/>
            </w:pPr>
            <w:r w:rsidRPr="00885CCF">
              <w:t>Дирекция „Иновации и усъвършенствани производствени технологии</w:t>
            </w:r>
          </w:p>
          <w:p w:rsidR="004A132F" w:rsidRPr="00885CCF" w:rsidRDefault="008C0951">
            <w:pPr>
              <w:pStyle w:val="ZDGName"/>
              <w:rPr>
                <w:b/>
              </w:rPr>
            </w:pPr>
            <w:r w:rsidRPr="00885CCF">
              <w:rPr>
                <w:b/>
              </w:rPr>
              <w:t>Главни базови технологии, цифрово производство и оперативна съвместимост</w:t>
            </w:r>
          </w:p>
          <w:p w:rsidR="004A132F" w:rsidRPr="00885CCF" w:rsidRDefault="004A132F">
            <w:pPr>
              <w:pStyle w:val="ZDGName"/>
            </w:pPr>
          </w:p>
          <w:p w:rsidR="004A132F" w:rsidRPr="00885CCF" w:rsidRDefault="008C0951">
            <w:pPr>
              <w:pStyle w:val="ZDGName"/>
            </w:pPr>
            <w:r w:rsidRPr="00885CCF">
              <w:t xml:space="preserve">Генерална дирекция „Съобщителни мрежи, съдържание и технологии“ </w:t>
            </w:r>
          </w:p>
          <w:p w:rsidR="004A132F" w:rsidRPr="00885CCF" w:rsidRDefault="004A132F">
            <w:pPr>
              <w:pStyle w:val="ZDGName"/>
            </w:pPr>
          </w:p>
          <w:p w:rsidR="004A132F" w:rsidRPr="00885CCF" w:rsidRDefault="008C0951">
            <w:pPr>
              <w:pStyle w:val="ZDGName"/>
            </w:pPr>
            <w:r w:rsidRPr="00885CCF">
              <w:t>Дирекция за цифровия единен пазар</w:t>
            </w:r>
          </w:p>
          <w:p w:rsidR="004A132F" w:rsidRPr="00885CCF" w:rsidRDefault="008C0951">
            <w:pPr>
              <w:pStyle w:val="ZDGName"/>
              <w:rPr>
                <w:b/>
              </w:rPr>
            </w:pPr>
            <w:r w:rsidRPr="00885CCF">
              <w:rPr>
                <w:b/>
              </w:rPr>
              <w:t>Новосъздадени предприятия за иновации &amp;</w:t>
            </w:r>
          </w:p>
        </w:tc>
      </w:tr>
    </w:tbl>
    <w:p w:rsidR="004A132F" w:rsidRPr="00885CCF" w:rsidRDefault="004A132F">
      <w:pPr>
        <w:pStyle w:val="Date"/>
      </w:pPr>
    </w:p>
    <w:p w:rsidR="004A132F" w:rsidRPr="00885CCF" w:rsidRDefault="004A132F">
      <w:pPr>
        <w:pStyle w:val="Date"/>
        <w:rPr>
          <w:highlight w:val="white"/>
        </w:rPr>
      </w:pPr>
    </w:p>
    <w:p w:rsidR="004A132F" w:rsidRPr="00885CCF" w:rsidRDefault="008C0951">
      <w:pPr>
        <w:pStyle w:val="Date"/>
        <w:rPr>
          <w:highlight w:val="white"/>
        </w:rPr>
      </w:pPr>
      <w:r w:rsidRPr="00885CCF">
        <w:rPr>
          <w:highlight w:val="white"/>
        </w:rPr>
        <w:t>Брюксел, 7 април 2017 г.</w:t>
      </w:r>
    </w:p>
    <w:p w:rsidR="004A132F" w:rsidRPr="00885CCF" w:rsidRDefault="00885CCF">
      <w:pPr>
        <w:pStyle w:val="Title"/>
      </w:pPr>
      <w:r w:rsidRPr="00885CCF">
        <w:t>ПРОТОКОЛ</w:t>
      </w:r>
    </w:p>
    <w:p w:rsidR="004A132F" w:rsidRPr="00885CCF" w:rsidRDefault="004A132F">
      <w:pPr>
        <w:pStyle w:val="Subtitle"/>
      </w:pPr>
    </w:p>
    <w:p w:rsidR="004A132F" w:rsidRPr="00885CCF" w:rsidRDefault="008C0951">
      <w:pPr>
        <w:pStyle w:val="Subtitle"/>
      </w:pPr>
      <w:r w:rsidRPr="00885CCF">
        <w:rPr>
          <w:b/>
        </w:rPr>
        <w:t>19-о заседание на Европейската многостранна платформа по въпросите на стандартизацията в областта на ИКТ</w:t>
      </w:r>
      <w:r w:rsidRPr="00885CCF">
        <w:rPr>
          <w:rStyle w:val="FootnoteAnchor"/>
          <w:b/>
        </w:rPr>
        <w:footnoteReference w:id="1"/>
      </w:r>
      <w:r w:rsidR="00885CCF">
        <w:rPr>
          <w:b/>
        </w:rPr>
        <w:t xml:space="preserve"> (</w:t>
      </w:r>
      <w:r w:rsidR="00885CCF">
        <w:rPr>
          <w:b/>
          <w:lang w:val="en-US"/>
        </w:rPr>
        <w:t>MSP</w:t>
      </w:r>
      <w:r w:rsidR="00885CCF">
        <w:rPr>
          <w:b/>
        </w:rPr>
        <w:t>)</w:t>
      </w:r>
    </w:p>
    <w:p w:rsidR="004A132F" w:rsidRPr="00885CCF" w:rsidRDefault="004A132F">
      <w:pPr>
        <w:pStyle w:val="Subtitle"/>
      </w:pPr>
    </w:p>
    <w:p w:rsidR="004A132F" w:rsidRPr="00885CCF" w:rsidRDefault="008C0951">
      <w:pPr>
        <w:pStyle w:val="Subtitle"/>
      </w:pPr>
      <w:r w:rsidRPr="00885CCF">
        <w:t>23 март 2017 г., Брюксел</w:t>
      </w:r>
    </w:p>
    <w:p w:rsidR="004A132F" w:rsidRPr="00885CCF" w:rsidRDefault="004A132F">
      <w:pPr>
        <w:pStyle w:val="Subtitle"/>
      </w:pPr>
    </w:p>
    <w:p w:rsidR="004A132F" w:rsidRPr="00885CCF" w:rsidRDefault="008C0951">
      <w:pPr>
        <w:pStyle w:val="Heading1"/>
        <w:numPr>
          <w:ilvl w:val="0"/>
          <w:numId w:val="6"/>
        </w:numPr>
        <w:ind w:left="0"/>
      </w:pPr>
      <w:r w:rsidRPr="00885CCF">
        <w:t>приемане на дневния ред и на протокола от предишното заседание</w:t>
      </w:r>
    </w:p>
    <w:p w:rsidR="004A132F" w:rsidRPr="00885CCF" w:rsidRDefault="008C0951">
      <w:pPr>
        <w:pStyle w:val="ListParagraph"/>
        <w:ind w:left="0"/>
        <w:jc w:val="both"/>
        <w:rPr>
          <w:i/>
        </w:rPr>
      </w:pPr>
      <w:r w:rsidRPr="00885CCF">
        <w:t>Дневният ред (документ ИКТ/</w:t>
      </w:r>
      <w:r w:rsidR="00885CCF" w:rsidRPr="00885CCF">
        <w:t xml:space="preserve"> MSP</w:t>
      </w:r>
      <w:r w:rsidRPr="00885CCF">
        <w:t xml:space="preserve"> (2017)474v2) беше предс</w:t>
      </w:r>
      <w:r w:rsidR="00885CCF" w:rsidRPr="00885CCF">
        <w:t>тавен от председателя с промяна -</w:t>
      </w:r>
      <w:r w:rsidRPr="00885CCF">
        <w:t xml:space="preserve"> представяне на тема</w:t>
      </w:r>
      <w:r w:rsidR="00885CCF" w:rsidRPr="00885CCF">
        <w:t>та</w:t>
      </w:r>
      <w:r w:rsidRPr="00885CCF">
        <w:t xml:space="preserve"> „Европейски стандарти и оперативната съвместимост </w:t>
      </w:r>
      <w:r w:rsidR="00885CCF">
        <w:t xml:space="preserve">- </w:t>
      </w:r>
      <w:r w:rsidRPr="00885CCF">
        <w:t xml:space="preserve">работен </w:t>
      </w:r>
      <w:r w:rsidR="00885CCF">
        <w:t>документ</w:t>
      </w:r>
      <w:r w:rsidRPr="00885CCF">
        <w:t xml:space="preserve"> на работната група </w:t>
      </w:r>
      <w:proofErr w:type="spellStart"/>
      <w:r w:rsidRPr="00885CCF">
        <w:t>FinTech</w:t>
      </w:r>
      <w:proofErr w:type="spellEnd"/>
      <w:r w:rsidRPr="00885CCF">
        <w:t>“</w:t>
      </w:r>
      <w:r w:rsidR="00885CCF">
        <w:t>,</w:t>
      </w:r>
      <w:r w:rsidRPr="00885CCF">
        <w:t xml:space="preserve"> първоначално планирано в ра</w:t>
      </w:r>
      <w:r w:rsidR="00885CCF">
        <w:t>мките на точка 5 от дневния ред.</w:t>
      </w:r>
      <w:r w:rsidRPr="00885CCF">
        <w:t xml:space="preserve"> </w:t>
      </w:r>
      <w:r w:rsidR="00885CCF">
        <w:t>Темата беше прехвърлена за</w:t>
      </w:r>
      <w:r w:rsidRPr="00885CCF">
        <w:t xml:space="preserve"> следобед под точка 7 от дневния ред. </w:t>
      </w:r>
      <w:r w:rsidR="00885CCF">
        <w:t>Д</w:t>
      </w:r>
      <w:r w:rsidRPr="00885CCF">
        <w:t>невният ред беше приет с тази промяна.</w:t>
      </w:r>
    </w:p>
    <w:p w:rsidR="004A132F" w:rsidRPr="00885CCF" w:rsidRDefault="004A132F">
      <w:pPr>
        <w:pStyle w:val="ListParagraph"/>
        <w:ind w:left="0"/>
        <w:jc w:val="both"/>
      </w:pPr>
    </w:p>
    <w:p w:rsidR="004A132F" w:rsidRPr="00885CCF" w:rsidRDefault="008C0951">
      <w:pPr>
        <w:pStyle w:val="ListParagraph"/>
        <w:ind w:left="0"/>
        <w:jc w:val="both"/>
      </w:pPr>
      <w:r w:rsidRPr="00885CCF">
        <w:t>Протоколът от предходното заседание (документ ICT/MSP(2017)471v2) б</w:t>
      </w:r>
      <w:r w:rsidR="00885CCF">
        <w:t>еше приет след като бъде изменен</w:t>
      </w:r>
      <w:r w:rsidRPr="00885CCF">
        <w:t>, за да се вземат предвид получените коментари от Франция и Европейския комитет по стандартизация (CEN). SK поиска да заличи името на словашкия представител, който не присъства на предишното заседание.</w:t>
      </w:r>
    </w:p>
    <w:p w:rsidR="004A132F" w:rsidRPr="00885CCF" w:rsidRDefault="004A132F">
      <w:pPr>
        <w:pStyle w:val="ListParagraph"/>
        <w:ind w:left="0"/>
        <w:jc w:val="both"/>
        <w:rPr>
          <w:i/>
        </w:rPr>
      </w:pPr>
    </w:p>
    <w:p w:rsidR="004A132F" w:rsidRPr="00885CCF" w:rsidRDefault="00885CCF">
      <w:pPr>
        <w:pStyle w:val="ListParagraph"/>
        <w:ind w:left="0"/>
        <w:jc w:val="both"/>
      </w:pPr>
      <w:r>
        <w:rPr>
          <w:i/>
        </w:rPr>
        <w:t xml:space="preserve">Белен </w:t>
      </w:r>
      <w:r w:rsidR="008C0951" w:rsidRPr="00885CCF">
        <w:rPr>
          <w:i/>
        </w:rPr>
        <w:t>Мартинес (ГД GROW) се спря на списъка с действия, включен за първи път в края на протокола (съгласно изискванията на новия образец за протокола на експертните групи, които консултират Комисията).</w:t>
      </w:r>
      <w:r w:rsidR="008C0951" w:rsidRPr="00885CCF">
        <w:t xml:space="preserve"> Тя обясни, че действия 18.1, 18.3 18.5, 18.4, 18.6, 18.8 и 17.2 от предишното заседание не </w:t>
      </w:r>
      <w:r>
        <w:t>са</w:t>
      </w:r>
      <w:r w:rsidR="008C0951" w:rsidRPr="00885CCF">
        <w:t xml:space="preserve"> приключил</w:t>
      </w:r>
      <w:r>
        <w:t>и</w:t>
      </w:r>
      <w:r w:rsidR="008C0951" w:rsidRPr="00885CCF">
        <w:t xml:space="preserve">. По отношение на действие 18.7, </w:t>
      </w:r>
      <w:r>
        <w:t xml:space="preserve">са представени </w:t>
      </w:r>
      <w:r w:rsidR="008C0951" w:rsidRPr="00885CCF">
        <w:t xml:space="preserve">някои </w:t>
      </w:r>
      <w:r w:rsidRPr="00885CCF">
        <w:t xml:space="preserve">имена на експертите </w:t>
      </w:r>
      <w:r>
        <w:t xml:space="preserve">от </w:t>
      </w:r>
      <w:r w:rsidR="008C0951" w:rsidRPr="00885CCF">
        <w:t xml:space="preserve">членове на </w:t>
      </w:r>
      <w:r w:rsidRPr="00885CCF">
        <w:t>MSP</w:t>
      </w:r>
      <w:r w:rsidR="008C0951" w:rsidRPr="00885CCF">
        <w:t>, но не е получ</w:t>
      </w:r>
      <w:r>
        <w:t>ен</w:t>
      </w:r>
      <w:r w:rsidR="008C0951" w:rsidRPr="00885CCF">
        <w:t xml:space="preserve"> отговор от тях. Действие 18.2 не е извършен</w:t>
      </w:r>
      <w:r>
        <w:t>о</w:t>
      </w:r>
      <w:r w:rsidR="008C0951" w:rsidRPr="00885CCF">
        <w:t xml:space="preserve"> и призова членовете да съобщят името на </w:t>
      </w:r>
      <w:r w:rsidRPr="00885CCF">
        <w:t>MSP</w:t>
      </w:r>
      <w:r w:rsidR="008C0951" w:rsidRPr="00885CCF">
        <w:t xml:space="preserve"> &amp; адреси за електронна поща на още лица, които следва да имат достъп до CIRCABC във възможно най-кратък срок, тъй като списъкът на лицата, които имат достъп до CIRC</w:t>
      </w:r>
      <w:r>
        <w:t>ABC ще трябва да бъде почистен</w:t>
      </w:r>
      <w:r w:rsidR="008C0951" w:rsidRPr="00885CCF">
        <w:t xml:space="preserve"> </w:t>
      </w:r>
      <w:r>
        <w:t>от</w:t>
      </w:r>
      <w:r w:rsidR="008C0951" w:rsidRPr="00885CCF">
        <w:t xml:space="preserve"> </w:t>
      </w:r>
      <w:r>
        <w:t>имена</w:t>
      </w:r>
      <w:r w:rsidR="008C0951" w:rsidRPr="00885CCF">
        <w:t>, различни от тези на настоящите представители/заместници.</w:t>
      </w:r>
    </w:p>
    <w:p w:rsidR="004A132F" w:rsidRPr="00885CCF" w:rsidRDefault="004A132F">
      <w:pPr>
        <w:pStyle w:val="ListParagraph"/>
        <w:ind w:left="0"/>
        <w:jc w:val="both"/>
        <w:rPr>
          <w:u w:val="single"/>
        </w:rPr>
      </w:pPr>
    </w:p>
    <w:p w:rsidR="004A132F" w:rsidRPr="00885CCF" w:rsidRDefault="00885CCF">
      <w:pPr>
        <w:pStyle w:val="ListParagraph"/>
        <w:ind w:left="0"/>
        <w:jc w:val="both"/>
      </w:pPr>
      <w:hyperlink r:id="rId8" w:history="1">
        <w:r w:rsidRPr="0010504C">
          <w:rPr>
            <w:rStyle w:val="Hyperlink"/>
          </w:rPr>
          <w:t xml:space="preserve">Във връзка с действия 18.3 &amp; 4 CEN обясни, че MSP членовете не са изпратили информация до момента. W3C възнамерява да даде своя принос. ETSI и ECMA, са </w:t>
        </w:r>
        <w:r w:rsidRPr="0010504C">
          <w:rPr>
            <w:rStyle w:val="Hyperlink"/>
          </w:rPr>
          <w:lastRenderedPageBreak/>
          <w:t>потвърдили, че също ще допринесат. Входящите данни следва да бъдат изпратени директно на CEN — Stefan Weisgerber, stefan.weisgerber@din.de, който ще докладва за състоянието на това действие на следващото заседание на MSP.</w:t>
        </w:r>
      </w:hyperlink>
    </w:p>
    <w:p w:rsidR="004A132F" w:rsidRPr="00885CCF" w:rsidRDefault="004A132F">
      <w:pPr>
        <w:pStyle w:val="ListParagraph"/>
        <w:ind w:left="0"/>
        <w:jc w:val="both"/>
      </w:pPr>
    </w:p>
    <w:p w:rsidR="004A132F" w:rsidRPr="00885CCF" w:rsidRDefault="00885CCF">
      <w:pPr>
        <w:pStyle w:val="Heading1"/>
        <w:numPr>
          <w:ilvl w:val="0"/>
          <w:numId w:val="6"/>
        </w:numPr>
        <w:ind w:left="0" w:firstLine="0"/>
      </w:pPr>
      <w:r>
        <w:t>Заседание по същество</w:t>
      </w:r>
    </w:p>
    <w:p w:rsidR="004A132F" w:rsidRPr="00885CCF" w:rsidRDefault="008C0951">
      <w:pPr>
        <w:spacing w:after="0"/>
      </w:pPr>
      <w:r w:rsidRPr="00885CCF">
        <w:t>Участниците бяха членове на платформата, Комисията и длъжностните лица, занимаващи се със съответните политики и някои експерти, поканени по конкретни точки в дневния ред (вж. списък на участниците в точка 11).</w:t>
      </w:r>
      <w:r w:rsidRPr="00885CCF">
        <w:rPr>
          <w:rStyle w:val="FootnoteAnchor"/>
        </w:rPr>
        <w:footnoteReference w:id="2"/>
      </w:r>
    </w:p>
    <w:p w:rsidR="004A132F" w:rsidRPr="00885CCF" w:rsidRDefault="008C0951">
      <w:pPr>
        <w:pStyle w:val="Heading1"/>
        <w:numPr>
          <w:ilvl w:val="0"/>
          <w:numId w:val="6"/>
        </w:numPr>
        <w:ind w:left="0" w:firstLine="0"/>
      </w:pPr>
      <w:r w:rsidRPr="00885CCF">
        <w:t>Списък на тем</w:t>
      </w:r>
      <w:r w:rsidR="00E65A24">
        <w:t>и</w:t>
      </w:r>
      <w:r w:rsidRPr="00885CCF">
        <w:t>, обсъждан</w:t>
      </w:r>
      <w:r w:rsidR="00E65A24">
        <w:t>ия</w:t>
      </w:r>
    </w:p>
    <w:p w:rsidR="004A132F" w:rsidRPr="00E65A24" w:rsidRDefault="00E65A24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  <w:rPr>
          <w:rFonts w:asciiTheme="minorHAnsi" w:hAnsiTheme="minorHAnsi"/>
        </w:rPr>
      </w:pPr>
      <w:r>
        <w:rPr>
          <w:rFonts w:ascii="Times New Roman Bold" w:hAnsi="Times New Roman Bold"/>
        </w:rPr>
        <w:t>Откриване на заседанието</w:t>
      </w:r>
    </w:p>
    <w:p w:rsidR="004A132F" w:rsidRPr="00885CCF" w:rsidRDefault="008C0951">
      <w:pPr>
        <w:pStyle w:val="ListParagraph"/>
        <w:spacing w:before="120" w:after="240"/>
        <w:ind w:left="0"/>
        <w:jc w:val="both"/>
      </w:pPr>
      <w:proofErr w:type="spellStart"/>
      <w:r w:rsidRPr="00885CCF">
        <w:rPr>
          <w:i/>
        </w:rPr>
        <w:t>Kirsi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Ekroth-Manssila</w:t>
      </w:r>
      <w:proofErr w:type="spellEnd"/>
      <w:r w:rsidRPr="00885CCF">
        <w:rPr>
          <w:i/>
        </w:rPr>
        <w:t>, съпредседател (ГД GROW), откри заседанието.</w:t>
      </w:r>
      <w:r w:rsidRPr="00885CCF">
        <w:t xml:space="preserve"> Тя приветства</w:t>
      </w:r>
    </w:p>
    <w:p w:rsidR="004A132F" w:rsidRPr="00885CCF" w:rsidRDefault="008C0951">
      <w:pPr>
        <w:pStyle w:val="ListParagraph"/>
        <w:numPr>
          <w:ilvl w:val="0"/>
          <w:numId w:val="2"/>
        </w:numPr>
        <w:spacing w:before="120" w:after="240"/>
        <w:jc w:val="both"/>
      </w:pPr>
      <w:r w:rsidRPr="00885CCF">
        <w:t xml:space="preserve">Г-н </w:t>
      </w:r>
      <w:proofErr w:type="spellStart"/>
      <w:r w:rsidRPr="00885CCF">
        <w:t>Stefan</w:t>
      </w:r>
      <w:proofErr w:type="spellEnd"/>
      <w:r w:rsidRPr="00885CCF">
        <w:t xml:space="preserve"> </w:t>
      </w:r>
      <w:proofErr w:type="spellStart"/>
      <w:r w:rsidRPr="00885CCF">
        <w:t>Szilva</w:t>
      </w:r>
      <w:proofErr w:type="spellEnd"/>
      <w:r w:rsidRPr="00885CCF">
        <w:t xml:space="preserve"> (</w:t>
      </w:r>
      <w:r w:rsidR="00E65A24" w:rsidRPr="00885CCF">
        <w:t>канцелария</w:t>
      </w:r>
      <w:r w:rsidR="00E65A24">
        <w:t xml:space="preserve"> на </w:t>
      </w:r>
      <w:r w:rsidRPr="00885CCF">
        <w:t>заместник министър-председател</w:t>
      </w:r>
      <w:r w:rsidR="00E65A24">
        <w:t>я</w:t>
      </w:r>
      <w:r w:rsidRPr="00885CCF">
        <w:t xml:space="preserve"> за инвестиции и </w:t>
      </w:r>
      <w:proofErr w:type="spellStart"/>
      <w:r w:rsidRPr="00885CCF">
        <w:t>информатизация</w:t>
      </w:r>
      <w:proofErr w:type="spellEnd"/>
      <w:r w:rsidRPr="00885CCF">
        <w:t>), новият представител на Словакия;</w:t>
      </w:r>
    </w:p>
    <w:p w:rsidR="004A132F" w:rsidRPr="00885CCF" w:rsidRDefault="008C0951">
      <w:pPr>
        <w:pStyle w:val="ListParagraph"/>
        <w:numPr>
          <w:ilvl w:val="0"/>
          <w:numId w:val="2"/>
        </w:numPr>
        <w:spacing w:before="120" w:after="240"/>
        <w:jc w:val="both"/>
      </w:pPr>
      <w:r w:rsidRPr="00885CCF">
        <w:t xml:space="preserve">Г-н </w:t>
      </w:r>
      <w:proofErr w:type="spellStart"/>
      <w:r w:rsidRPr="00885CCF">
        <w:t>Lars</w:t>
      </w:r>
      <w:proofErr w:type="spellEnd"/>
      <w:r w:rsidRPr="00885CCF">
        <w:t xml:space="preserve"> </w:t>
      </w:r>
      <w:proofErr w:type="spellStart"/>
      <w:r w:rsidRPr="00885CCF">
        <w:t>Erik</w:t>
      </w:r>
      <w:proofErr w:type="spellEnd"/>
      <w:r w:rsidRPr="00885CCF">
        <w:t xml:space="preserve"> </w:t>
      </w:r>
      <w:proofErr w:type="spellStart"/>
      <w:r w:rsidRPr="00885CCF">
        <w:t>Myhre</w:t>
      </w:r>
      <w:proofErr w:type="spellEnd"/>
      <w:r w:rsidRPr="00885CCF">
        <w:t xml:space="preserve"> (Норвежката агенция за публично управление и IKT), новият представител от Норвегия, на мястото на г-н </w:t>
      </w:r>
      <w:proofErr w:type="spellStart"/>
      <w:r w:rsidRPr="00885CCF">
        <w:t>Vidar</w:t>
      </w:r>
      <w:proofErr w:type="spellEnd"/>
      <w:r w:rsidRPr="00885CCF">
        <w:t>;</w:t>
      </w:r>
    </w:p>
    <w:p w:rsidR="004A132F" w:rsidRPr="00885CCF" w:rsidRDefault="008C0951">
      <w:pPr>
        <w:pStyle w:val="ListParagraph"/>
        <w:numPr>
          <w:ilvl w:val="0"/>
          <w:numId w:val="2"/>
        </w:numPr>
        <w:spacing w:before="120" w:after="240"/>
        <w:jc w:val="both"/>
      </w:pPr>
      <w:r w:rsidRPr="00885CCF">
        <w:t xml:space="preserve">Г-н </w:t>
      </w:r>
      <w:proofErr w:type="spellStart"/>
      <w:r w:rsidRPr="00885CCF">
        <w:t>Alojz</w:t>
      </w:r>
      <w:proofErr w:type="spellEnd"/>
      <w:r w:rsidRPr="00885CCF">
        <w:t xml:space="preserve"> </w:t>
      </w:r>
      <w:proofErr w:type="spellStart"/>
      <w:r w:rsidRPr="00885CCF">
        <w:t>Hudobivnik</w:t>
      </w:r>
      <w:proofErr w:type="spellEnd"/>
      <w:r w:rsidRPr="00885CCF">
        <w:t xml:space="preserve"> (Словенски институт по стандартизация SIST), нов заместник от Словения;</w:t>
      </w:r>
    </w:p>
    <w:p w:rsidR="004A132F" w:rsidRPr="00885CCF" w:rsidRDefault="008C0951">
      <w:pPr>
        <w:pStyle w:val="ListParagraph"/>
        <w:numPr>
          <w:ilvl w:val="0"/>
          <w:numId w:val="2"/>
        </w:numPr>
        <w:spacing w:before="120" w:after="240"/>
        <w:jc w:val="both"/>
      </w:pPr>
      <w:r w:rsidRPr="00885CCF">
        <w:t xml:space="preserve">Г-н Jones </w:t>
      </w:r>
      <w:proofErr w:type="spellStart"/>
      <w:r w:rsidRPr="00885CCF">
        <w:t>Rhian</w:t>
      </w:r>
      <w:proofErr w:type="spellEnd"/>
      <w:r w:rsidRPr="00885CCF">
        <w:t xml:space="preserve"> </w:t>
      </w:r>
      <w:r w:rsidR="00E65A24">
        <w:t>- правителствена канцелария</w:t>
      </w:r>
      <w:r w:rsidRPr="00885CCF">
        <w:t xml:space="preserve"> за цифрови услуги (правителство на Обединеното кралство), нов заместник на мястото на г-жа </w:t>
      </w:r>
      <w:proofErr w:type="spellStart"/>
      <w:r w:rsidRPr="00885CCF">
        <w:t>Sheridan</w:t>
      </w:r>
      <w:proofErr w:type="spellEnd"/>
      <w:r w:rsidRPr="00885CCF">
        <w:t>;</w:t>
      </w:r>
    </w:p>
    <w:p w:rsidR="004A132F" w:rsidRPr="00885CCF" w:rsidRDefault="008C0951">
      <w:pPr>
        <w:pStyle w:val="ListParagraph"/>
        <w:numPr>
          <w:ilvl w:val="0"/>
          <w:numId w:val="2"/>
        </w:numPr>
        <w:spacing w:before="120" w:after="240"/>
        <w:jc w:val="both"/>
      </w:pPr>
      <w:r w:rsidRPr="00885CCF">
        <w:t xml:space="preserve">Г-н </w:t>
      </w:r>
      <w:proofErr w:type="spellStart"/>
      <w:r w:rsidRPr="00885CCF">
        <w:t>Brian</w:t>
      </w:r>
      <w:proofErr w:type="spellEnd"/>
      <w:r w:rsidRPr="00885CCF">
        <w:t xml:space="preserve"> </w:t>
      </w:r>
      <w:proofErr w:type="spellStart"/>
      <w:r w:rsidRPr="00885CCF">
        <w:t>McAuliffe</w:t>
      </w:r>
      <w:proofErr w:type="spellEnd"/>
      <w:r w:rsidRPr="00885CCF">
        <w:t xml:space="preserve"> (</w:t>
      </w:r>
      <w:proofErr w:type="spellStart"/>
      <w:r w:rsidRPr="00885CCF">
        <w:t>DigitalEurope</w:t>
      </w:r>
      <w:proofErr w:type="spellEnd"/>
      <w:r w:rsidRPr="00885CCF">
        <w:t xml:space="preserve">), нов заместник представител на мястото на г-н </w:t>
      </w:r>
      <w:proofErr w:type="spellStart"/>
      <w:r w:rsidRPr="00885CCF">
        <w:t>Jean</w:t>
      </w:r>
      <w:proofErr w:type="spellEnd"/>
      <w:r w:rsidRPr="00885CCF">
        <w:t xml:space="preserve"> </w:t>
      </w:r>
      <w:proofErr w:type="spellStart"/>
      <w:r w:rsidRPr="00885CCF">
        <w:t>Laurens</w:t>
      </w:r>
      <w:proofErr w:type="spellEnd"/>
      <w:r w:rsidRPr="00885CCF">
        <w:t>;</w:t>
      </w:r>
    </w:p>
    <w:p w:rsidR="004A132F" w:rsidRPr="00885CCF" w:rsidRDefault="008C0951">
      <w:pPr>
        <w:pStyle w:val="ListParagraph"/>
        <w:numPr>
          <w:ilvl w:val="0"/>
          <w:numId w:val="2"/>
        </w:numPr>
        <w:spacing w:before="120" w:after="240"/>
        <w:jc w:val="both"/>
      </w:pPr>
      <w:r w:rsidRPr="00885CCF">
        <w:t xml:space="preserve">и г-н </w:t>
      </w:r>
      <w:proofErr w:type="spellStart"/>
      <w:r w:rsidRPr="00885CCF">
        <w:t>Christophe</w:t>
      </w:r>
      <w:proofErr w:type="spellEnd"/>
      <w:r w:rsidRPr="00885CCF">
        <w:t xml:space="preserve"> </w:t>
      </w:r>
      <w:proofErr w:type="spellStart"/>
      <w:r w:rsidRPr="00885CCF">
        <w:t>Hauert</w:t>
      </w:r>
      <w:proofErr w:type="spellEnd"/>
      <w:r w:rsidRPr="00885CCF">
        <w:t xml:space="preserve"> </w:t>
      </w:r>
      <w:r w:rsidR="00E65A24">
        <w:t>- нов</w:t>
      </w:r>
      <w:r w:rsidRPr="00885CCF">
        <w:t xml:space="preserve"> </w:t>
      </w:r>
      <w:r w:rsidR="00E65A24" w:rsidRPr="00885CCF">
        <w:t xml:space="preserve">заместник </w:t>
      </w:r>
      <w:r w:rsidR="00E65A24">
        <w:t xml:space="preserve">от </w:t>
      </w:r>
      <w:r w:rsidRPr="00885CCF">
        <w:t>ETUC.</w:t>
      </w:r>
    </w:p>
    <w:p w:rsidR="004A132F" w:rsidRPr="00885CCF" w:rsidRDefault="004A132F">
      <w:pPr>
        <w:pStyle w:val="ListParagraph"/>
        <w:spacing w:before="120" w:after="240"/>
        <w:jc w:val="both"/>
      </w:pPr>
    </w:p>
    <w:p w:rsidR="004A132F" w:rsidRPr="00885CCF" w:rsidRDefault="008C0951">
      <w:r w:rsidRPr="00885CCF">
        <w:t xml:space="preserve">Г-н </w:t>
      </w:r>
      <w:proofErr w:type="spellStart"/>
      <w:r w:rsidR="00E65A24">
        <w:rPr>
          <w:lang w:val="en-US"/>
        </w:rPr>
        <w:t>Eza</w:t>
      </w:r>
      <w:proofErr w:type="spellEnd"/>
      <w:r w:rsidRPr="00885CCF">
        <w:t xml:space="preserve"> </w:t>
      </w:r>
      <w:proofErr w:type="spellStart"/>
      <w:r w:rsidRPr="00885CCF">
        <w:t>Kaunistola</w:t>
      </w:r>
      <w:proofErr w:type="spellEnd"/>
      <w:r w:rsidRPr="00885CCF">
        <w:t xml:space="preserve"> </w:t>
      </w:r>
      <w:r w:rsidR="00E65A24">
        <w:t xml:space="preserve">беше представен като </w:t>
      </w:r>
      <w:r w:rsidR="00E65A24" w:rsidRPr="00885CCF">
        <w:t xml:space="preserve">нов заместник от </w:t>
      </w:r>
      <w:r w:rsidR="00E65A24">
        <w:t>OASIS</w:t>
      </w:r>
      <w:r w:rsidRPr="00885CCF">
        <w:t>. ЕГИ обявиха също така нов заместник, чи</w:t>
      </w:r>
      <w:r w:rsidR="00E65A24">
        <w:t>я</w:t>
      </w:r>
      <w:r w:rsidRPr="00885CCF">
        <w:t>то официалн</w:t>
      </w:r>
      <w:r w:rsidR="00E65A24">
        <w:t>а</w:t>
      </w:r>
      <w:r w:rsidRPr="00885CCF">
        <w:t xml:space="preserve"> </w:t>
      </w:r>
      <w:r w:rsidR="00E65A24">
        <w:t>номинация</w:t>
      </w:r>
      <w:r w:rsidRPr="00885CCF">
        <w:t xml:space="preserve"> ще бъде изпратен</w:t>
      </w:r>
      <w:r w:rsidR="00E65A24">
        <w:t>а</w:t>
      </w:r>
      <w:r w:rsidRPr="00885CCF">
        <w:t xml:space="preserve"> след заседанието.</w:t>
      </w:r>
    </w:p>
    <w:p w:rsidR="004A132F" w:rsidRPr="00885CCF" w:rsidRDefault="008C0951">
      <w:pPr>
        <w:pStyle w:val="ListParagraph"/>
        <w:spacing w:before="120" w:after="240"/>
        <w:ind w:left="0"/>
        <w:jc w:val="both"/>
        <w:rPr>
          <w:bCs/>
        </w:rPr>
      </w:pPr>
      <w:r w:rsidRPr="00885CCF">
        <w:t xml:space="preserve">В заключение Председателят закри точката, в която обяви, че поради разнообразието на презентации, различни експерти от службите на Комисията или от консултантски фирми ще присъстват </w:t>
      </w:r>
      <w:r w:rsidR="00E65A24">
        <w:t xml:space="preserve">на </w:t>
      </w:r>
      <w:r w:rsidRPr="00885CCF">
        <w:t>специфични части от заседанието.</w:t>
      </w:r>
    </w:p>
    <w:p w:rsidR="004A132F" w:rsidRPr="00885CCF" w:rsidRDefault="008C0951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885CCF">
        <w:t xml:space="preserve">Въпроси, свързани с политиката и управлението на </w:t>
      </w:r>
      <w:r w:rsidR="00E65A24" w:rsidRPr="00E65A24">
        <w:t>MSP</w:t>
      </w:r>
    </w:p>
    <w:p w:rsidR="004A132F" w:rsidRPr="00885CCF" w:rsidRDefault="008C0951">
      <w:pPr>
        <w:pStyle w:val="Heading2"/>
      </w:pPr>
      <w:r w:rsidRPr="00885CCF">
        <w:t xml:space="preserve">Последващи действия във връзка с обсъжданията относно функционирането на </w:t>
      </w:r>
      <w:r w:rsidR="00E65A24" w:rsidRPr="00E65A24">
        <w:t>MSP</w:t>
      </w:r>
    </w:p>
    <w:p w:rsidR="004A132F" w:rsidRPr="00885CCF" w:rsidRDefault="008C0951">
      <w:pPr>
        <w:pStyle w:val="ListParagraph"/>
        <w:ind w:left="0"/>
        <w:jc w:val="both"/>
        <w:rPr>
          <w:i/>
        </w:rPr>
      </w:pPr>
      <w:r w:rsidRPr="00885CCF">
        <w:rPr>
          <w:i/>
        </w:rPr>
        <w:t xml:space="preserve">Председателят обясни, че </w:t>
      </w:r>
      <w:r w:rsidR="00E65A24">
        <w:rPr>
          <w:i/>
        </w:rPr>
        <w:t xml:space="preserve">в </w:t>
      </w:r>
      <w:r w:rsidRPr="00885CCF">
        <w:rPr>
          <w:i/>
        </w:rPr>
        <w:t>документ № ICT/MSP(2017)481 е представено обобщение на резултатите от предходни обсъждания.</w:t>
      </w:r>
    </w:p>
    <w:p w:rsidR="004A132F" w:rsidRPr="00885CCF" w:rsidRDefault="004A132F">
      <w:pPr>
        <w:pStyle w:val="ListParagraph"/>
        <w:ind w:left="0"/>
        <w:jc w:val="both"/>
      </w:pPr>
    </w:p>
    <w:p w:rsidR="004A132F" w:rsidRPr="00885CCF" w:rsidRDefault="008C0951">
      <w:pPr>
        <w:pStyle w:val="ListParagraph"/>
        <w:ind w:left="0"/>
        <w:jc w:val="both"/>
        <w:rPr>
          <w:szCs w:val="20"/>
        </w:rPr>
      </w:pPr>
      <w:proofErr w:type="spellStart"/>
      <w:r w:rsidRPr="00885CCF">
        <w:rPr>
          <w:i/>
        </w:rPr>
        <w:t>Thomas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Reibe</w:t>
      </w:r>
      <w:proofErr w:type="spellEnd"/>
      <w:r w:rsidRPr="00885CCF">
        <w:rPr>
          <w:i/>
        </w:rPr>
        <w:t xml:space="preserve"> (CNECT) премина през док. ICT/MSP(2017)491 като припомн</w:t>
      </w:r>
      <w:r w:rsidR="00E65A24">
        <w:rPr>
          <w:i/>
        </w:rPr>
        <w:t>и</w:t>
      </w:r>
      <w:r w:rsidRPr="00885CCF">
        <w:rPr>
          <w:i/>
        </w:rPr>
        <w:t xml:space="preserve"> основните заключения за всяка точка и представянето на постигнатия напредък.</w:t>
      </w:r>
      <w:r w:rsidRPr="00885CCF">
        <w:t xml:space="preserve"> </w:t>
      </w:r>
      <w:r w:rsidRPr="00885CCF">
        <w:rPr>
          <w:szCs w:val="20"/>
        </w:rPr>
        <w:t>Той стигна до заключението, че по отношение на някои точки дискусията следва да бъде продължен</w:t>
      </w:r>
      <w:r w:rsidR="00E65A24">
        <w:rPr>
          <w:szCs w:val="20"/>
        </w:rPr>
        <w:t>а</w:t>
      </w:r>
      <w:r w:rsidRPr="00885CCF">
        <w:rPr>
          <w:szCs w:val="20"/>
        </w:rPr>
        <w:t xml:space="preserve">, </w:t>
      </w:r>
      <w:r w:rsidR="00E65A24">
        <w:rPr>
          <w:szCs w:val="20"/>
        </w:rPr>
        <w:t xml:space="preserve">и </w:t>
      </w:r>
      <w:r w:rsidRPr="00885CCF">
        <w:rPr>
          <w:szCs w:val="20"/>
        </w:rPr>
        <w:t>по-скоро в контекста на действие 7 JIES.</w:t>
      </w:r>
      <w:r w:rsidRPr="00885CCF">
        <w:rPr>
          <w:i/>
          <w:szCs w:val="20"/>
        </w:rPr>
        <w:t xml:space="preserve"> Председателят се позова по-специално на </w:t>
      </w:r>
      <w:r w:rsidRPr="00885CCF">
        <w:rPr>
          <w:i/>
          <w:szCs w:val="20"/>
        </w:rPr>
        <w:lastRenderedPageBreak/>
        <w:t>дискусията относно процеса на идентификация и предложи създаването на работна група за обсъждане на възможни подобрения в процеса на идентификация.</w:t>
      </w:r>
    </w:p>
    <w:p w:rsidR="004A132F" w:rsidRPr="00885CCF" w:rsidRDefault="008C0951">
      <w:pPr>
        <w:pStyle w:val="ListParagraph"/>
        <w:ind w:left="0"/>
        <w:jc w:val="both"/>
        <w:rPr>
          <w:bCs/>
          <w:color w:val="000000"/>
        </w:rPr>
      </w:pPr>
      <w:r w:rsidRPr="00885CCF">
        <w:rPr>
          <w:szCs w:val="20"/>
        </w:rPr>
        <w:t xml:space="preserve">Що се отнася до заключението, в смисъл че </w:t>
      </w:r>
      <w:r w:rsidR="00E65A24" w:rsidRPr="00E65A24">
        <w:rPr>
          <w:szCs w:val="20"/>
        </w:rPr>
        <w:t>MSP</w:t>
      </w:r>
      <w:r w:rsidRPr="00885CCF">
        <w:rPr>
          <w:szCs w:val="20"/>
        </w:rPr>
        <w:t xml:space="preserve"> </w:t>
      </w:r>
      <w:r w:rsidR="00E65A24">
        <w:rPr>
          <w:szCs w:val="20"/>
        </w:rPr>
        <w:t>членове могат да предложат теми.</w:t>
      </w:r>
      <w:r w:rsidRPr="00885CCF">
        <w:rPr>
          <w:szCs w:val="20"/>
        </w:rPr>
        <w:t xml:space="preserve"> </w:t>
      </w:r>
      <w:r w:rsidR="00E65A24">
        <w:rPr>
          <w:szCs w:val="20"/>
        </w:rPr>
        <w:t>Е</w:t>
      </w:r>
      <w:r w:rsidRPr="00885CCF">
        <w:rPr>
          <w:szCs w:val="20"/>
        </w:rPr>
        <w:t xml:space="preserve">дна </w:t>
      </w:r>
      <w:r w:rsidR="00E65A24">
        <w:rPr>
          <w:szCs w:val="20"/>
        </w:rPr>
        <w:t>организация предложи</w:t>
      </w:r>
      <w:r w:rsidRPr="00885CCF">
        <w:rPr>
          <w:szCs w:val="20"/>
        </w:rPr>
        <w:t xml:space="preserve"> </w:t>
      </w:r>
      <w:r w:rsidR="00E65A24" w:rsidRPr="00885CCF">
        <w:rPr>
          <w:szCs w:val="20"/>
        </w:rPr>
        <w:t xml:space="preserve">на следващото заседание </w:t>
      </w:r>
      <w:r w:rsidR="00E65A24">
        <w:rPr>
          <w:szCs w:val="20"/>
        </w:rPr>
        <w:t>да има презентация за</w:t>
      </w:r>
      <w:r w:rsidRPr="00885CCF">
        <w:rPr>
          <w:szCs w:val="20"/>
        </w:rPr>
        <w:t xml:space="preserve"> големите информационни масиви, тъй като го счита за полезно за </w:t>
      </w:r>
      <w:r w:rsidR="00E65A24" w:rsidRPr="00E65A24">
        <w:rPr>
          <w:szCs w:val="20"/>
        </w:rPr>
        <w:t>MSP</w:t>
      </w:r>
      <w:r w:rsidRPr="00885CCF">
        <w:rPr>
          <w:szCs w:val="20"/>
        </w:rPr>
        <w:t>.</w:t>
      </w:r>
    </w:p>
    <w:p w:rsidR="004A132F" w:rsidRPr="00885CCF" w:rsidRDefault="00E65A24">
      <w:pPr>
        <w:pStyle w:val="ListParagraph"/>
        <w:ind w:left="0"/>
        <w:jc w:val="both"/>
        <w:rPr>
          <w:bCs/>
          <w:color w:val="000000"/>
        </w:rPr>
      </w:pPr>
      <w:r>
        <w:rPr>
          <w:bCs/>
          <w:color w:val="000000"/>
        </w:rPr>
        <w:t>Беше пояснено</w:t>
      </w:r>
      <w:r w:rsidR="008C0951" w:rsidRPr="00885CCF">
        <w:rPr>
          <w:bCs/>
          <w:color w:val="000000"/>
        </w:rPr>
        <w:t xml:space="preserve">, че Европейската организация за </w:t>
      </w:r>
      <w:proofErr w:type="spellStart"/>
      <w:r w:rsidR="008C0951" w:rsidRPr="00885CCF">
        <w:rPr>
          <w:bCs/>
          <w:color w:val="000000"/>
        </w:rPr>
        <w:t>киберсигурност</w:t>
      </w:r>
      <w:proofErr w:type="spellEnd"/>
      <w:r w:rsidR="008C0951" w:rsidRPr="00885CCF">
        <w:rPr>
          <w:bCs/>
          <w:color w:val="000000"/>
        </w:rPr>
        <w:t xml:space="preserve"> (ECSO) работ</w:t>
      </w:r>
      <w:r>
        <w:rPr>
          <w:bCs/>
          <w:color w:val="000000"/>
        </w:rPr>
        <w:t>и</w:t>
      </w:r>
      <w:r w:rsidR="008C0951" w:rsidRPr="00885CCF">
        <w:rPr>
          <w:bCs/>
          <w:color w:val="000000"/>
        </w:rPr>
        <w:t xml:space="preserve"> по стандартизацията и са имали намерение да </w:t>
      </w:r>
      <w:r>
        <w:rPr>
          <w:bCs/>
          <w:color w:val="000000"/>
        </w:rPr>
        <w:t xml:space="preserve">представят в </w:t>
      </w:r>
      <w:r w:rsidRPr="00885CCF">
        <w:rPr>
          <w:bCs/>
          <w:color w:val="000000"/>
        </w:rPr>
        <w:t xml:space="preserve">секретариата </w:t>
      </w:r>
      <w:r>
        <w:rPr>
          <w:bCs/>
          <w:color w:val="000000"/>
        </w:rPr>
        <w:t xml:space="preserve">на </w:t>
      </w:r>
      <w:r w:rsidRPr="00E65A24">
        <w:rPr>
          <w:bCs/>
          <w:color w:val="000000"/>
        </w:rPr>
        <w:t xml:space="preserve">MSP </w:t>
      </w:r>
      <w:r w:rsidR="008C0951" w:rsidRPr="00885CCF">
        <w:rPr>
          <w:bCs/>
          <w:color w:val="000000"/>
        </w:rPr>
        <w:t>предлож</w:t>
      </w:r>
      <w:r>
        <w:rPr>
          <w:bCs/>
          <w:color w:val="000000"/>
        </w:rPr>
        <w:t>ение за</w:t>
      </w:r>
      <w:r w:rsidR="008C0951" w:rsidRPr="00885CCF">
        <w:rPr>
          <w:bCs/>
          <w:color w:val="000000"/>
        </w:rPr>
        <w:t xml:space="preserve"> презентация относно своите дейности в областта на сертифицирането и стандартизацията. Комисията приветства инициативата и иска да улесни връзката между </w:t>
      </w:r>
      <w:r w:rsidRPr="00885CCF">
        <w:rPr>
          <w:bCs/>
          <w:color w:val="000000"/>
        </w:rPr>
        <w:t>секретариата</w:t>
      </w:r>
      <w:r w:rsidRPr="00E65A2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 </w:t>
      </w:r>
      <w:r w:rsidRPr="00E65A24">
        <w:rPr>
          <w:bCs/>
          <w:color w:val="000000"/>
        </w:rPr>
        <w:t>MSP</w:t>
      </w:r>
      <w:r w:rsidR="008C0951" w:rsidRPr="00885CCF">
        <w:rPr>
          <w:bCs/>
          <w:color w:val="000000"/>
        </w:rPr>
        <w:t xml:space="preserve"> и ECSO, така че представянето може да се постави в дневния ред на следващото заседание.</w:t>
      </w:r>
    </w:p>
    <w:p w:rsidR="004A132F" w:rsidRPr="00885CCF" w:rsidRDefault="008C0951">
      <w:pPr>
        <w:pStyle w:val="ListParagraph"/>
        <w:ind w:left="0"/>
        <w:jc w:val="both"/>
        <w:rPr>
          <w:bCs/>
          <w:color w:val="000000"/>
        </w:rPr>
      </w:pPr>
      <w:r w:rsidRPr="00885CCF">
        <w:rPr>
          <w:bCs/>
          <w:color w:val="000000"/>
        </w:rPr>
        <w:t>Във връзка с</w:t>
      </w:r>
      <w:r w:rsidR="00E65A24">
        <w:rPr>
          <w:bCs/>
          <w:color w:val="000000"/>
        </w:rPr>
        <w:t>ъс</w:t>
      </w:r>
      <w:r w:rsidRPr="00885CCF">
        <w:rPr>
          <w:bCs/>
          <w:color w:val="000000"/>
        </w:rPr>
        <w:t xml:space="preserve"> засилването на диалога с Коми</w:t>
      </w:r>
      <w:r w:rsidR="00E65A24">
        <w:rPr>
          <w:bCs/>
          <w:color w:val="000000"/>
        </w:rPr>
        <w:t>тета</w:t>
      </w:r>
      <w:r w:rsidRPr="00885CCF">
        <w:rPr>
          <w:bCs/>
          <w:color w:val="000000"/>
        </w:rPr>
        <w:t xml:space="preserve"> по стандарти (</w:t>
      </w:r>
      <w:proofErr w:type="spellStart"/>
      <w:r w:rsidRPr="00885CCF">
        <w:rPr>
          <w:bCs/>
          <w:color w:val="000000"/>
        </w:rPr>
        <w:t>CoS</w:t>
      </w:r>
      <w:proofErr w:type="spellEnd"/>
      <w:r w:rsidRPr="00885CCF">
        <w:rPr>
          <w:bCs/>
          <w:color w:val="000000"/>
        </w:rPr>
        <w:t xml:space="preserve">), една държава членка поиска да се оцени степента на комуникацията между своите представители в платформата и </w:t>
      </w:r>
      <w:proofErr w:type="spellStart"/>
      <w:r w:rsidRPr="00885CCF">
        <w:rPr>
          <w:bCs/>
          <w:color w:val="000000"/>
        </w:rPr>
        <w:t>CoS</w:t>
      </w:r>
      <w:proofErr w:type="spellEnd"/>
      <w:r w:rsidRPr="00885CCF">
        <w:rPr>
          <w:bCs/>
          <w:color w:val="000000"/>
        </w:rPr>
        <w:t xml:space="preserve">. Комисията предлага да </w:t>
      </w:r>
      <w:r w:rsidR="00E65A24">
        <w:rPr>
          <w:bCs/>
          <w:color w:val="000000"/>
        </w:rPr>
        <w:t xml:space="preserve">се </w:t>
      </w:r>
      <w:r w:rsidRPr="00885CCF">
        <w:rPr>
          <w:bCs/>
          <w:color w:val="000000"/>
        </w:rPr>
        <w:t>възприеме това предложение в контекста на дискусията на действие 7.</w:t>
      </w:r>
    </w:p>
    <w:p w:rsidR="004A132F" w:rsidRPr="00885CCF" w:rsidRDefault="008C0951">
      <w:pPr>
        <w:pStyle w:val="ListParagraph"/>
        <w:ind w:left="0"/>
        <w:jc w:val="both"/>
        <w:rPr>
          <w:bCs/>
          <w:color w:val="000000"/>
        </w:rPr>
      </w:pPr>
      <w:r w:rsidRPr="00885CCF">
        <w:rPr>
          <w:bCs/>
          <w:color w:val="000000"/>
        </w:rPr>
        <w:t>В отговор на запитване от страна на държава членка, Комисията потвърди, че нямат намерение да създа</w:t>
      </w:r>
      <w:r w:rsidR="00E65A24">
        <w:rPr>
          <w:bCs/>
          <w:color w:val="000000"/>
        </w:rPr>
        <w:t>ват</w:t>
      </w:r>
      <w:r w:rsidRPr="00885CCF">
        <w:rPr>
          <w:bCs/>
          <w:color w:val="000000"/>
        </w:rPr>
        <w:t xml:space="preserve"> платформа под </w:t>
      </w:r>
      <w:proofErr w:type="spellStart"/>
      <w:r w:rsidRPr="00885CCF">
        <w:rPr>
          <w:bCs/>
          <w:color w:val="000000"/>
        </w:rPr>
        <w:t>CoS</w:t>
      </w:r>
      <w:proofErr w:type="spellEnd"/>
      <w:r w:rsidRPr="00885CCF">
        <w:rPr>
          <w:bCs/>
          <w:color w:val="000000"/>
        </w:rPr>
        <w:t>. Въпреки това нивото на комуникация и обмен на информация следва да бъд</w:t>
      </w:r>
      <w:r w:rsidR="00E65A24">
        <w:rPr>
          <w:bCs/>
          <w:color w:val="000000"/>
        </w:rPr>
        <w:t>е увеличено</w:t>
      </w:r>
      <w:r w:rsidRPr="00885CCF">
        <w:rPr>
          <w:bCs/>
          <w:color w:val="000000"/>
        </w:rPr>
        <w:t xml:space="preserve"> между двете групи.</w:t>
      </w:r>
    </w:p>
    <w:p w:rsidR="004A132F" w:rsidRPr="00885CCF" w:rsidRDefault="008C0951">
      <w:pPr>
        <w:pStyle w:val="ListParagraph"/>
        <w:ind w:left="0"/>
        <w:jc w:val="both"/>
        <w:rPr>
          <w:bCs/>
          <w:color w:val="000000"/>
        </w:rPr>
      </w:pPr>
      <w:r w:rsidRPr="00885CCF">
        <w:rPr>
          <w:bCs/>
          <w:color w:val="000000"/>
        </w:rPr>
        <w:t xml:space="preserve">Някои </w:t>
      </w:r>
      <w:r w:rsidR="00E65A24">
        <w:rPr>
          <w:bCs/>
          <w:color w:val="000000"/>
        </w:rPr>
        <w:t>стандартизационни организации</w:t>
      </w:r>
      <w:r w:rsidRPr="00885CCF">
        <w:rPr>
          <w:bCs/>
          <w:color w:val="000000"/>
        </w:rPr>
        <w:t xml:space="preserve"> повдигнаха въпроси по отношение на европейски</w:t>
      </w:r>
      <w:r w:rsidR="00E65A24">
        <w:rPr>
          <w:bCs/>
          <w:color w:val="000000"/>
        </w:rPr>
        <w:t>я</w:t>
      </w:r>
      <w:r w:rsidRPr="00885CCF">
        <w:rPr>
          <w:bCs/>
          <w:color w:val="000000"/>
        </w:rPr>
        <w:t xml:space="preserve"> каталог на стандартите в областта на ИКТ за обществени поръчки и </w:t>
      </w:r>
      <w:r w:rsidR="00E65A24">
        <w:rPr>
          <w:bCs/>
          <w:color w:val="000000"/>
        </w:rPr>
        <w:t>че</w:t>
      </w:r>
      <w:r w:rsidRPr="00885CCF">
        <w:rPr>
          <w:bCs/>
          <w:color w:val="000000"/>
        </w:rPr>
        <w:t xml:space="preserve"> не са в състояние да разберат връзката му с процеса на идентифициране. Те не са в състояние да разберат и в частност връзката с </w:t>
      </w:r>
      <w:r w:rsidR="00E65A24" w:rsidRPr="00E65A24">
        <w:rPr>
          <w:bCs/>
          <w:color w:val="000000"/>
        </w:rPr>
        <w:t>MSP</w:t>
      </w:r>
      <w:r w:rsidRPr="00885CCF">
        <w:rPr>
          <w:bCs/>
          <w:color w:val="000000"/>
        </w:rPr>
        <w:t xml:space="preserve">, който е създаден с Решение на Комисията и посочени в Регламент № 1025/2012 с ясни задачи, свързани с процеса на </w:t>
      </w:r>
      <w:r w:rsidR="00E65A24">
        <w:rPr>
          <w:bCs/>
          <w:color w:val="000000"/>
        </w:rPr>
        <w:t>идентификация</w:t>
      </w:r>
      <w:r w:rsidRPr="00885CCF">
        <w:rPr>
          <w:bCs/>
          <w:color w:val="000000"/>
        </w:rPr>
        <w:t xml:space="preserve">. Като има </w:t>
      </w:r>
      <w:r w:rsidR="00E65A24">
        <w:rPr>
          <w:bCs/>
          <w:color w:val="000000"/>
        </w:rPr>
        <w:t xml:space="preserve">предвид </w:t>
      </w:r>
      <w:r w:rsidRPr="00885CCF">
        <w:rPr>
          <w:bCs/>
          <w:color w:val="000000"/>
        </w:rPr>
        <w:t>предстоящ</w:t>
      </w:r>
      <w:r w:rsidR="00E65A24">
        <w:rPr>
          <w:bCs/>
          <w:color w:val="000000"/>
        </w:rPr>
        <w:t>ия семинар на 4 април, посветен</w:t>
      </w:r>
      <w:r w:rsidRPr="00885CCF">
        <w:rPr>
          <w:bCs/>
          <w:color w:val="000000"/>
        </w:rPr>
        <w:t xml:space="preserve"> на обсъждане на Каталога на ЕС Комисията предложи </w:t>
      </w:r>
      <w:r w:rsidR="00E65A24">
        <w:rPr>
          <w:bCs/>
          <w:color w:val="000000"/>
        </w:rPr>
        <w:t>отлагане на</w:t>
      </w:r>
      <w:r w:rsidRPr="00885CCF">
        <w:rPr>
          <w:bCs/>
          <w:color w:val="000000"/>
        </w:rPr>
        <w:t xml:space="preserve"> дискусията.</w:t>
      </w:r>
    </w:p>
    <w:p w:rsidR="004A132F" w:rsidRPr="00885CCF" w:rsidRDefault="008C0951">
      <w:pPr>
        <w:pStyle w:val="ListParagraph"/>
        <w:ind w:left="0"/>
        <w:jc w:val="both"/>
      </w:pPr>
      <w:r w:rsidRPr="00885CCF">
        <w:t>По отношение на подобряването на процеса на идентификация, членовете на платформата благодари</w:t>
      </w:r>
      <w:r w:rsidR="00352189">
        <w:t>ха</w:t>
      </w:r>
      <w:r w:rsidRPr="00885CCF">
        <w:t xml:space="preserve"> на Испания за техния полезен и значим принос (ICT/MSP(2016)472), особено по отношение </w:t>
      </w:r>
      <w:r w:rsidR="00352189">
        <w:t>на необходимостта от стратегия</w:t>
      </w:r>
      <w:r w:rsidRPr="00885CCF">
        <w:t xml:space="preserve">. Членовете изразиха съгласие, че въпросът за създаването на нова работна група с цел да се подобри процеса на </w:t>
      </w:r>
      <w:r w:rsidR="00352189">
        <w:t>идентификация</w:t>
      </w:r>
      <w:r w:rsidRPr="00885CCF">
        <w:t xml:space="preserve"> може да се разгледа отново по време на следващото заседание на </w:t>
      </w:r>
      <w:r w:rsidR="00352189" w:rsidRPr="00352189">
        <w:t xml:space="preserve">MSP </w:t>
      </w:r>
      <w:r w:rsidRPr="00885CCF">
        <w:t>след семинара.</w:t>
      </w:r>
    </w:p>
    <w:p w:rsidR="004A132F" w:rsidRPr="00885CCF" w:rsidRDefault="008C0951">
      <w:pPr>
        <w:pStyle w:val="ListParagraph"/>
        <w:ind w:left="0"/>
        <w:jc w:val="both"/>
      </w:pPr>
      <w:r w:rsidRPr="00885CCF">
        <w:t xml:space="preserve">Председателят заключи, че работната група не е създадена и че </w:t>
      </w:r>
      <w:r w:rsidR="00352189" w:rsidRPr="00352189">
        <w:t>MSP</w:t>
      </w:r>
      <w:r w:rsidRPr="00885CCF">
        <w:t xml:space="preserve"> ще взем</w:t>
      </w:r>
      <w:r w:rsidR="00352189">
        <w:t>е</w:t>
      </w:r>
      <w:r w:rsidRPr="00885CCF">
        <w:t xml:space="preserve"> решение на следващото заседание, ако продължи дискусията относно процеса на </w:t>
      </w:r>
      <w:r w:rsidR="00352189">
        <w:t>идентификация</w:t>
      </w:r>
      <w:r w:rsidRPr="00885CCF">
        <w:t>.</w:t>
      </w:r>
    </w:p>
    <w:p w:rsidR="004A132F" w:rsidRPr="00885CCF" w:rsidRDefault="004A132F">
      <w:pPr>
        <w:pStyle w:val="ListParagraph"/>
        <w:ind w:left="0"/>
        <w:jc w:val="both"/>
        <w:rPr>
          <w:color w:val="BFBFBF"/>
        </w:rPr>
      </w:pPr>
    </w:p>
    <w:p w:rsidR="004A132F" w:rsidRPr="00885CCF" w:rsidRDefault="008C0951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885CCF">
        <w:t>Приоритети по отношение на политиката</w:t>
      </w:r>
    </w:p>
    <w:p w:rsidR="004A132F" w:rsidRPr="00885CCF" w:rsidRDefault="008C0951">
      <w:pPr>
        <w:pStyle w:val="Heading2"/>
        <w:rPr>
          <w:sz w:val="26"/>
          <w:szCs w:val="26"/>
          <w:u w:val="single"/>
        </w:rPr>
      </w:pPr>
      <w:r w:rsidRPr="00885CCF">
        <w:rPr>
          <w:sz w:val="26"/>
          <w:szCs w:val="26"/>
          <w:u w:val="single"/>
        </w:rPr>
        <w:t>Съобщението „Приоритети за стандартизацията в областта на ИКТ</w:t>
      </w:r>
    </w:p>
    <w:p w:rsidR="004A132F" w:rsidRPr="00885CCF" w:rsidRDefault="008C0951">
      <w:pPr>
        <w:pStyle w:val="Heading3"/>
        <w:numPr>
          <w:ilvl w:val="0"/>
          <w:numId w:val="5"/>
        </w:numPr>
        <w:ind w:left="851" w:hanging="284"/>
      </w:pPr>
      <w:r w:rsidRPr="00885CCF">
        <w:t>Преглед и обсъждане по действията на Съобщение за приоритетите за стандартизацията в областта на ИКТ</w:t>
      </w:r>
    </w:p>
    <w:p w:rsidR="004A132F" w:rsidRPr="00885CCF" w:rsidRDefault="00352189">
      <w:pPr>
        <w:rPr>
          <w:szCs w:val="24"/>
        </w:rPr>
      </w:pPr>
      <w:r>
        <w:rPr>
          <w:i/>
        </w:rPr>
        <w:t>Белен</w:t>
      </w:r>
      <w:r w:rsidR="008C0951" w:rsidRPr="00885CCF">
        <w:rPr>
          <w:i/>
        </w:rPr>
        <w:t xml:space="preserve"> Мартинес (ГД GROW) се позова на документа ИКТ/MSP(2016) 455v3 </w:t>
      </w:r>
      <w:r>
        <w:rPr>
          <w:i/>
        </w:rPr>
        <w:t>за представената в</w:t>
      </w:r>
      <w:r w:rsidR="008C0951" w:rsidRPr="00885CCF">
        <w:rPr>
          <w:i/>
        </w:rPr>
        <w:t xml:space="preserve"> CIRCABC информация от страна на службите на Комисията относно действията, съответните заинтересовани страни, базовата линия и актуално състояние/очакваните резултати и приноса, OFE </w:t>
      </w:r>
      <w:proofErr w:type="spellStart"/>
      <w:r w:rsidR="008C0951" w:rsidRPr="00885CCF">
        <w:rPr>
          <w:i/>
        </w:rPr>
        <w:t>Bnetza</w:t>
      </w:r>
      <w:proofErr w:type="spellEnd"/>
      <w:r w:rsidR="008C0951" w:rsidRPr="00885CCF">
        <w:rPr>
          <w:i/>
        </w:rPr>
        <w:t xml:space="preserve"> </w:t>
      </w:r>
      <w:proofErr w:type="spellStart"/>
      <w:r w:rsidR="008C0951" w:rsidRPr="00885CCF">
        <w:rPr>
          <w:i/>
        </w:rPr>
        <w:t>DigitalEurope</w:t>
      </w:r>
      <w:proofErr w:type="spellEnd"/>
      <w:r w:rsidR="008C0951" w:rsidRPr="00885CCF">
        <w:rPr>
          <w:i/>
        </w:rPr>
        <w:t>, ETSI, Европейската конфедерация на профсъюзите (ETUC) и ги прикани да разяснят предложенията си.</w:t>
      </w:r>
    </w:p>
    <w:p w:rsidR="004A132F" w:rsidRPr="00885CCF" w:rsidRDefault="008C0951">
      <w:proofErr w:type="spellStart"/>
      <w:r w:rsidRPr="00885CCF">
        <w:rPr>
          <w:i/>
          <w:szCs w:val="24"/>
        </w:rPr>
        <w:t>Emilio</w:t>
      </w:r>
      <w:proofErr w:type="spellEnd"/>
      <w:r w:rsidRPr="00885CCF">
        <w:rPr>
          <w:i/>
          <w:szCs w:val="24"/>
        </w:rPr>
        <w:t xml:space="preserve"> </w:t>
      </w:r>
      <w:proofErr w:type="spellStart"/>
      <w:r w:rsidRPr="00885CCF">
        <w:rPr>
          <w:i/>
          <w:szCs w:val="24"/>
        </w:rPr>
        <w:t>Dávila</w:t>
      </w:r>
      <w:proofErr w:type="spellEnd"/>
      <w:r w:rsidRPr="00885CCF">
        <w:rPr>
          <w:i/>
          <w:szCs w:val="24"/>
        </w:rPr>
        <w:t xml:space="preserve"> (ГД „Съобщителни мрежи, съдържание и технологии“) представи актуализирана версия на документа (ИКТ/MSP(2016) 455v4) относно статута на приоритетите за стандартизацията в областта на ИКТ.</w:t>
      </w:r>
      <w:r w:rsidRPr="00885CCF">
        <w:rPr>
          <w:szCs w:val="24"/>
        </w:rPr>
        <w:t xml:space="preserve"> Новата версия ще бъде кач</w:t>
      </w:r>
      <w:r w:rsidR="00352189">
        <w:rPr>
          <w:szCs w:val="24"/>
        </w:rPr>
        <w:t>ена в CIRCABC след заседанието.</w:t>
      </w:r>
    </w:p>
    <w:p w:rsidR="004A132F" w:rsidRPr="00885CCF" w:rsidRDefault="008C0951">
      <w:pPr>
        <w:rPr>
          <w:szCs w:val="24"/>
        </w:rPr>
      </w:pPr>
      <w:r w:rsidRPr="00885CCF">
        <w:rPr>
          <w:szCs w:val="24"/>
        </w:rPr>
        <w:lastRenderedPageBreak/>
        <w:t>Той приветства акту</w:t>
      </w:r>
      <w:r w:rsidR="00352189">
        <w:rPr>
          <w:szCs w:val="24"/>
        </w:rPr>
        <w:t>ализираната информация и обяви</w:t>
      </w:r>
      <w:r w:rsidRPr="00885CCF">
        <w:rPr>
          <w:szCs w:val="24"/>
        </w:rPr>
        <w:t>, че ще представи коментарите си в писмена форма.</w:t>
      </w:r>
    </w:p>
    <w:p w:rsidR="004A132F" w:rsidRPr="00885CCF" w:rsidRDefault="008C0951">
      <w:pPr>
        <w:rPr>
          <w:szCs w:val="24"/>
        </w:rPr>
      </w:pPr>
      <w:r w:rsidRPr="00885CCF">
        <w:rPr>
          <w:szCs w:val="24"/>
        </w:rPr>
        <w:t xml:space="preserve">В отговор на запитване относно </w:t>
      </w:r>
      <w:r w:rsidR="00352189" w:rsidRPr="00352189">
        <w:rPr>
          <w:szCs w:val="24"/>
        </w:rPr>
        <w:t xml:space="preserve">IoT </w:t>
      </w:r>
      <w:proofErr w:type="spellStart"/>
      <w:r w:rsidR="00352189" w:rsidRPr="00352189">
        <w:rPr>
          <w:szCs w:val="24"/>
        </w:rPr>
        <w:t>trust</w:t>
      </w:r>
      <w:proofErr w:type="spellEnd"/>
      <w:r w:rsidR="00352189" w:rsidRPr="00352189">
        <w:rPr>
          <w:szCs w:val="24"/>
        </w:rPr>
        <w:t xml:space="preserve"> </w:t>
      </w:r>
      <w:proofErr w:type="spellStart"/>
      <w:r w:rsidR="00352189" w:rsidRPr="00352189">
        <w:rPr>
          <w:szCs w:val="24"/>
        </w:rPr>
        <w:t>labels</w:t>
      </w:r>
      <w:proofErr w:type="spellEnd"/>
      <w:r w:rsidRPr="00885CCF">
        <w:rPr>
          <w:szCs w:val="24"/>
        </w:rPr>
        <w:t>, Комисията се съгласи да предостави повече информация, след като се е консултирал със съответните</w:t>
      </w:r>
      <w:r w:rsidR="00352189">
        <w:rPr>
          <w:szCs w:val="24"/>
        </w:rPr>
        <w:t xml:space="preserve"> служби на Комисията. Една </w:t>
      </w:r>
      <w:proofErr w:type="spellStart"/>
      <w:r w:rsidR="00352189">
        <w:rPr>
          <w:szCs w:val="24"/>
        </w:rPr>
        <w:t>стандартизационна</w:t>
      </w:r>
      <w:proofErr w:type="spellEnd"/>
      <w:r w:rsidR="00352189">
        <w:rPr>
          <w:szCs w:val="24"/>
        </w:rPr>
        <w:t xml:space="preserve"> организация подчерта, че сертификацията</w:t>
      </w:r>
      <w:r w:rsidRPr="00885CCF">
        <w:rPr>
          <w:szCs w:val="24"/>
        </w:rPr>
        <w:t>/</w:t>
      </w:r>
      <w:r w:rsidR="00352189" w:rsidRPr="00352189">
        <w:t xml:space="preserve"> </w:t>
      </w:r>
      <w:r w:rsidR="00352189" w:rsidRPr="00352189">
        <w:rPr>
          <w:szCs w:val="24"/>
        </w:rPr>
        <w:t xml:space="preserve">IoT </w:t>
      </w:r>
      <w:proofErr w:type="spellStart"/>
      <w:r w:rsidR="00352189" w:rsidRPr="00352189">
        <w:rPr>
          <w:szCs w:val="24"/>
        </w:rPr>
        <w:t>trust</w:t>
      </w:r>
      <w:proofErr w:type="spellEnd"/>
      <w:r w:rsidR="00352189" w:rsidRPr="00352189">
        <w:rPr>
          <w:szCs w:val="24"/>
        </w:rPr>
        <w:t xml:space="preserve"> </w:t>
      </w:r>
      <w:proofErr w:type="spellStart"/>
      <w:r w:rsidR="00352189" w:rsidRPr="00352189">
        <w:rPr>
          <w:szCs w:val="24"/>
        </w:rPr>
        <w:t>labels</w:t>
      </w:r>
      <w:proofErr w:type="spellEnd"/>
      <w:r w:rsidRPr="00885CCF">
        <w:rPr>
          <w:szCs w:val="24"/>
        </w:rPr>
        <w:t xml:space="preserve"> сам</w:t>
      </w:r>
      <w:r w:rsidR="00352189">
        <w:rPr>
          <w:szCs w:val="24"/>
        </w:rPr>
        <w:t>и</w:t>
      </w:r>
      <w:r w:rsidRPr="00885CCF">
        <w:rPr>
          <w:szCs w:val="24"/>
        </w:rPr>
        <w:t xml:space="preserve"> по себе си не мо</w:t>
      </w:r>
      <w:r w:rsidR="00352189">
        <w:rPr>
          <w:szCs w:val="24"/>
        </w:rPr>
        <w:t>гат</w:t>
      </w:r>
      <w:r w:rsidRPr="00885CCF">
        <w:rPr>
          <w:szCs w:val="24"/>
        </w:rPr>
        <w:t xml:space="preserve"> да предостав</w:t>
      </w:r>
      <w:r w:rsidR="00352189">
        <w:rPr>
          <w:szCs w:val="24"/>
        </w:rPr>
        <w:t>ят</w:t>
      </w:r>
      <w:r w:rsidRPr="00885CCF">
        <w:rPr>
          <w:szCs w:val="24"/>
        </w:rPr>
        <w:t xml:space="preserve"> решение, но дори може да се окаж</w:t>
      </w:r>
      <w:r w:rsidR="00352189">
        <w:rPr>
          <w:szCs w:val="24"/>
        </w:rPr>
        <w:t>ат</w:t>
      </w:r>
      <w:r w:rsidRPr="00885CCF">
        <w:rPr>
          <w:szCs w:val="24"/>
        </w:rPr>
        <w:t xml:space="preserve"> вред</w:t>
      </w:r>
      <w:r w:rsidR="00352189">
        <w:rPr>
          <w:szCs w:val="24"/>
        </w:rPr>
        <w:t>ни</w:t>
      </w:r>
      <w:r w:rsidRPr="00885CCF">
        <w:rPr>
          <w:szCs w:val="24"/>
        </w:rPr>
        <w:t xml:space="preserve">, както беше подчертано от проучване относно </w:t>
      </w:r>
      <w:proofErr w:type="spellStart"/>
      <w:r w:rsidRPr="00885CCF">
        <w:rPr>
          <w:szCs w:val="24"/>
        </w:rPr>
        <w:t>киберсигурността</w:t>
      </w:r>
      <w:proofErr w:type="spellEnd"/>
      <w:r w:rsidRPr="00885CCF">
        <w:rPr>
          <w:szCs w:val="24"/>
        </w:rPr>
        <w:t>, финансиран</w:t>
      </w:r>
      <w:r w:rsidR="00352189">
        <w:rPr>
          <w:szCs w:val="24"/>
        </w:rPr>
        <w:t>о</w:t>
      </w:r>
      <w:r w:rsidRPr="00885CCF">
        <w:rPr>
          <w:szCs w:val="24"/>
        </w:rPr>
        <w:t xml:space="preserve"> от Комисията. Резултатите от това проучване следва да се вземат предвид при вземането на решение за насоки за бъдещи действия. Комисията отговори, че действието е проучвателна дейност и че тя ще събира по-подробна информация относно състоянието и посока</w:t>
      </w:r>
      <w:r w:rsidR="00352189">
        <w:rPr>
          <w:szCs w:val="24"/>
        </w:rPr>
        <w:t>та</w:t>
      </w:r>
      <w:r w:rsidRPr="00885CCF">
        <w:rPr>
          <w:szCs w:val="24"/>
        </w:rPr>
        <w:t xml:space="preserve"> на действие.</w:t>
      </w:r>
    </w:p>
    <w:p w:rsidR="004A132F" w:rsidRPr="00885CCF" w:rsidRDefault="00352189">
      <w:pPr>
        <w:rPr>
          <w:szCs w:val="24"/>
        </w:rPr>
      </w:pPr>
      <w:r>
        <w:rPr>
          <w:szCs w:val="24"/>
        </w:rPr>
        <w:t>За д</w:t>
      </w:r>
      <w:r w:rsidR="008C0951" w:rsidRPr="00885CCF">
        <w:rPr>
          <w:szCs w:val="24"/>
        </w:rPr>
        <w:t xml:space="preserve">а </w:t>
      </w:r>
      <w:r>
        <w:rPr>
          <w:szCs w:val="24"/>
        </w:rPr>
        <w:t>се засили</w:t>
      </w:r>
      <w:r w:rsidR="008C0951" w:rsidRPr="00885CCF">
        <w:rPr>
          <w:szCs w:val="24"/>
        </w:rPr>
        <w:t xml:space="preserve"> използването на документа</w:t>
      </w:r>
      <w:r>
        <w:rPr>
          <w:szCs w:val="24"/>
        </w:rPr>
        <w:t>,</w:t>
      </w:r>
      <w:r w:rsidR="008C0951" w:rsidRPr="00885CCF">
        <w:rPr>
          <w:szCs w:val="24"/>
        </w:rPr>
        <w:t xml:space="preserve"> от Комисията е било поискано да добави допълнителна помощна информация за документа, т.е. включително URL връзки към подкрепяща информация.</w:t>
      </w:r>
    </w:p>
    <w:p w:rsidR="004A132F" w:rsidRPr="00885CCF" w:rsidRDefault="008C0951">
      <w:pPr>
        <w:rPr>
          <w:szCs w:val="24"/>
        </w:rPr>
      </w:pPr>
      <w:r w:rsidRPr="00885CCF">
        <w:rPr>
          <w:szCs w:val="24"/>
        </w:rPr>
        <w:t>Някои призоваха за по-нататъшното участие на промишлеността при разработването на действия</w:t>
      </w:r>
      <w:r w:rsidR="00352189">
        <w:rPr>
          <w:szCs w:val="24"/>
        </w:rPr>
        <w:t>,</w:t>
      </w:r>
      <w:r w:rsidRPr="00885CCF">
        <w:rPr>
          <w:szCs w:val="24"/>
        </w:rPr>
        <w:t xml:space="preserve"> </w:t>
      </w:r>
      <w:r w:rsidR="00352189">
        <w:rPr>
          <w:szCs w:val="24"/>
        </w:rPr>
        <w:t>а</w:t>
      </w:r>
      <w:r w:rsidRPr="00885CCF">
        <w:rPr>
          <w:szCs w:val="24"/>
        </w:rPr>
        <w:t xml:space="preserve"> други препоръч</w:t>
      </w:r>
      <w:r w:rsidR="00352189">
        <w:rPr>
          <w:szCs w:val="24"/>
        </w:rPr>
        <w:t>аха</w:t>
      </w:r>
      <w:r w:rsidRPr="00885CCF">
        <w:rPr>
          <w:szCs w:val="24"/>
        </w:rPr>
        <w:t xml:space="preserve"> също така да </w:t>
      </w:r>
      <w:r w:rsidR="00352189">
        <w:rPr>
          <w:szCs w:val="24"/>
        </w:rPr>
        <w:t xml:space="preserve">се </w:t>
      </w:r>
      <w:r w:rsidRPr="00885CCF">
        <w:rPr>
          <w:szCs w:val="24"/>
        </w:rPr>
        <w:t>привле</w:t>
      </w:r>
      <w:r w:rsidR="00352189">
        <w:rPr>
          <w:szCs w:val="24"/>
        </w:rPr>
        <w:t>кат</w:t>
      </w:r>
      <w:r w:rsidRPr="00885CCF">
        <w:rPr>
          <w:szCs w:val="24"/>
        </w:rPr>
        <w:t xml:space="preserve"> потребителите, в частност в областта на електроинженерството и машинното инженерство. </w:t>
      </w:r>
      <w:r w:rsidR="00352189">
        <w:rPr>
          <w:szCs w:val="24"/>
        </w:rPr>
        <w:t>П</w:t>
      </w:r>
      <w:r w:rsidR="00352189" w:rsidRPr="00885CCF">
        <w:rPr>
          <w:szCs w:val="24"/>
        </w:rPr>
        <w:t>риетия</w:t>
      </w:r>
      <w:r w:rsidR="00352189">
        <w:rPr>
          <w:szCs w:val="24"/>
        </w:rPr>
        <w:t>т</w:t>
      </w:r>
      <w:r w:rsidR="00352189" w:rsidRPr="00885CCF">
        <w:rPr>
          <w:szCs w:val="24"/>
        </w:rPr>
        <w:t xml:space="preserve"> </w:t>
      </w:r>
      <w:r w:rsidR="00352189">
        <w:rPr>
          <w:szCs w:val="24"/>
        </w:rPr>
        <w:t>с</w:t>
      </w:r>
      <w:r w:rsidRPr="00885CCF">
        <w:rPr>
          <w:szCs w:val="24"/>
        </w:rPr>
        <w:t>пецифич</w:t>
      </w:r>
      <w:r w:rsidR="00352189">
        <w:rPr>
          <w:szCs w:val="24"/>
        </w:rPr>
        <w:t>ен</w:t>
      </w:r>
      <w:r w:rsidRPr="00885CCF">
        <w:rPr>
          <w:szCs w:val="24"/>
        </w:rPr>
        <w:t xml:space="preserve"> стандарт може да окаже въздейс</w:t>
      </w:r>
      <w:r w:rsidR="00352189">
        <w:rPr>
          <w:szCs w:val="24"/>
        </w:rPr>
        <w:t xml:space="preserve">твие върху добавената стойност и върху </w:t>
      </w:r>
      <w:r w:rsidRPr="00885CCF">
        <w:rPr>
          <w:szCs w:val="24"/>
        </w:rPr>
        <w:t>начина, по който могат да бъдат преразпределени в икономиката. Те изтъкнаха и текущите дейности във връзка с RAMI 4.0.</w:t>
      </w:r>
    </w:p>
    <w:p w:rsidR="004A132F" w:rsidRPr="00885CCF" w:rsidRDefault="008C0951">
      <w:pPr>
        <w:rPr>
          <w:szCs w:val="24"/>
        </w:rPr>
      </w:pPr>
      <w:r w:rsidRPr="00885CCF">
        <w:rPr>
          <w:szCs w:val="24"/>
        </w:rPr>
        <w:t>Други предупредиха, че дублирането на усилия с JIS действие 14 и припомни</w:t>
      </w:r>
      <w:r w:rsidR="00352189">
        <w:rPr>
          <w:szCs w:val="24"/>
        </w:rPr>
        <w:t>ха</w:t>
      </w:r>
      <w:r w:rsidRPr="00885CCF">
        <w:rPr>
          <w:szCs w:val="24"/>
        </w:rPr>
        <w:t>, че RAMI 4.0 е създадена първоначално в Германия. Стандартът е вече доста стабил</w:t>
      </w:r>
      <w:r w:rsidR="00352189">
        <w:rPr>
          <w:szCs w:val="24"/>
        </w:rPr>
        <w:t>ен</w:t>
      </w:r>
      <w:r w:rsidRPr="00885CCF">
        <w:rPr>
          <w:szCs w:val="24"/>
        </w:rPr>
        <w:t xml:space="preserve">, и той е поставен като важен принос на международната стандартизация. По отношение на по-активното участие на потребителите, беше подчертано, че дейността е около </w:t>
      </w:r>
      <w:r w:rsidR="00352189">
        <w:rPr>
          <w:szCs w:val="24"/>
        </w:rPr>
        <w:t xml:space="preserve">цифровизацията </w:t>
      </w:r>
      <w:r w:rsidRPr="00885CCF">
        <w:rPr>
          <w:szCs w:val="24"/>
        </w:rPr>
        <w:t xml:space="preserve">на промишлеността. </w:t>
      </w:r>
    </w:p>
    <w:p w:rsidR="004A132F" w:rsidRPr="00885CCF" w:rsidRDefault="008C0951">
      <w:pPr>
        <w:rPr>
          <w:szCs w:val="24"/>
        </w:rPr>
      </w:pPr>
      <w:r w:rsidRPr="00885CCF">
        <w:rPr>
          <w:szCs w:val="24"/>
        </w:rPr>
        <w:t xml:space="preserve">Председателят закри дискусията, като обясни, че </w:t>
      </w:r>
      <w:r w:rsidR="00F02BE2">
        <w:rPr>
          <w:szCs w:val="24"/>
        </w:rPr>
        <w:t>както е обявено едновременно</w:t>
      </w:r>
      <w:r w:rsidR="00352189">
        <w:rPr>
          <w:szCs w:val="24"/>
        </w:rPr>
        <w:t xml:space="preserve"> </w:t>
      </w:r>
      <w:r w:rsidRPr="00885CCF">
        <w:rPr>
          <w:szCs w:val="24"/>
        </w:rPr>
        <w:t xml:space="preserve">в </w:t>
      </w:r>
      <w:r w:rsidR="00352189">
        <w:rPr>
          <w:szCs w:val="24"/>
        </w:rPr>
        <w:t>С</w:t>
      </w:r>
      <w:r w:rsidRPr="00885CCF">
        <w:rPr>
          <w:szCs w:val="24"/>
        </w:rPr>
        <w:t>ъобщението относно приоритети</w:t>
      </w:r>
      <w:r w:rsidR="00352189">
        <w:rPr>
          <w:szCs w:val="24"/>
        </w:rPr>
        <w:t>те</w:t>
      </w:r>
      <w:r w:rsidRPr="00885CCF">
        <w:rPr>
          <w:szCs w:val="24"/>
        </w:rPr>
        <w:t xml:space="preserve"> за стандартизацията в областта на ИКТ и в </w:t>
      </w:r>
      <w:r w:rsidR="00F02BE2">
        <w:rPr>
          <w:szCs w:val="24"/>
        </w:rPr>
        <w:t>П</w:t>
      </w:r>
      <w:r w:rsidRPr="00885CCF">
        <w:rPr>
          <w:szCs w:val="24"/>
        </w:rPr>
        <w:t xml:space="preserve">акета за стандартизацията, </w:t>
      </w:r>
      <w:r w:rsidR="00F02BE2">
        <w:rPr>
          <w:szCs w:val="24"/>
        </w:rPr>
        <w:t>приет</w:t>
      </w:r>
      <w:r w:rsidR="00F02BE2" w:rsidRPr="00885CCF">
        <w:rPr>
          <w:szCs w:val="24"/>
        </w:rPr>
        <w:t xml:space="preserve"> през юни</w:t>
      </w:r>
      <w:r w:rsidR="00F02BE2">
        <w:rPr>
          <w:szCs w:val="24"/>
        </w:rPr>
        <w:t>,</w:t>
      </w:r>
      <w:r w:rsidR="00F02BE2" w:rsidRPr="00885CCF">
        <w:rPr>
          <w:szCs w:val="24"/>
        </w:rPr>
        <w:t xml:space="preserve"> </w:t>
      </w:r>
      <w:r w:rsidRPr="00885CCF">
        <w:rPr>
          <w:szCs w:val="24"/>
        </w:rPr>
        <w:t>първи</w:t>
      </w:r>
      <w:r w:rsidR="00F02BE2">
        <w:rPr>
          <w:szCs w:val="24"/>
        </w:rPr>
        <w:t>ят</w:t>
      </w:r>
      <w:r w:rsidRPr="00885CCF">
        <w:rPr>
          <w:szCs w:val="24"/>
        </w:rPr>
        <w:t xml:space="preserve"> доклад за напредъка от Комисията до Европейския парламент и до Съвета относно изпълнението на европейската стандартизация, </w:t>
      </w:r>
      <w:r w:rsidR="00F02BE2">
        <w:rPr>
          <w:szCs w:val="24"/>
        </w:rPr>
        <w:t>включващ</w:t>
      </w:r>
      <w:r w:rsidRPr="00885CCF">
        <w:rPr>
          <w:szCs w:val="24"/>
        </w:rPr>
        <w:t xml:space="preserve"> тези действия, ще </w:t>
      </w:r>
      <w:r w:rsidR="00F02BE2">
        <w:rPr>
          <w:szCs w:val="24"/>
        </w:rPr>
        <w:t>излезе през есента</w:t>
      </w:r>
      <w:r w:rsidRPr="00885CCF">
        <w:rPr>
          <w:szCs w:val="24"/>
        </w:rPr>
        <w:t>.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>Обобщен доклад от Цифровизиране на европейската промишленост — Първи форум на заинтересованите страни</w:t>
      </w:r>
    </w:p>
    <w:p w:rsidR="004A132F" w:rsidRPr="00885CCF" w:rsidRDefault="008C0951">
      <w:pPr>
        <w:spacing w:after="360"/>
      </w:pPr>
      <w:proofErr w:type="spellStart"/>
      <w:r w:rsidRPr="00885CCF">
        <w:rPr>
          <w:i/>
        </w:rPr>
        <w:t>Ant</w:t>
      </w:r>
      <w:r w:rsidR="009C4782">
        <w:rPr>
          <w:i/>
        </w:rPr>
        <w:t>onio</w:t>
      </w:r>
      <w:proofErr w:type="spellEnd"/>
      <w:r w:rsidR="009C4782">
        <w:rPr>
          <w:i/>
        </w:rPr>
        <w:t xml:space="preserve"> </w:t>
      </w:r>
      <w:proofErr w:type="spellStart"/>
      <w:r w:rsidR="009C4782">
        <w:rPr>
          <w:i/>
        </w:rPr>
        <w:t>Conte</w:t>
      </w:r>
      <w:proofErr w:type="spellEnd"/>
      <w:r w:rsidR="009C4782">
        <w:rPr>
          <w:i/>
        </w:rPr>
        <w:t xml:space="preserve"> (ГД GROW), отчете</w:t>
      </w:r>
      <w:r w:rsidRPr="00885CCF">
        <w:rPr>
          <w:i/>
        </w:rPr>
        <w:t xml:space="preserve"> първия форум на заинтересованите страни, който е една от инициативите, предвидени в рамките на Съобщение COM(2016) 180 на Комисията „Цифровизиране на европейската промишленост“ (док</w:t>
      </w:r>
      <w:r w:rsidR="009C4782">
        <w:rPr>
          <w:i/>
        </w:rPr>
        <w:t>. ICT/MSP(2017)482)</w:t>
      </w:r>
      <w:r w:rsidRPr="00885CCF">
        <w:rPr>
          <w:i/>
        </w:rPr>
        <w:t xml:space="preserve"> </w:t>
      </w:r>
      <w:r w:rsidR="009C4782">
        <w:rPr>
          <w:i/>
        </w:rPr>
        <w:t xml:space="preserve">и </w:t>
      </w:r>
      <w:r w:rsidRPr="00885CCF">
        <w:rPr>
          <w:i/>
        </w:rPr>
        <w:t>направи кратко представяне на проявата и посочи, че един от не</w:t>
      </w:r>
      <w:r w:rsidR="009C4782">
        <w:rPr>
          <w:i/>
        </w:rPr>
        <w:t>йн</w:t>
      </w:r>
      <w:r w:rsidRPr="00885CCF">
        <w:rPr>
          <w:i/>
        </w:rPr>
        <w:t>ите работни семинари</w:t>
      </w:r>
      <w:r w:rsidR="009C4782">
        <w:rPr>
          <w:i/>
        </w:rPr>
        <w:t xml:space="preserve"> е бил предназначен</w:t>
      </w:r>
      <w:r w:rsidRPr="00885CCF">
        <w:rPr>
          <w:i/>
        </w:rPr>
        <w:t xml:space="preserve"> </w:t>
      </w:r>
      <w:r w:rsidR="009C4782">
        <w:rPr>
          <w:i/>
        </w:rPr>
        <w:t xml:space="preserve">за </w:t>
      </w:r>
      <w:r w:rsidRPr="00885CCF">
        <w:rPr>
          <w:i/>
        </w:rPr>
        <w:t>стандарти</w:t>
      </w:r>
      <w:r w:rsidR="009C4782">
        <w:rPr>
          <w:i/>
        </w:rPr>
        <w:t>те</w:t>
      </w:r>
      <w:r w:rsidRPr="00885CCF">
        <w:rPr>
          <w:i/>
        </w:rPr>
        <w:t>, референтните архитектури и изпитателни</w:t>
      </w:r>
      <w:r w:rsidR="009C4782">
        <w:rPr>
          <w:i/>
        </w:rPr>
        <w:t>те</w:t>
      </w:r>
      <w:r w:rsidRPr="00885CCF">
        <w:rPr>
          <w:i/>
        </w:rPr>
        <w:t xml:space="preserve"> центрове за преработвателната промишленост.</w:t>
      </w:r>
      <w:r w:rsidRPr="00885CCF">
        <w:t xml:space="preserve"> Г-н </w:t>
      </w:r>
      <w:proofErr w:type="spellStart"/>
      <w:r w:rsidRPr="00885CCF">
        <w:t>Conte</w:t>
      </w:r>
      <w:proofErr w:type="spellEnd"/>
      <w:r w:rsidRPr="00885CCF">
        <w:t xml:space="preserve"> се позова по-специално на референтен структурен модел за RAMI </w:t>
      </w:r>
      <w:proofErr w:type="spellStart"/>
      <w:r w:rsidRPr="00885CCF">
        <w:t>Industrie</w:t>
      </w:r>
      <w:proofErr w:type="spellEnd"/>
      <w:r w:rsidRPr="00885CCF">
        <w:t xml:space="preserve"> 4.0 (4.0 г.), ко</w:t>
      </w:r>
      <w:r w:rsidR="009C4782">
        <w:t>й</w:t>
      </w:r>
      <w:r w:rsidRPr="00885CCF">
        <w:t xml:space="preserve">то </w:t>
      </w:r>
      <w:r w:rsidR="009C4782">
        <w:t xml:space="preserve">е </w:t>
      </w:r>
      <w:r w:rsidRPr="00885CCF">
        <w:t>б</w:t>
      </w:r>
      <w:r w:rsidR="009C4782">
        <w:t>ил представен</w:t>
      </w:r>
      <w:r w:rsidRPr="00885CCF">
        <w:t xml:space="preserve"> на семинара и всъщност представлява германски</w:t>
      </w:r>
      <w:r w:rsidR="009C4782">
        <w:t>я стандарт DIN (SPEC 91345), и е приет</w:t>
      </w:r>
      <w:r w:rsidRPr="00885CCF">
        <w:t xml:space="preserve"> от IEC като публично достъпната спецификация. ISO и IEC са създа</w:t>
      </w:r>
      <w:r w:rsidR="009C4782">
        <w:t>ли</w:t>
      </w:r>
      <w:r w:rsidRPr="00885CCF">
        <w:t xml:space="preserve"> съвместна работна група, която ще работи за определянето на обща референтна архитектура, където RAMI ще бъде една от основните </w:t>
      </w:r>
      <w:r w:rsidR="009C4782">
        <w:t>структури. Референтен модел обаче сам</w:t>
      </w:r>
      <w:r w:rsidRPr="00885CCF">
        <w:t xml:space="preserve"> по себе си не може да </w:t>
      </w:r>
      <w:r w:rsidR="009C4782">
        <w:t>осигурява</w:t>
      </w:r>
      <w:r w:rsidRPr="00885CCF">
        <w:t xml:space="preserve"> оперативна съвместимост без допълнителен слой от синтактичн</w:t>
      </w:r>
      <w:r w:rsidR="009C4782">
        <w:t>а</w:t>
      </w:r>
      <w:r w:rsidRPr="00885CCF">
        <w:t xml:space="preserve"> и </w:t>
      </w:r>
      <w:r w:rsidR="009C4782">
        <w:t>семантична</w:t>
      </w:r>
      <w:r w:rsidRPr="00885CCF">
        <w:t xml:space="preserve"> оперативна съвместимост (например чрез използването на свързани данни).</w:t>
      </w:r>
    </w:p>
    <w:p w:rsidR="004A132F" w:rsidRPr="00885CCF" w:rsidRDefault="008C0951">
      <w:pPr>
        <w:spacing w:after="360"/>
      </w:pPr>
      <w:r w:rsidRPr="00885CCF">
        <w:lastRenderedPageBreak/>
        <w:t xml:space="preserve">Г-н </w:t>
      </w:r>
      <w:proofErr w:type="spellStart"/>
      <w:r w:rsidRPr="00885CCF">
        <w:t>Conte</w:t>
      </w:r>
      <w:proofErr w:type="spellEnd"/>
      <w:r w:rsidRPr="00885CCF">
        <w:t xml:space="preserve"> подчерта, че </w:t>
      </w:r>
      <w:proofErr w:type="spellStart"/>
      <w:r w:rsidRPr="00885CCF">
        <w:t>Industrie</w:t>
      </w:r>
      <w:proofErr w:type="spellEnd"/>
      <w:r w:rsidRPr="00885CCF">
        <w:t xml:space="preserve"> 4.0“ се отнася до сътрудничеството на всички заинтересовани страни (например промишленост, университети, научни изследвания). Въпреки това, тя е насочена към производствени аспекти и не разглежда допълнителни области като например вътрешните процеси на предприятията. </w:t>
      </w:r>
      <w:proofErr w:type="spellStart"/>
      <w:r w:rsidRPr="00885CCF">
        <w:t>Киберсигурността</w:t>
      </w:r>
      <w:proofErr w:type="spellEnd"/>
      <w:r w:rsidRPr="00885CCF">
        <w:t xml:space="preserve"> е един от основните проблеми за нейното внедряване, като се има предвид, че въздействието от заварени системи, заслужава особено внимание. Стандартите и стандартизацията са от ключово значение за оперативната съвместимост на предстоящите технически решения и услуги. Цифровизацията на промишлеността има огромен ефект на вертикалните отрасли, като по този начин конкретни стандарти, стандартизация и дейностите следва да бъдат допълнително проучени.</w:t>
      </w:r>
    </w:p>
    <w:p w:rsidR="004A132F" w:rsidRPr="00885CCF" w:rsidRDefault="008C0951">
      <w:r w:rsidRPr="00885CCF">
        <w:t xml:space="preserve">По време на последвалия дебат членовете на </w:t>
      </w:r>
      <w:r w:rsidR="00295E42" w:rsidRPr="00295E42">
        <w:t>MSP</w:t>
      </w:r>
      <w:r w:rsidRPr="00885CCF">
        <w:t>, обърна</w:t>
      </w:r>
      <w:r w:rsidR="00295E42">
        <w:t>ха</w:t>
      </w:r>
      <w:r w:rsidRPr="00885CCF">
        <w:t xml:space="preserve"> внимание на недостатъчното равнище на сигурност в настоящите приложения на интернет на нещата и призова</w:t>
      </w:r>
      <w:r w:rsidR="00295E42">
        <w:t>х</w:t>
      </w:r>
      <w:r w:rsidRPr="00885CCF">
        <w:t>а за допълнителни научни изследвания в тази област.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>Актуална информация относно бъдещата инициатива на SEP,</w:t>
      </w:r>
    </w:p>
    <w:p w:rsidR="004A132F" w:rsidRPr="00885CCF" w:rsidRDefault="008C0951">
      <w:pPr>
        <w:rPr>
          <w:i/>
        </w:rPr>
      </w:pPr>
      <w:r w:rsidRPr="00885CCF">
        <w:rPr>
          <w:i/>
        </w:rPr>
        <w:t xml:space="preserve">Михаел </w:t>
      </w:r>
      <w:proofErr w:type="spellStart"/>
      <w:r w:rsidRPr="00885CCF">
        <w:rPr>
          <w:i/>
        </w:rPr>
        <w:t>Кьоних</w:t>
      </w:r>
      <w:proofErr w:type="spellEnd"/>
      <w:r w:rsidRPr="00885CCF">
        <w:rPr>
          <w:i/>
        </w:rPr>
        <w:t xml:space="preserve"> (ГД GROW) представи документ ICT/MSP(2017)497 —балансирана рамка за лицензирането на патентите</w:t>
      </w:r>
      <w:r w:rsidR="00295E42">
        <w:rPr>
          <w:i/>
        </w:rPr>
        <w:t>, която е</w:t>
      </w:r>
      <w:r w:rsidRPr="00885CCF">
        <w:rPr>
          <w:i/>
        </w:rPr>
        <w:t xml:space="preserve"> от съществено значение за стандарт</w:t>
      </w:r>
      <w:r w:rsidR="00295E42">
        <w:rPr>
          <w:i/>
        </w:rPr>
        <w:t>ите</w:t>
      </w:r>
      <w:r w:rsidRPr="00885CCF">
        <w:rPr>
          <w:i/>
        </w:rPr>
        <w:t>.</w:t>
      </w:r>
    </w:p>
    <w:p w:rsidR="004A132F" w:rsidRPr="00885CCF" w:rsidRDefault="008C0951">
      <w:r w:rsidRPr="00885CCF">
        <w:t>Представянето се застъпи за европейска</w:t>
      </w:r>
      <w:r w:rsidR="00295E42">
        <w:t>та</w:t>
      </w:r>
      <w:r w:rsidRPr="00885CCF">
        <w:t xml:space="preserve"> визия за изграждане на рамка, която позволява безпрепятствено и ефикасно протичане на процеса за лицензиране на SEP. Той припомни трите стълба за балансирано и ефикасно SEP лице</w:t>
      </w:r>
      <w:r w:rsidR="00295E42">
        <w:t>нзиране (прозрачна среда, общи</w:t>
      </w:r>
      <w:r w:rsidRPr="00885CCF">
        <w:t xml:space="preserve"> принципи на оценка, балансиран и предвидим режим на правоприлагане) и представи </w:t>
      </w:r>
      <w:r w:rsidR="00295E42">
        <w:t xml:space="preserve">несъвършенствата в </w:t>
      </w:r>
      <w:r w:rsidRPr="00885CCF">
        <w:t>тези стълбове. Той се позова на възможните мерки, обявени в Съобщението относно приоритетите за стандартизацията в областта на ИКТ и проучвания във връзка с прозрачността, оценяването, принципите на лицензиране и привеждане в изпълнение. Накрая той об</w:t>
      </w:r>
      <w:r w:rsidR="00295E42">
        <w:t>ясни, че концепцията ще включва</w:t>
      </w:r>
      <w:r w:rsidRPr="00885CCF">
        <w:t xml:space="preserve"> посочване на връзката между софтуер с отворен код (OSS) развитие и стандарти за оперативна съвместимост, и по-специално тези по силата на FRAND условията за издаване на лицензия, и призов</w:t>
      </w:r>
      <w:r w:rsidR="00295E42">
        <w:t>а</w:t>
      </w:r>
      <w:r w:rsidRPr="00885CCF">
        <w:t xml:space="preserve"> към изясняване на взаимодействието между </w:t>
      </w:r>
      <w:r w:rsidR="00295E42" w:rsidRPr="00885CCF">
        <w:t xml:space="preserve">общностни проекти </w:t>
      </w:r>
      <w:r w:rsidR="00295E42">
        <w:t>за отворен</w:t>
      </w:r>
      <w:r w:rsidRPr="00885CCF">
        <w:t xml:space="preserve"> код и </w:t>
      </w:r>
      <w:proofErr w:type="spellStart"/>
      <w:r w:rsidR="00295E42">
        <w:t>стандартизационните</w:t>
      </w:r>
      <w:proofErr w:type="spellEnd"/>
      <w:r w:rsidRPr="00885CCF">
        <w:t xml:space="preserve"> процеси.</w:t>
      </w:r>
    </w:p>
    <w:p w:rsidR="004A132F" w:rsidRPr="00885CCF" w:rsidRDefault="008C0951">
      <w:r w:rsidRPr="00885CCF">
        <w:t xml:space="preserve">Що се отнася до връзката между софтуер с отворен код и стандарти и тяхната връзка със SEP </w:t>
      </w:r>
      <w:r w:rsidR="00295E42" w:rsidRPr="00885CCF">
        <w:t>до Комисията бе</w:t>
      </w:r>
      <w:r w:rsidR="00295E42">
        <w:t>ше адресиран</w:t>
      </w:r>
      <w:r w:rsidR="00295E42" w:rsidRPr="00885CCF">
        <w:t xml:space="preserve"> </w:t>
      </w:r>
      <w:r w:rsidRPr="00885CCF">
        <w:t>въпрос дали тя счита софтуер</w:t>
      </w:r>
      <w:r w:rsidR="00295E42">
        <w:t>а</w:t>
      </w:r>
      <w:r w:rsidRPr="00885CCF">
        <w:t xml:space="preserve"> с отворен код и отворени</w:t>
      </w:r>
      <w:r w:rsidR="00295E42">
        <w:t>те</w:t>
      </w:r>
      <w:r w:rsidRPr="00885CCF">
        <w:t xml:space="preserve"> стандарти като идеална ситуация или изключение. Комисията сподел</w:t>
      </w:r>
      <w:r w:rsidR="00295E42">
        <w:t>и</w:t>
      </w:r>
      <w:r w:rsidRPr="00885CCF">
        <w:t xml:space="preserve"> виждането си, че и двата модела могат да съжителстват и че липсва критична несъвместимост между отворения код и FRAND за издаване, въпреки че съществуват някои проблеми в конкретни случаи да </w:t>
      </w:r>
      <w:r w:rsidR="00295E42">
        <w:t>се интегрира</w:t>
      </w:r>
      <w:r w:rsidRPr="00885CCF">
        <w:t xml:space="preserve"> работа</w:t>
      </w:r>
      <w:r w:rsidR="00295E42">
        <w:t>та</w:t>
      </w:r>
      <w:r w:rsidRPr="00885CCF">
        <w:t xml:space="preserve"> </w:t>
      </w:r>
      <w:r w:rsidR="00295E42">
        <w:t>на</w:t>
      </w:r>
      <w:r w:rsidRPr="00885CCF">
        <w:t xml:space="preserve"> двете</w:t>
      </w:r>
      <w:r w:rsidR="00295E42">
        <w:t>. ЕС подкрепя</w:t>
      </w:r>
      <w:r w:rsidRPr="00885CCF">
        <w:t xml:space="preserve"> приложения с отворен код в научноизследователски проекти, както и оперативни разработки в областта на ИТ.</w:t>
      </w:r>
    </w:p>
    <w:p w:rsidR="004A132F" w:rsidRPr="00885CCF" w:rsidRDefault="008C0951">
      <w:r w:rsidRPr="00885CCF">
        <w:t>Докато ед</w:t>
      </w:r>
      <w:r w:rsidR="00295E42">
        <w:t>ин</w:t>
      </w:r>
      <w:r w:rsidRPr="00885CCF">
        <w:t xml:space="preserve"> член </w:t>
      </w:r>
      <w:r w:rsidR="00295E42">
        <w:t xml:space="preserve">на </w:t>
      </w:r>
      <w:r w:rsidR="00295E42" w:rsidRPr="00295E42">
        <w:t xml:space="preserve">MSP </w:t>
      </w:r>
      <w:r w:rsidRPr="00885CCF">
        <w:t>счита, че стандартите за комуникация, използвани в контекста на интернет на нещата, могат да бъдат лицензирани по условия</w:t>
      </w:r>
      <w:r w:rsidR="00295E42">
        <w:t>,</w:t>
      </w:r>
      <w:r w:rsidRPr="00885CCF">
        <w:t xml:space="preserve"> други участници </w:t>
      </w:r>
      <w:r w:rsidR="00295E42">
        <w:t>бяха на противоположното мнение относно</w:t>
      </w:r>
      <w:r w:rsidRPr="00885CCF">
        <w:t xml:space="preserve"> авторски и лицензионни възнаграждения, като се об</w:t>
      </w:r>
      <w:r w:rsidR="00295E42">
        <w:t>ърна</w:t>
      </w:r>
      <w:r w:rsidRPr="00885CCF">
        <w:t xml:space="preserve"> внимание на огромните инвестиции в областта на научните изследвания (напр. 5G), които няма да бъдат предложени по отношение </w:t>
      </w:r>
      <w:r w:rsidR="00295E42">
        <w:t xml:space="preserve">на </w:t>
      </w:r>
      <w:r w:rsidRPr="00885CCF">
        <w:t>авторски и лицензионни възнаграждения.</w:t>
      </w:r>
    </w:p>
    <w:p w:rsidR="004A132F" w:rsidRPr="00885CCF" w:rsidRDefault="008C0951">
      <w:r w:rsidRPr="00885CCF">
        <w:t>Някои членове предупреди</w:t>
      </w:r>
      <w:r w:rsidR="00295E42">
        <w:t>ха</w:t>
      </w:r>
      <w:r w:rsidRPr="00885CCF">
        <w:t xml:space="preserve"> да не се разглежда като подгрупа на авторски и лицензионни възнаграждения FRAND и </w:t>
      </w:r>
      <w:r w:rsidR="00295E42">
        <w:t xml:space="preserve">бяха </w:t>
      </w:r>
      <w:r w:rsidRPr="00885CCF">
        <w:t>срещу поставянето на всички бизнес модели на равни начала, докато д</w:t>
      </w:r>
      <w:r w:rsidR="00295E42">
        <w:t>руги бяха на мнение, че темата се драматизира</w:t>
      </w:r>
      <w:r w:rsidRPr="00885CCF">
        <w:t xml:space="preserve">: макар да има области, където патентите са важни, екосистемата като цяло функционира добре и обхваща </w:t>
      </w:r>
      <w:r w:rsidR="00295E42">
        <w:t xml:space="preserve">и </w:t>
      </w:r>
      <w:r w:rsidRPr="00885CCF">
        <w:lastRenderedPageBreak/>
        <w:t>лицензионно възнаграждение (FRAND) въз основа на бизнес модели и авторски и лицензионни възнаграждения.</w:t>
      </w:r>
    </w:p>
    <w:p w:rsidR="004A132F" w:rsidRPr="00885CCF" w:rsidRDefault="008C0951">
      <w:r w:rsidRPr="00885CCF">
        <w:t>Комисията заяви, че нямат намерение да се стрем</w:t>
      </w:r>
      <w:r w:rsidR="00295E42">
        <w:t>ят</w:t>
      </w:r>
      <w:r w:rsidRPr="00885CCF">
        <w:t xml:space="preserve"> </w:t>
      </w:r>
      <w:r w:rsidR="00295E42">
        <w:t>към</w:t>
      </w:r>
      <w:r w:rsidRPr="00885CCF">
        <w:t xml:space="preserve"> изпревар</w:t>
      </w:r>
      <w:r w:rsidR="00295E42">
        <w:t>ване</w:t>
      </w:r>
      <w:r w:rsidRPr="00885CCF">
        <w:t xml:space="preserve"> или регулиране на бизнес моделите, използвани в контекста на </w:t>
      </w:r>
      <w:r w:rsidR="00295E42" w:rsidRPr="00885CCF">
        <w:t>лицензиране</w:t>
      </w:r>
      <w:r w:rsidR="00295E42">
        <w:t>то на</w:t>
      </w:r>
      <w:r w:rsidR="00295E42" w:rsidRPr="00885CCF">
        <w:t xml:space="preserve"> </w:t>
      </w:r>
      <w:r w:rsidRPr="00885CCF">
        <w:t>„интернет на нещата“. Този предпазлив подход от страна на Е</w:t>
      </w:r>
      <w:r w:rsidR="00295E42">
        <w:t>К</w:t>
      </w:r>
      <w:r w:rsidRPr="00885CCF">
        <w:t xml:space="preserve"> да вземе предвид </w:t>
      </w:r>
      <w:r w:rsidR="00295E42">
        <w:t>всички аспекти беше приветстван и подкрепян</w:t>
      </w:r>
      <w:r w:rsidRPr="00885CCF">
        <w:t>.</w:t>
      </w:r>
    </w:p>
    <w:p w:rsidR="004A132F" w:rsidRPr="00885CCF" w:rsidRDefault="008C0951">
      <w:r w:rsidRPr="00885CCF">
        <w:t xml:space="preserve">Комисията потвърди, че </w:t>
      </w:r>
      <w:r w:rsidR="00295E42" w:rsidRPr="00885CCF">
        <w:t xml:space="preserve">след лятото </w:t>
      </w:r>
      <w:r w:rsidRPr="00885CCF">
        <w:t xml:space="preserve">в </w:t>
      </w:r>
      <w:r w:rsidR="00295E42">
        <w:t>съобщението следва да се очаква</w:t>
      </w:r>
      <w:r w:rsidRPr="00885CCF">
        <w:t xml:space="preserve"> </w:t>
      </w:r>
      <w:r w:rsidR="00295E42" w:rsidRPr="00885CCF">
        <w:t xml:space="preserve">пакет с други инициативи </w:t>
      </w:r>
      <w:r w:rsidRPr="00885CCF">
        <w:t>в зависи</w:t>
      </w:r>
      <w:r w:rsidR="00295E42">
        <w:t>мост от окончателното решение</w:t>
      </w:r>
      <w:r w:rsidRPr="00885CCF">
        <w:t>.</w:t>
      </w:r>
    </w:p>
    <w:p w:rsidR="004A132F" w:rsidRPr="00885CCF" w:rsidRDefault="008C0951">
      <w:pPr>
        <w:pStyle w:val="Heading2"/>
        <w:rPr>
          <w:sz w:val="26"/>
          <w:szCs w:val="26"/>
          <w:u w:val="single"/>
        </w:rPr>
      </w:pPr>
      <w:r w:rsidRPr="00885CCF">
        <w:rPr>
          <w:sz w:val="26"/>
          <w:szCs w:val="26"/>
          <w:u w:val="single"/>
        </w:rPr>
        <w:t xml:space="preserve">Текущо актуализирания план </w:t>
      </w:r>
      <w:r w:rsidR="00385117">
        <w:rPr>
          <w:sz w:val="26"/>
          <w:szCs w:val="26"/>
          <w:u w:val="single"/>
        </w:rPr>
        <w:t xml:space="preserve">за действие </w:t>
      </w:r>
      <w:r w:rsidRPr="00885CCF">
        <w:rPr>
          <w:sz w:val="26"/>
          <w:szCs w:val="26"/>
          <w:u w:val="single"/>
        </w:rPr>
        <w:t>(RP) 2017</w:t>
      </w:r>
    </w:p>
    <w:p w:rsidR="004A132F" w:rsidRPr="00885CCF" w:rsidRDefault="008C0951">
      <w:pPr>
        <w:pStyle w:val="ListParagraph"/>
        <w:spacing w:before="120" w:after="120"/>
        <w:ind w:left="0"/>
        <w:jc w:val="both"/>
        <w:rPr>
          <w:i/>
        </w:rPr>
      </w:pPr>
      <w:proofErr w:type="spellStart"/>
      <w:r w:rsidRPr="00885CCF">
        <w:rPr>
          <w:i/>
        </w:rPr>
        <w:t>Rodolphe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Wouters</w:t>
      </w:r>
      <w:proofErr w:type="spellEnd"/>
      <w:r w:rsidRPr="00885CCF">
        <w:rPr>
          <w:i/>
        </w:rPr>
        <w:t xml:space="preserve"> (ГД GROW), представи  текущо актуализирания план </w:t>
      </w:r>
      <w:r w:rsidR="00295E42">
        <w:rPr>
          <w:i/>
        </w:rPr>
        <w:t xml:space="preserve">за </w:t>
      </w:r>
      <w:r w:rsidR="00295E42" w:rsidRPr="00885CCF">
        <w:rPr>
          <w:i/>
        </w:rPr>
        <w:t xml:space="preserve">2017 </w:t>
      </w:r>
      <w:r w:rsidRPr="00885CCF">
        <w:rPr>
          <w:i/>
        </w:rPr>
        <w:t xml:space="preserve">(док. ICT/MSP(2017)483). </w:t>
      </w:r>
      <w:r w:rsidRPr="00885CCF">
        <w:t>Новата версия включва препратки към съобщението относно приоритети за стандартизацията в областта на ИКТ и резюме с цел да се улесни повишаването на осведомеността в други групи от заинтересов</w:t>
      </w:r>
      <w:r w:rsidR="00295E42">
        <w:t>ани страни. Освен това, планът е по-сбит</w:t>
      </w:r>
      <w:r w:rsidRPr="00885CCF">
        <w:t xml:space="preserve"> и дава възможност за по-лесно ползване. Представ</w:t>
      </w:r>
      <w:r w:rsidR="00295E42">
        <w:t>ен беше</w:t>
      </w:r>
      <w:r w:rsidRPr="00885CCF">
        <w:t xml:space="preserve"> </w:t>
      </w:r>
      <w:r w:rsidR="00295E42">
        <w:t>и</w:t>
      </w:r>
      <w:r w:rsidRPr="00885CCF">
        <w:t xml:space="preserve"> общ</w:t>
      </w:r>
      <w:r w:rsidR="00295E42">
        <w:t>ия</w:t>
      </w:r>
      <w:r w:rsidRPr="00885CCF">
        <w:t xml:space="preserve"> прег</w:t>
      </w:r>
      <w:r w:rsidR="00295E42">
        <w:t>лед на ново съдържание, въведен</w:t>
      </w:r>
      <w:r w:rsidRPr="00885CCF">
        <w:t xml:space="preserve"> в ревизията за 2017 г., в областта на 5G, финансовите технологии, CISE и строителството. Той също така съобщи, че вече няма да осигурява секретарското обслужване на работната група, които ще бъдат доразвити от </w:t>
      </w:r>
      <w:proofErr w:type="spellStart"/>
      <w:r w:rsidRPr="00885CCF">
        <w:t>Szabolcs</w:t>
      </w:r>
      <w:proofErr w:type="spellEnd"/>
      <w:r w:rsidRPr="00885CCF">
        <w:t xml:space="preserve"> </w:t>
      </w:r>
      <w:proofErr w:type="spellStart"/>
      <w:r w:rsidRPr="00885CCF">
        <w:t>Szekacs</w:t>
      </w:r>
      <w:proofErr w:type="spellEnd"/>
      <w:r w:rsidRPr="00885CCF">
        <w:t xml:space="preserve"> (ГД GROW).</w:t>
      </w:r>
    </w:p>
    <w:p w:rsidR="004A132F" w:rsidRPr="00885CCF" w:rsidRDefault="00385117">
      <w:pPr>
        <w:pStyle w:val="ListParagraph"/>
        <w:spacing w:before="120" w:after="120"/>
        <w:ind w:left="0"/>
        <w:jc w:val="both"/>
      </w:pPr>
      <w:r w:rsidRPr="00885CCF">
        <w:rPr>
          <w:i/>
        </w:rPr>
        <w:t>Фридрих</w:t>
      </w:r>
      <w:r w:rsidRPr="00885CCF">
        <w:rPr>
          <w:i/>
        </w:rPr>
        <w:t xml:space="preserve"> </w:t>
      </w:r>
      <w:r w:rsidR="008C0951" w:rsidRPr="00885CCF">
        <w:rPr>
          <w:i/>
        </w:rPr>
        <w:t>Йох</w:t>
      </w:r>
      <w:r>
        <w:rPr>
          <w:i/>
        </w:rPr>
        <w:t>а</w:t>
      </w:r>
      <w:r w:rsidR="008C0951" w:rsidRPr="00885CCF">
        <w:rPr>
          <w:i/>
        </w:rPr>
        <w:t>н (председател на TFRP) представи док</w:t>
      </w:r>
      <w:r>
        <w:rPr>
          <w:i/>
        </w:rPr>
        <w:t>умент ИКТ/MSP(2017) 488 &amp; 489. Т</w:t>
      </w:r>
      <w:r w:rsidR="008C0951" w:rsidRPr="00885CCF">
        <w:rPr>
          <w:i/>
        </w:rPr>
        <w:t>ой обясни предложението да се добави динамика и бързината на процеса на преглед на текущ</w:t>
      </w:r>
      <w:r>
        <w:rPr>
          <w:i/>
        </w:rPr>
        <w:t>ия</w:t>
      </w:r>
      <w:r w:rsidR="008C0951" w:rsidRPr="00885CCF">
        <w:rPr>
          <w:i/>
        </w:rPr>
        <w:t xml:space="preserve"> план, </w:t>
      </w:r>
      <w:r>
        <w:rPr>
          <w:i/>
        </w:rPr>
        <w:t>в</w:t>
      </w:r>
      <w:r w:rsidR="008C0951" w:rsidRPr="00885CCF">
        <w:rPr>
          <w:i/>
        </w:rPr>
        <w:t xml:space="preserve"> консолидиран документ.</w:t>
      </w:r>
      <w:r w:rsidR="008C0951" w:rsidRPr="00885CCF">
        <w:t xml:space="preserve"> Основните промени са замяната на статични етапни цели с по-гъвкави и разширеното използване на съвместни </w:t>
      </w:r>
      <w:proofErr w:type="spellStart"/>
      <w:r w:rsidR="008C0951" w:rsidRPr="00885CCF">
        <w:t>уики</w:t>
      </w:r>
      <w:proofErr w:type="spellEnd"/>
      <w:r w:rsidR="008C0951" w:rsidRPr="00885CCF">
        <w:t xml:space="preserve"> инструмент в процеса на преразглеждане на план</w:t>
      </w:r>
      <w:r>
        <w:t>а</w:t>
      </w:r>
      <w:r w:rsidR="008C0951" w:rsidRPr="00885CCF">
        <w:t xml:space="preserve">. Той изказа благодарност към </w:t>
      </w:r>
      <w:proofErr w:type="spellStart"/>
      <w:r w:rsidR="008C0951" w:rsidRPr="00885CCF">
        <w:t>Rodolphe</w:t>
      </w:r>
      <w:proofErr w:type="spellEnd"/>
      <w:r w:rsidR="008C0951" w:rsidRPr="00885CCF">
        <w:t xml:space="preserve"> </w:t>
      </w:r>
      <w:proofErr w:type="spellStart"/>
      <w:r w:rsidR="008C0951" w:rsidRPr="00885CCF">
        <w:t>Wouters</w:t>
      </w:r>
      <w:proofErr w:type="spellEnd"/>
      <w:r w:rsidR="008C0951" w:rsidRPr="00885CCF">
        <w:t xml:space="preserve">, който е бил отговорен </w:t>
      </w:r>
      <w:r>
        <w:t>като</w:t>
      </w:r>
      <w:r w:rsidR="008C0951" w:rsidRPr="00885CCF">
        <w:t xml:space="preserve"> секретар на </w:t>
      </w:r>
      <w:r>
        <w:t>работната група</w:t>
      </w:r>
      <w:r w:rsidR="008C0951" w:rsidRPr="00885CCF">
        <w:t xml:space="preserve"> от четири години, и </w:t>
      </w:r>
      <w:r>
        <w:t>изрази</w:t>
      </w:r>
      <w:r w:rsidR="008C0951" w:rsidRPr="00885CCF">
        <w:t xml:space="preserve"> благодар</w:t>
      </w:r>
      <w:r>
        <w:t>ност и</w:t>
      </w:r>
      <w:r w:rsidR="008C0951" w:rsidRPr="00885CCF">
        <w:t xml:space="preserve"> на другите длъжностни лица на Комисията, които са подкрепили </w:t>
      </w:r>
      <w:r w:rsidRPr="00885CCF">
        <w:t>дейности</w:t>
      </w:r>
      <w:r>
        <w:t>те й</w:t>
      </w:r>
      <w:r w:rsidR="008C0951" w:rsidRPr="00885CCF">
        <w:t>.</w:t>
      </w:r>
    </w:p>
    <w:p w:rsidR="004A132F" w:rsidRPr="00885CCF" w:rsidRDefault="008C0951">
      <w:pPr>
        <w:pStyle w:val="ListParagraph"/>
        <w:spacing w:before="120" w:after="120"/>
        <w:ind w:left="0"/>
        <w:jc w:val="both"/>
      </w:pPr>
      <w:r w:rsidRPr="00885CCF">
        <w:t xml:space="preserve">По време на последвалата дискусия </w:t>
      </w:r>
      <w:r w:rsidR="00385117" w:rsidRPr="00885CCF">
        <w:t>член</w:t>
      </w:r>
      <w:r w:rsidR="00385117" w:rsidRPr="00885CCF">
        <w:t xml:space="preserve"> </w:t>
      </w:r>
      <w:r w:rsidR="00385117">
        <w:t>н</w:t>
      </w:r>
      <w:r w:rsidRPr="00885CCF">
        <w:t xml:space="preserve">а </w:t>
      </w:r>
      <w:r w:rsidR="00385117" w:rsidRPr="00385117">
        <w:t>MSP</w:t>
      </w:r>
      <w:r w:rsidRPr="00885CCF">
        <w:t xml:space="preserve"> отправи запитване дали допитването </w:t>
      </w:r>
      <w:r w:rsidR="00385117">
        <w:t>з</w:t>
      </w:r>
      <w:r w:rsidRPr="00885CCF">
        <w:t xml:space="preserve">а </w:t>
      </w:r>
      <w:r w:rsidR="00385117">
        <w:t>Плана би</w:t>
      </w:r>
      <w:r w:rsidRPr="00885CCF">
        <w:t xml:space="preserve"> могл</w:t>
      </w:r>
      <w:r w:rsidR="00385117">
        <w:t>о</w:t>
      </w:r>
      <w:r w:rsidRPr="00885CCF">
        <w:t xml:space="preserve"> да бъд</w:t>
      </w:r>
      <w:r w:rsidR="00385117">
        <w:t xml:space="preserve">е </w:t>
      </w:r>
      <w:r w:rsidRPr="00885CCF">
        <w:t>открит</w:t>
      </w:r>
      <w:r w:rsidR="00385117">
        <w:t>о и</w:t>
      </w:r>
      <w:r w:rsidRPr="00885CCF">
        <w:t xml:space="preserve"> извън </w:t>
      </w:r>
      <w:r w:rsidR="00385117" w:rsidRPr="00385117">
        <w:t xml:space="preserve">MSP </w:t>
      </w:r>
      <w:r w:rsidRPr="00885CCF">
        <w:t xml:space="preserve">с цел да се улесни достигането до по-широк кръг заинтересовани страни. </w:t>
      </w:r>
      <w:r w:rsidR="00385117">
        <w:rPr>
          <w:i/>
        </w:rPr>
        <w:t>Фридрих</w:t>
      </w:r>
      <w:r w:rsidR="00385117">
        <w:rPr>
          <w:i/>
        </w:rPr>
        <w:t xml:space="preserve"> Йохан отговори</w:t>
      </w:r>
      <w:r w:rsidRPr="00885CCF">
        <w:rPr>
          <w:i/>
        </w:rPr>
        <w:t xml:space="preserve">, че отварянето </w:t>
      </w:r>
      <w:r w:rsidR="00385117">
        <w:rPr>
          <w:i/>
        </w:rPr>
        <w:t>към</w:t>
      </w:r>
      <w:r w:rsidRPr="00885CCF">
        <w:rPr>
          <w:i/>
        </w:rPr>
        <w:t xml:space="preserve"> допълнителни заинтересовани страни по време на процеса може да бъде технически възможно, </w:t>
      </w:r>
      <w:r w:rsidR="00385117">
        <w:rPr>
          <w:i/>
        </w:rPr>
        <w:t>но</w:t>
      </w:r>
      <w:r w:rsidRPr="00885CCF">
        <w:rPr>
          <w:i/>
        </w:rPr>
        <w:t xml:space="preserve"> това ще направи консолидация</w:t>
      </w:r>
      <w:r w:rsidR="00385117">
        <w:rPr>
          <w:i/>
        </w:rPr>
        <w:t>та</w:t>
      </w:r>
      <w:r w:rsidRPr="00885CCF">
        <w:rPr>
          <w:i/>
        </w:rPr>
        <w:t xml:space="preserve"> на мненията много трудно.</w:t>
      </w:r>
      <w:r w:rsidRPr="00885CCF">
        <w:t xml:space="preserve"> Той предлага отваряне на процеса за интегриране на външни предложения, но </w:t>
      </w:r>
      <w:r w:rsidR="00385117">
        <w:t xml:space="preserve">той да бъде </w:t>
      </w:r>
      <w:r w:rsidRPr="00885CCF">
        <w:t xml:space="preserve">управляван и филтриран </w:t>
      </w:r>
      <w:r w:rsidR="00385117">
        <w:t>от</w:t>
      </w:r>
      <w:r w:rsidRPr="00885CCF">
        <w:t xml:space="preserve"> </w:t>
      </w:r>
      <w:r w:rsidR="00385117" w:rsidRPr="00385117">
        <w:t>MSP</w:t>
      </w:r>
      <w:r w:rsidRPr="00885CCF">
        <w:t xml:space="preserve">, за да се гарантира, че специфични предложения представляват </w:t>
      </w:r>
      <w:r w:rsidR="00385117">
        <w:t>нейната</w:t>
      </w:r>
      <w:r w:rsidRPr="00885CCF">
        <w:t xml:space="preserve"> позиция. </w:t>
      </w:r>
      <w:r w:rsidR="00385117">
        <w:rPr>
          <w:i/>
        </w:rPr>
        <w:t>Йох</w:t>
      </w:r>
      <w:r w:rsidR="00385117">
        <w:rPr>
          <w:i/>
        </w:rPr>
        <w:t>а</w:t>
      </w:r>
      <w:r w:rsidR="00385117">
        <w:rPr>
          <w:i/>
        </w:rPr>
        <w:t>н</w:t>
      </w:r>
      <w:r w:rsidR="00385117" w:rsidRPr="00885CCF">
        <w:t xml:space="preserve"> </w:t>
      </w:r>
      <w:r w:rsidRPr="00885CCF">
        <w:t>добав</w:t>
      </w:r>
      <w:r w:rsidR="00385117">
        <w:t>и</w:t>
      </w:r>
      <w:r w:rsidRPr="00885CCF">
        <w:t>, че във всеки случай всички получени мнения се съхранява</w:t>
      </w:r>
      <w:r w:rsidR="00385117">
        <w:t>т</w:t>
      </w:r>
      <w:r w:rsidRPr="00885CCF">
        <w:t xml:space="preserve"> </w:t>
      </w:r>
      <w:r w:rsidR="00385117">
        <w:t>в</w:t>
      </w:r>
      <w:r w:rsidRPr="00885CCF">
        <w:t xml:space="preserve"> архива и </w:t>
      </w:r>
      <w:r w:rsidR="00385117">
        <w:t xml:space="preserve">са </w:t>
      </w:r>
      <w:r w:rsidRPr="00885CCF">
        <w:t xml:space="preserve">взети предвид. Винаги има възможност за изпращане на коментари по електронна поща или чрез секретариата на </w:t>
      </w:r>
      <w:r w:rsidR="00385117" w:rsidRPr="00385117">
        <w:t>MSP</w:t>
      </w:r>
      <w:r w:rsidRPr="00885CCF">
        <w:t>.</w:t>
      </w:r>
    </w:p>
    <w:p w:rsidR="004A132F" w:rsidRPr="00885CCF" w:rsidRDefault="00385117">
      <w:pPr>
        <w:pStyle w:val="ListParagraph"/>
        <w:spacing w:before="120" w:after="120"/>
        <w:ind w:left="0"/>
        <w:jc w:val="both"/>
      </w:pPr>
      <w:r>
        <w:t>С това тази точка от дневния ред приключи</w:t>
      </w:r>
      <w:r w:rsidR="008C0951" w:rsidRPr="00885CCF">
        <w:t>.</w:t>
      </w:r>
    </w:p>
    <w:p w:rsidR="004A132F" w:rsidRPr="00885CCF" w:rsidRDefault="004A132F">
      <w:pPr>
        <w:pStyle w:val="ListParagraph"/>
        <w:spacing w:before="120" w:after="120"/>
        <w:ind w:left="0"/>
        <w:jc w:val="both"/>
      </w:pPr>
    </w:p>
    <w:p w:rsidR="004A132F" w:rsidRPr="00885CCF" w:rsidRDefault="008C0951">
      <w:pPr>
        <w:pStyle w:val="Heading2"/>
        <w:rPr>
          <w:sz w:val="26"/>
          <w:szCs w:val="26"/>
          <w:u w:val="single"/>
        </w:rPr>
      </w:pPr>
      <w:r w:rsidRPr="00885CCF">
        <w:rPr>
          <w:sz w:val="26"/>
          <w:szCs w:val="26"/>
          <w:u w:val="single"/>
        </w:rPr>
        <w:t xml:space="preserve">Предстоящата </w:t>
      </w:r>
      <w:proofErr w:type="spellStart"/>
      <w:r w:rsidRPr="00885CCF">
        <w:rPr>
          <w:sz w:val="26"/>
          <w:szCs w:val="26"/>
          <w:u w:val="single"/>
        </w:rPr>
        <w:t>стандартизационна</w:t>
      </w:r>
      <w:proofErr w:type="spellEnd"/>
      <w:r w:rsidRPr="00885CCF">
        <w:rPr>
          <w:sz w:val="26"/>
          <w:szCs w:val="26"/>
          <w:u w:val="single"/>
        </w:rPr>
        <w:t xml:space="preserve"> дейност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>Проучване на приложенията на ГНСС надолу по веригата и за стандартизация, оценка на пропуските и бъдещите нужди, за да се улесни интегрирането на ЕГССНП в „Галилео“ и потребителските приложения</w:t>
      </w:r>
    </w:p>
    <w:p w:rsidR="004A132F" w:rsidRPr="00885CCF" w:rsidRDefault="00385117">
      <w:pPr>
        <w:spacing w:after="120"/>
        <w:rPr>
          <w:i/>
        </w:rPr>
      </w:pPr>
      <w:proofErr w:type="spellStart"/>
      <w:r w:rsidRPr="00385117">
        <w:rPr>
          <w:i/>
        </w:rPr>
        <w:t>Tina</w:t>
      </w:r>
      <w:proofErr w:type="spellEnd"/>
      <w:r w:rsidRPr="00385117">
        <w:rPr>
          <w:i/>
        </w:rPr>
        <w:t xml:space="preserve"> MEDE </w:t>
      </w:r>
      <w:r w:rsidR="008C0951" w:rsidRPr="00885CCF">
        <w:rPr>
          <w:i/>
        </w:rPr>
        <w:t xml:space="preserve">(GROW J3) представи документ ICT/MSP(2017)495 и </w:t>
      </w:r>
      <w:proofErr w:type="spellStart"/>
      <w:r w:rsidRPr="00385117">
        <w:rPr>
          <w:i/>
        </w:rPr>
        <w:t>Marco</w:t>
      </w:r>
      <w:proofErr w:type="spellEnd"/>
      <w:r w:rsidRPr="00385117">
        <w:rPr>
          <w:i/>
        </w:rPr>
        <w:t xml:space="preserve"> </w:t>
      </w:r>
      <w:proofErr w:type="spellStart"/>
      <w:r w:rsidRPr="00385117">
        <w:rPr>
          <w:i/>
        </w:rPr>
        <w:t>Bolchi</w:t>
      </w:r>
      <w:proofErr w:type="spellEnd"/>
      <w:r w:rsidRPr="00385117">
        <w:rPr>
          <w:i/>
        </w:rPr>
        <w:t xml:space="preserve"> </w:t>
      </w:r>
      <w:r w:rsidR="008C0951" w:rsidRPr="00885CCF">
        <w:rPr>
          <w:i/>
        </w:rPr>
        <w:t xml:space="preserve">(главен консултант, VVA Consulting) представи ICT/MSP(2017)496 и </w:t>
      </w:r>
      <w:r>
        <w:rPr>
          <w:i/>
        </w:rPr>
        <w:t>реферира</w:t>
      </w:r>
      <w:r w:rsidR="008C0951" w:rsidRPr="00885CCF">
        <w:rPr>
          <w:i/>
        </w:rPr>
        <w:t xml:space="preserve"> </w:t>
      </w:r>
      <w:r>
        <w:rPr>
          <w:i/>
        </w:rPr>
        <w:t>към</w:t>
      </w:r>
      <w:r w:rsidR="008C0951" w:rsidRPr="00885CCF">
        <w:rPr>
          <w:i/>
        </w:rPr>
        <w:t xml:space="preserve"> въпросите на </w:t>
      </w:r>
      <w:r w:rsidRPr="00385117">
        <w:rPr>
          <w:i/>
        </w:rPr>
        <w:t xml:space="preserve">MSP </w:t>
      </w:r>
      <w:r w:rsidR="008C0951" w:rsidRPr="00885CCF">
        <w:rPr>
          <w:i/>
        </w:rPr>
        <w:t>в документ ИКТ/MSP(2017) 485v1.</w:t>
      </w:r>
    </w:p>
    <w:p w:rsidR="004A132F" w:rsidRPr="00885CCF" w:rsidRDefault="008C0951">
      <w:pPr>
        <w:spacing w:after="120"/>
        <w:rPr>
          <w:i/>
        </w:rPr>
      </w:pPr>
      <w:r w:rsidRPr="00885CCF">
        <w:rPr>
          <w:szCs w:val="24"/>
        </w:rPr>
        <w:lastRenderedPageBreak/>
        <w:t xml:space="preserve">Г-жа </w:t>
      </w:r>
      <w:proofErr w:type="spellStart"/>
      <w:r w:rsidRPr="00885CCF">
        <w:rPr>
          <w:szCs w:val="24"/>
        </w:rPr>
        <w:t>Mede</w:t>
      </w:r>
      <w:proofErr w:type="spellEnd"/>
      <w:r w:rsidRPr="00885CCF">
        <w:rPr>
          <w:szCs w:val="24"/>
        </w:rPr>
        <w:t xml:space="preserve"> направи преглед на отношенията между настоящото състояние и планираните услуги на „Галилео“. Тя подчерта решаващото значение на стандартизацията за постигането на целите на Космическата стратегия за Европа (COM (2016) 705). Тя също така представи целта и областите с поставен акцент </w:t>
      </w:r>
      <w:r w:rsidR="00385117">
        <w:rPr>
          <w:szCs w:val="24"/>
        </w:rPr>
        <w:t xml:space="preserve">върху </w:t>
      </w:r>
      <w:r w:rsidR="00385117" w:rsidRPr="00885CCF">
        <w:rPr>
          <w:szCs w:val="24"/>
        </w:rPr>
        <w:t>проучване</w:t>
      </w:r>
      <w:r w:rsidR="00385117" w:rsidRPr="00885CCF">
        <w:rPr>
          <w:szCs w:val="24"/>
        </w:rPr>
        <w:t xml:space="preserve"> </w:t>
      </w:r>
      <w:r w:rsidR="00385117">
        <w:rPr>
          <w:szCs w:val="24"/>
        </w:rPr>
        <w:t>з</w:t>
      </w:r>
      <w:r w:rsidRPr="00885CCF">
        <w:rPr>
          <w:szCs w:val="24"/>
        </w:rPr>
        <w:t xml:space="preserve">а европейската ГНСС </w:t>
      </w:r>
      <w:r w:rsidR="00AF3001">
        <w:rPr>
          <w:szCs w:val="24"/>
        </w:rPr>
        <w:t xml:space="preserve">стандартизация </w:t>
      </w:r>
      <w:r w:rsidRPr="00885CCF">
        <w:rPr>
          <w:szCs w:val="24"/>
        </w:rPr>
        <w:t xml:space="preserve">надолу по веригата, което се извършва понастоящем и е планирано да бъде публикувано през юни 2017 г. </w:t>
      </w:r>
      <w:r w:rsidR="00AF3001">
        <w:rPr>
          <w:szCs w:val="24"/>
        </w:rPr>
        <w:t>Г</w:t>
      </w:r>
      <w:r w:rsidRPr="00885CCF">
        <w:rPr>
          <w:szCs w:val="24"/>
        </w:rPr>
        <w:t xml:space="preserve">-н </w:t>
      </w:r>
      <w:proofErr w:type="spellStart"/>
      <w:r w:rsidRPr="00885CCF">
        <w:rPr>
          <w:szCs w:val="24"/>
        </w:rPr>
        <w:t>Bolchi</w:t>
      </w:r>
      <w:proofErr w:type="spellEnd"/>
      <w:r w:rsidRPr="00885CCF">
        <w:rPr>
          <w:szCs w:val="24"/>
        </w:rPr>
        <w:t xml:space="preserve"> даде по-подробен преглед на първоначалните резултати от проучването, </w:t>
      </w:r>
      <w:r w:rsidR="00AF3001">
        <w:rPr>
          <w:szCs w:val="24"/>
        </w:rPr>
        <w:t>и</w:t>
      </w:r>
      <w:r w:rsidRPr="00885CCF">
        <w:rPr>
          <w:szCs w:val="24"/>
        </w:rPr>
        <w:t xml:space="preserve"> обясн</w:t>
      </w:r>
      <w:r w:rsidR="00AF3001">
        <w:rPr>
          <w:szCs w:val="24"/>
        </w:rPr>
        <w:t>и</w:t>
      </w:r>
      <w:r w:rsidRPr="00885CCF">
        <w:rPr>
          <w:szCs w:val="24"/>
        </w:rPr>
        <w:t xml:space="preserve"> как европейската ГНСС мо</w:t>
      </w:r>
      <w:r w:rsidR="00AF3001">
        <w:rPr>
          <w:szCs w:val="24"/>
        </w:rPr>
        <w:t>же</w:t>
      </w:r>
      <w:r w:rsidRPr="00885CCF">
        <w:rPr>
          <w:szCs w:val="24"/>
        </w:rPr>
        <w:t xml:space="preserve"> да осигуря добавена стойност за 5G и интернет на нещата и попита </w:t>
      </w:r>
      <w:r w:rsidR="00AF3001" w:rsidRPr="00885CCF">
        <w:rPr>
          <w:szCs w:val="24"/>
        </w:rPr>
        <w:t>в частност членовете</w:t>
      </w:r>
      <w:r w:rsidR="00AF3001" w:rsidRPr="00885CCF">
        <w:rPr>
          <w:szCs w:val="24"/>
        </w:rPr>
        <w:t xml:space="preserve"> </w:t>
      </w:r>
      <w:r w:rsidR="00AF3001">
        <w:rPr>
          <w:szCs w:val="24"/>
        </w:rPr>
        <w:t xml:space="preserve">на </w:t>
      </w:r>
      <w:r w:rsidR="00AF3001" w:rsidRPr="00AF3001">
        <w:rPr>
          <w:szCs w:val="24"/>
        </w:rPr>
        <w:t>MSP</w:t>
      </w:r>
      <w:r w:rsidR="00AF3001" w:rsidRPr="00885CCF">
        <w:rPr>
          <w:szCs w:val="24"/>
        </w:rPr>
        <w:t xml:space="preserve"> </w:t>
      </w:r>
      <w:r w:rsidRPr="00885CCF">
        <w:rPr>
          <w:szCs w:val="24"/>
        </w:rPr>
        <w:t>дали би могла да предостави някои отговори на въпросите, подробно описани в документ ИКТ/MSP(2017) 485v1.</w:t>
      </w:r>
    </w:p>
    <w:p w:rsidR="004A132F" w:rsidRPr="00885CCF" w:rsidRDefault="008C0951">
      <w:pPr>
        <w:spacing w:after="120"/>
      </w:pPr>
      <w:r w:rsidRPr="00885CCF">
        <w:t>По време на последвалата дискусия членовете подчертаха значението на операти</w:t>
      </w:r>
      <w:r w:rsidR="00AF3001">
        <w:t xml:space="preserve">вно съвместимите данни, които </w:t>
      </w:r>
      <w:proofErr w:type="spellStart"/>
      <w:r w:rsidR="00AF3001">
        <w:t>Galile</w:t>
      </w:r>
      <w:r w:rsidRPr="00885CCF">
        <w:t>o</w:t>
      </w:r>
      <w:proofErr w:type="spellEnd"/>
      <w:r w:rsidRPr="00885CCF">
        <w:t xml:space="preserve"> </w:t>
      </w:r>
      <w:r w:rsidR="00AF3001">
        <w:t xml:space="preserve">и </w:t>
      </w:r>
      <w:r w:rsidRPr="00885CCF">
        <w:t xml:space="preserve">европейската ГНСС следва да </w:t>
      </w:r>
      <w:r w:rsidR="00AF3001">
        <w:t>постигнат</w:t>
      </w:r>
      <w:r w:rsidRPr="00885CCF">
        <w:t xml:space="preserve">, така че </w:t>
      </w:r>
      <w:r w:rsidR="00AF3001">
        <w:t xml:space="preserve">да </w:t>
      </w:r>
      <w:r w:rsidRPr="00885CCF">
        <w:t>мо</w:t>
      </w:r>
      <w:r w:rsidR="00AF3001">
        <w:t>гат</w:t>
      </w:r>
      <w:r w:rsidRPr="00885CCF">
        <w:t xml:space="preserve"> да се преобразува</w:t>
      </w:r>
      <w:r w:rsidR="00AF3001">
        <w:t>т</w:t>
      </w:r>
      <w:r w:rsidRPr="00885CCF">
        <w:t xml:space="preserve"> в различни приложения.</w:t>
      </w:r>
      <w:r w:rsidRPr="00885CCF">
        <w:rPr>
          <w:szCs w:val="24"/>
        </w:rPr>
        <w:t xml:space="preserve"> Икономическата стойност ще се дължи на комбинация от „Галилео“ и други данни. По въпроса за сигурността, беше обърнато внимание на важността на ограничаването на достъпа до данни за специфични условия.</w:t>
      </w:r>
    </w:p>
    <w:p w:rsidR="004A132F" w:rsidRPr="00885CCF" w:rsidRDefault="008C0951">
      <w:pPr>
        <w:spacing w:after="120"/>
      </w:pPr>
      <w:r w:rsidRPr="00885CCF">
        <w:t>ECMA изразиха интерес за участие в съответните дейности по стандартизация и ще се свърж</w:t>
      </w:r>
      <w:r w:rsidR="00AF3001">
        <w:t>ат</w:t>
      </w:r>
      <w:r w:rsidRPr="00885CCF">
        <w:t xml:space="preserve"> със съответните </w:t>
      </w:r>
      <w:r w:rsidR="00AF3001">
        <w:t>служби</w:t>
      </w:r>
      <w:r w:rsidRPr="00885CCF">
        <w:t>. В контекста на интернет на нещата</w:t>
      </w:r>
      <w:r w:rsidR="00AF3001">
        <w:t>,</w:t>
      </w:r>
      <w:r w:rsidRPr="00885CCF">
        <w:t xml:space="preserve"> </w:t>
      </w:r>
      <w:r w:rsidR="00AF3001" w:rsidRPr="00885CCF">
        <w:t>бяха счетени за интересн</w:t>
      </w:r>
      <w:r w:rsidR="00AF3001">
        <w:t>и</w:t>
      </w:r>
      <w:r w:rsidR="00AF3001" w:rsidRPr="00885CCF">
        <w:t xml:space="preserve"> </w:t>
      </w:r>
      <w:r w:rsidRPr="00885CCF">
        <w:t>и характеристики</w:t>
      </w:r>
      <w:r w:rsidR="00AF3001">
        <w:t>те</w:t>
      </w:r>
      <w:r w:rsidRPr="00885CCF">
        <w:t xml:space="preserve"> на планираните услуги на ГНСС (и двете с оглед постигането на</w:t>
      </w:r>
      <w:r w:rsidR="00AF3001">
        <w:t xml:space="preserve"> по-голяма точност и сигурност)</w:t>
      </w:r>
      <w:r w:rsidRPr="00885CCF">
        <w:t>.</w:t>
      </w:r>
    </w:p>
    <w:p w:rsidR="004A132F" w:rsidRPr="00885CCF" w:rsidRDefault="008C0951">
      <w:pPr>
        <w:spacing w:after="120"/>
      </w:pPr>
      <w:r w:rsidRPr="00885CCF">
        <w:t xml:space="preserve">В отговор на </w:t>
      </w:r>
      <w:r w:rsidR="00AF3001" w:rsidRPr="00885CCF">
        <w:t>повдигнат</w:t>
      </w:r>
      <w:r w:rsidR="00AF3001" w:rsidRPr="00885CCF">
        <w:t xml:space="preserve"> </w:t>
      </w:r>
      <w:r w:rsidRPr="00885CCF">
        <w:t>въпрос, Комисията поясни, че основната целева аудитория на проучването е Комисията. Въпреки това, аудиторията, за която е предназначена обществената консултация е по-широк</w:t>
      </w:r>
      <w:r w:rsidR="00AF3001">
        <w:t>а</w:t>
      </w:r>
      <w:r w:rsidRPr="00885CCF">
        <w:t xml:space="preserve"> — Комисията прикани членовете да разпространяват информацията за консултантски услуги, така че съответните страни </w:t>
      </w:r>
      <w:r w:rsidR="00AF3001">
        <w:t xml:space="preserve">да </w:t>
      </w:r>
      <w:r w:rsidRPr="00885CCF">
        <w:t>могат да дадат своя принос към проучването.</w:t>
      </w:r>
    </w:p>
    <w:p w:rsidR="004A132F" w:rsidRPr="00885CCF" w:rsidRDefault="008C0951">
      <w:pPr>
        <w:spacing w:after="120"/>
      </w:pPr>
      <w:r w:rsidRPr="00885CCF">
        <w:t xml:space="preserve">Европейският комитет по стандартизация (CEN) е предложил да помогне на службите на Комисията при осъществяване на контакт със съответните групи по ISO </w:t>
      </w:r>
      <w:proofErr w:type="spellStart"/>
      <w:r w:rsidRPr="00885CCF">
        <w:t>ISO</w:t>
      </w:r>
      <w:proofErr w:type="spellEnd"/>
      <w:r w:rsidRPr="00885CCF">
        <w:t xml:space="preserve"> стандарти.</w:t>
      </w:r>
    </w:p>
    <w:p w:rsidR="004A132F" w:rsidRPr="00885CCF" w:rsidRDefault="00AF3001" w:rsidP="00AF3001">
      <w:pPr>
        <w:pStyle w:val="Heading3"/>
        <w:numPr>
          <w:ilvl w:val="0"/>
          <w:numId w:val="4"/>
        </w:numPr>
      </w:pPr>
      <w:r>
        <w:t>Р</w:t>
      </w:r>
      <w:r w:rsidRPr="00885CCF">
        <w:t>абот</w:t>
      </w:r>
      <w:r>
        <w:t>ни</w:t>
      </w:r>
      <w:r w:rsidRPr="00885CCF">
        <w:t xml:space="preserve"> </w:t>
      </w:r>
      <w:r>
        <w:t>насоки</w:t>
      </w:r>
      <w:r w:rsidRPr="00885CCF">
        <w:t xml:space="preserve"> </w:t>
      </w:r>
      <w:r>
        <w:t xml:space="preserve">за </w:t>
      </w:r>
      <w:r w:rsidR="008C0951" w:rsidRPr="00885CCF">
        <w:t xml:space="preserve">Стандарти и оперативна съвместимост на работна група за финансовите технологии </w:t>
      </w:r>
      <w:r>
        <w:t>(</w:t>
      </w:r>
      <w:proofErr w:type="spellStart"/>
      <w:r w:rsidRPr="00AF3001">
        <w:t>FinTech</w:t>
      </w:r>
      <w:proofErr w:type="spellEnd"/>
      <w:r w:rsidRPr="00AF3001">
        <w:t xml:space="preserve"> </w:t>
      </w:r>
      <w:proofErr w:type="spellStart"/>
      <w:r w:rsidRPr="00AF3001">
        <w:t>Task</w:t>
      </w:r>
      <w:proofErr w:type="spellEnd"/>
      <w:r w:rsidRPr="00AF3001">
        <w:t xml:space="preserve"> </w:t>
      </w:r>
      <w:proofErr w:type="spellStart"/>
      <w:r w:rsidRPr="00AF3001">
        <w:t>Force</w:t>
      </w:r>
      <w:proofErr w:type="spellEnd"/>
      <w:r>
        <w:t>)</w:t>
      </w:r>
      <w:r w:rsidRPr="00AF3001">
        <w:t xml:space="preserve"> </w:t>
      </w:r>
      <w:r w:rsidR="008C0951" w:rsidRPr="00885CCF">
        <w:t>(ГД CNECT F3)</w:t>
      </w:r>
    </w:p>
    <w:p w:rsidR="004A132F" w:rsidRPr="00885CCF" w:rsidRDefault="008C0951">
      <w:pPr>
        <w:spacing w:before="120" w:after="120"/>
      </w:pPr>
      <w:r w:rsidRPr="00885CCF">
        <w:t xml:space="preserve">Разглеждането на тази точка беше отложено за следващото заседание на </w:t>
      </w:r>
      <w:r w:rsidR="00AF3001" w:rsidRPr="00AF3001">
        <w:t>MSP</w:t>
      </w:r>
      <w:r w:rsidRPr="00885CCF">
        <w:t xml:space="preserve"> поради липса на време.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>Последващи действия във връзка с искане за стандартизация в областта на градските И</w:t>
      </w:r>
      <w:r w:rsidR="00AF3001">
        <w:t>нтелигентни транспортни системи (И</w:t>
      </w:r>
      <w:r w:rsidRPr="00885CCF">
        <w:t>ТС</w:t>
      </w:r>
      <w:r w:rsidR="00AF3001">
        <w:t>)</w:t>
      </w:r>
      <w:r w:rsidRPr="00885CCF">
        <w:t xml:space="preserve"> (ГД „Мобилност и транспорт“)</w:t>
      </w:r>
    </w:p>
    <w:p w:rsidR="004A132F" w:rsidRPr="00885CCF" w:rsidRDefault="008C0951">
      <w:pPr>
        <w:spacing w:before="120" w:after="120"/>
        <w:rPr>
          <w:bCs/>
          <w:i/>
        </w:rPr>
      </w:pPr>
      <w:proofErr w:type="spellStart"/>
      <w:r w:rsidRPr="00885CCF">
        <w:rPr>
          <w:bCs/>
          <w:i/>
        </w:rPr>
        <w:t>Stephanie</w:t>
      </w:r>
      <w:proofErr w:type="spellEnd"/>
      <w:r w:rsidRPr="00885CCF">
        <w:rPr>
          <w:bCs/>
          <w:i/>
        </w:rPr>
        <w:t xml:space="preserve"> </w:t>
      </w:r>
      <w:proofErr w:type="spellStart"/>
      <w:r w:rsidR="00AF3001" w:rsidRPr="00AF3001">
        <w:rPr>
          <w:bCs/>
          <w:i/>
        </w:rPr>
        <w:t>Leonard</w:t>
      </w:r>
      <w:proofErr w:type="spellEnd"/>
      <w:r w:rsidRPr="00885CCF">
        <w:rPr>
          <w:bCs/>
          <w:i/>
        </w:rPr>
        <w:t xml:space="preserve"> (ГД „Мобилност и транспорт“) представи документ ICT/MSP(2017)486 за актуализиране на </w:t>
      </w:r>
      <w:r w:rsidR="00AF3001" w:rsidRPr="00AF3001">
        <w:rPr>
          <w:bCs/>
          <w:i/>
        </w:rPr>
        <w:t xml:space="preserve">MSP </w:t>
      </w:r>
      <w:r w:rsidRPr="00885CCF">
        <w:rPr>
          <w:bCs/>
          <w:i/>
        </w:rPr>
        <w:t>и да се получ</w:t>
      </w:r>
      <w:r w:rsidR="00AF3001">
        <w:rPr>
          <w:bCs/>
          <w:i/>
        </w:rPr>
        <w:t>и</w:t>
      </w:r>
      <w:r w:rsidRPr="00885CCF">
        <w:rPr>
          <w:bCs/>
          <w:i/>
        </w:rPr>
        <w:t xml:space="preserve"> обратна информация във връзка с искането за стандартизация в областта на градските ИТС.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 xml:space="preserve">Представянето </w:t>
      </w:r>
      <w:r w:rsidR="00AF3001">
        <w:rPr>
          <w:bCs/>
        </w:rPr>
        <w:t>на</w:t>
      </w:r>
      <w:r w:rsidRPr="00885CCF">
        <w:rPr>
          <w:bCs/>
        </w:rPr>
        <w:t xml:space="preserve">прави преглед на историята и актуалното състояние </w:t>
      </w:r>
      <w:r w:rsidR="00AF3001">
        <w:rPr>
          <w:bCs/>
        </w:rPr>
        <w:t>на</w:t>
      </w:r>
      <w:r w:rsidR="00AF3001">
        <w:rPr>
          <w:bCs/>
        </w:rPr>
        <w:t xml:space="preserve"> </w:t>
      </w:r>
      <w:r w:rsidR="00AF3001" w:rsidRPr="00885CCF">
        <w:rPr>
          <w:bCs/>
        </w:rPr>
        <w:t>мандат</w:t>
      </w:r>
      <w:r w:rsidR="00AF3001">
        <w:rPr>
          <w:bCs/>
        </w:rPr>
        <w:t>а</w:t>
      </w:r>
      <w:r w:rsidR="00AF3001" w:rsidRPr="00885CCF">
        <w:rPr>
          <w:bCs/>
        </w:rPr>
        <w:t xml:space="preserve"> за стандартизация</w:t>
      </w:r>
      <w:r w:rsidR="00AF3001" w:rsidRPr="00885CCF">
        <w:rPr>
          <w:bCs/>
        </w:rPr>
        <w:t xml:space="preserve"> </w:t>
      </w:r>
      <w:r w:rsidRPr="00885CCF">
        <w:rPr>
          <w:bCs/>
        </w:rPr>
        <w:t>на градските ИТС. Т</w:t>
      </w:r>
      <w:r w:rsidR="00C074E2">
        <w:rPr>
          <w:bCs/>
        </w:rPr>
        <w:t>я</w:t>
      </w:r>
      <w:r w:rsidRPr="00885CCF">
        <w:rPr>
          <w:bCs/>
        </w:rPr>
        <w:t xml:space="preserve"> обясн</w:t>
      </w:r>
      <w:r w:rsidR="00C074E2">
        <w:rPr>
          <w:bCs/>
        </w:rPr>
        <w:t>и</w:t>
      </w:r>
      <w:r w:rsidRPr="00885CCF">
        <w:rPr>
          <w:bCs/>
        </w:rPr>
        <w:t xml:space="preserve"> основните въпроси, идентифицирани в област</w:t>
      </w:r>
      <w:r w:rsidR="00C074E2">
        <w:rPr>
          <w:bCs/>
        </w:rPr>
        <w:t>та и представи</w:t>
      </w:r>
      <w:r w:rsidRPr="00885CCF">
        <w:rPr>
          <w:bCs/>
        </w:rPr>
        <w:t xml:space="preserve"> планираните резултати, целящи преодоляването на </w:t>
      </w:r>
      <w:r w:rsidR="00C074E2">
        <w:rPr>
          <w:bCs/>
        </w:rPr>
        <w:t xml:space="preserve">редица </w:t>
      </w:r>
      <w:r w:rsidRPr="00885CCF">
        <w:rPr>
          <w:bCs/>
        </w:rPr>
        <w:t xml:space="preserve">предизвикателства. Г-жа Леонард поиска също така помощта на </w:t>
      </w:r>
      <w:r w:rsidR="00C074E2" w:rsidRPr="00885CCF">
        <w:rPr>
          <w:bCs/>
        </w:rPr>
        <w:t>членове</w:t>
      </w:r>
      <w:r w:rsidR="00C074E2">
        <w:rPr>
          <w:bCs/>
        </w:rPr>
        <w:t>те на</w:t>
      </w:r>
      <w:r w:rsidR="00C074E2" w:rsidRPr="00C074E2">
        <w:rPr>
          <w:bCs/>
        </w:rPr>
        <w:t xml:space="preserve"> MSP</w:t>
      </w:r>
      <w:r w:rsidRPr="00885CCF">
        <w:rPr>
          <w:bCs/>
        </w:rPr>
        <w:t xml:space="preserve"> </w:t>
      </w:r>
      <w:r w:rsidR="00C074E2">
        <w:rPr>
          <w:bCs/>
        </w:rPr>
        <w:t>за</w:t>
      </w:r>
      <w:r w:rsidRPr="00885CCF">
        <w:rPr>
          <w:bCs/>
        </w:rPr>
        <w:t xml:space="preserve"> най-добрия подход </w:t>
      </w:r>
      <w:r w:rsidR="00C074E2">
        <w:rPr>
          <w:bCs/>
        </w:rPr>
        <w:t>за идентифициране на</w:t>
      </w:r>
      <w:r w:rsidRPr="00885CCF">
        <w:rPr>
          <w:bCs/>
        </w:rPr>
        <w:t xml:space="preserve"> организации, имащи отношение към тази конкретна инициатива за стандартизация, и по-специално експерти от градовете.</w:t>
      </w:r>
    </w:p>
    <w:p w:rsidR="004A132F" w:rsidRPr="00885CCF" w:rsidRDefault="008C0951">
      <w:pPr>
        <w:spacing w:before="120" w:after="120"/>
      </w:pPr>
      <w:r w:rsidRPr="00885CCF">
        <w:rPr>
          <w:bCs/>
        </w:rPr>
        <w:t xml:space="preserve">По време на последвалите разисквания някои членове на </w:t>
      </w:r>
      <w:r w:rsidR="00C074E2" w:rsidRPr="00C074E2">
        <w:rPr>
          <w:bCs/>
        </w:rPr>
        <w:t>MSP</w:t>
      </w:r>
      <w:r w:rsidRPr="00885CCF">
        <w:rPr>
          <w:bCs/>
        </w:rPr>
        <w:t xml:space="preserve"> се позова</w:t>
      </w:r>
      <w:r w:rsidR="00C074E2">
        <w:rPr>
          <w:bCs/>
        </w:rPr>
        <w:t>х</w:t>
      </w:r>
      <w:r w:rsidRPr="00885CCF">
        <w:rPr>
          <w:bCs/>
        </w:rPr>
        <w:t xml:space="preserve">а на Регламент 1025/2012, който дава възможност за финансиране на работата на експерти (включително чрез националните органи по стандартизация), която следва да има активна роля в тази област и се предлага местните власти или техните представители </w:t>
      </w:r>
      <w:r w:rsidR="00C074E2">
        <w:rPr>
          <w:bCs/>
        </w:rPr>
        <w:t xml:space="preserve">да </w:t>
      </w:r>
      <w:r w:rsidRPr="00885CCF">
        <w:rPr>
          <w:bCs/>
        </w:rPr>
        <w:t xml:space="preserve">могат да участват в по-голяма степен в свързаната с това работа на националните органи за </w:t>
      </w:r>
      <w:r w:rsidRPr="00885CCF">
        <w:rPr>
          <w:bCs/>
        </w:rPr>
        <w:lastRenderedPageBreak/>
        <w:t>стандарт</w:t>
      </w:r>
      <w:r w:rsidR="00C074E2">
        <w:rPr>
          <w:bCs/>
        </w:rPr>
        <w:t>изация. Освен това се подчерта</w:t>
      </w:r>
      <w:r w:rsidRPr="00885CCF">
        <w:rPr>
          <w:bCs/>
        </w:rPr>
        <w:t xml:space="preserve"> обаче, че в някои държави членки е трудно за публичните органи да бъдат привлечени за участие в специфични дейности по стандартизация, без да </w:t>
      </w:r>
      <w:r w:rsidR="00C074E2">
        <w:rPr>
          <w:bCs/>
        </w:rPr>
        <w:t>се заплатят</w:t>
      </w:r>
      <w:r w:rsidRPr="00885CCF">
        <w:rPr>
          <w:bCs/>
        </w:rPr>
        <w:t xml:space="preserve"> изцяло разходите за членство. Други изтъкнаха, че няма един единствен начин да участват в стандартизацията в областта на ИКТ, когато Общността е решила какъв е</w:t>
      </w:r>
      <w:r w:rsidR="00C074E2">
        <w:rPr>
          <w:bCs/>
        </w:rPr>
        <w:t xml:space="preserve"> предмета и е установила</w:t>
      </w:r>
      <w:r w:rsidRPr="00885CCF">
        <w:rPr>
          <w:bCs/>
        </w:rPr>
        <w:t xml:space="preserve"> европейските органи по стандартизация; Комисията може да помогне чрез определяне на конкретни групи. Някои считат, че въпросът ще бъде как </w:t>
      </w:r>
      <w:r w:rsidR="00C074E2">
        <w:rPr>
          <w:bCs/>
        </w:rPr>
        <w:t xml:space="preserve">се </w:t>
      </w:r>
      <w:r w:rsidRPr="00885CCF">
        <w:rPr>
          <w:bCs/>
        </w:rPr>
        <w:t>мотивира</w:t>
      </w:r>
      <w:r w:rsidR="00C074E2">
        <w:rPr>
          <w:bCs/>
        </w:rPr>
        <w:t>т</w:t>
      </w:r>
      <w:r w:rsidRPr="00885CCF">
        <w:rPr>
          <w:bCs/>
        </w:rPr>
        <w:t xml:space="preserve"> местните власти да участват в националните дейности по стандартизация. И накрая, една държава членка изтъкна, че за да се гарантира, че разработените стандарти </w:t>
      </w:r>
      <w:r w:rsidR="00C074E2">
        <w:rPr>
          <w:bCs/>
        </w:rPr>
        <w:t>за</w:t>
      </w:r>
      <w:r w:rsidRPr="00885CCF">
        <w:rPr>
          <w:bCs/>
        </w:rPr>
        <w:t xml:space="preserve"> нуждите на заинтересованите страни от градовете се вземат предвид е от решаващо значение </w:t>
      </w:r>
      <w:r w:rsidR="00C074E2">
        <w:rPr>
          <w:bCs/>
        </w:rPr>
        <w:t>сътрудничеството</w:t>
      </w:r>
      <w:r w:rsidRPr="00885CCF">
        <w:rPr>
          <w:bCs/>
        </w:rPr>
        <w:t xml:space="preserve"> с проекти като Compass4D когато множество градове вече </w:t>
      </w:r>
      <w:r w:rsidR="00C074E2">
        <w:rPr>
          <w:bCs/>
        </w:rPr>
        <w:t>си взаимодействат</w:t>
      </w:r>
      <w:r w:rsidRPr="00885CCF">
        <w:rPr>
          <w:bCs/>
        </w:rPr>
        <w:t xml:space="preserve"> и обмен</w:t>
      </w:r>
      <w:r w:rsidR="00C074E2">
        <w:rPr>
          <w:bCs/>
        </w:rPr>
        <w:t>ят</w:t>
      </w:r>
      <w:r w:rsidRPr="00885CCF">
        <w:rPr>
          <w:bCs/>
        </w:rPr>
        <w:t xml:space="preserve"> знания в областта на ИТС и на СИТС.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>Последващи действия във връзка с искане за стандартизация относно достъпността на уебсайтовете и мобилните приложения на организациите от обществения сектор</w:t>
      </w:r>
    </w:p>
    <w:p w:rsidR="004A132F" w:rsidRPr="00885CCF" w:rsidRDefault="008C0951">
      <w:pPr>
        <w:spacing w:before="120" w:after="120"/>
      </w:pPr>
      <w:proofErr w:type="spellStart"/>
      <w:r w:rsidRPr="00885CCF">
        <w:rPr>
          <w:bCs/>
          <w:i/>
        </w:rPr>
        <w:t>Alina</w:t>
      </w:r>
      <w:proofErr w:type="spellEnd"/>
      <w:r w:rsidRPr="00885CCF">
        <w:rPr>
          <w:bCs/>
          <w:i/>
        </w:rPr>
        <w:t xml:space="preserve"> </w:t>
      </w:r>
      <w:proofErr w:type="spellStart"/>
      <w:r w:rsidR="00C074E2" w:rsidRPr="00C074E2">
        <w:rPr>
          <w:bCs/>
          <w:i/>
        </w:rPr>
        <w:t>Lupu</w:t>
      </w:r>
      <w:proofErr w:type="spellEnd"/>
      <w:r w:rsidRPr="00885CCF">
        <w:rPr>
          <w:bCs/>
          <w:i/>
        </w:rPr>
        <w:t xml:space="preserve"> (CNECT G1) </w:t>
      </w:r>
      <w:r w:rsidR="00C074E2">
        <w:rPr>
          <w:bCs/>
          <w:i/>
        </w:rPr>
        <w:t>информира</w:t>
      </w:r>
      <w:r w:rsidRPr="00885CCF">
        <w:rPr>
          <w:bCs/>
          <w:i/>
        </w:rPr>
        <w:t xml:space="preserve"> </w:t>
      </w:r>
      <w:r w:rsidR="00C074E2" w:rsidRPr="00C074E2">
        <w:rPr>
          <w:bCs/>
          <w:i/>
        </w:rPr>
        <w:t>MSP</w:t>
      </w:r>
      <w:r w:rsidRPr="00885CCF">
        <w:rPr>
          <w:bCs/>
          <w:i/>
        </w:rPr>
        <w:t xml:space="preserve"> относно статута на искането за стандартизация в контекста на Директивата за достъпност </w:t>
      </w:r>
      <w:r w:rsidR="00C074E2">
        <w:rPr>
          <w:bCs/>
          <w:i/>
        </w:rPr>
        <w:t>на уебсайтовете</w:t>
      </w:r>
      <w:r w:rsidRPr="00885CCF">
        <w:rPr>
          <w:bCs/>
          <w:i/>
        </w:rPr>
        <w:t>, ко</w:t>
      </w:r>
      <w:r w:rsidR="00C074E2">
        <w:rPr>
          <w:bCs/>
          <w:i/>
        </w:rPr>
        <w:t>е</w:t>
      </w:r>
      <w:r w:rsidRPr="00885CCF">
        <w:rPr>
          <w:bCs/>
          <w:i/>
        </w:rPr>
        <w:t>то беше разгледан</w:t>
      </w:r>
      <w:r w:rsidR="00C074E2">
        <w:rPr>
          <w:bCs/>
          <w:i/>
        </w:rPr>
        <w:t>о</w:t>
      </w:r>
      <w:r w:rsidRPr="00885CCF">
        <w:rPr>
          <w:bCs/>
          <w:i/>
        </w:rPr>
        <w:t xml:space="preserve"> на </w:t>
      </w:r>
      <w:proofErr w:type="spellStart"/>
      <w:r w:rsidRPr="00885CCF">
        <w:rPr>
          <w:bCs/>
          <w:i/>
        </w:rPr>
        <w:t>CoS</w:t>
      </w:r>
      <w:proofErr w:type="spellEnd"/>
      <w:r w:rsidRPr="00885CCF">
        <w:rPr>
          <w:bCs/>
          <w:i/>
        </w:rPr>
        <w:t xml:space="preserve"> на 9/3/2017. Тя обясни, че </w:t>
      </w:r>
      <w:r w:rsidR="00C074E2">
        <w:rPr>
          <w:bCs/>
          <w:i/>
        </w:rPr>
        <w:t xml:space="preserve">са </w:t>
      </w:r>
      <w:r w:rsidR="00C074E2" w:rsidRPr="00885CCF">
        <w:rPr>
          <w:bCs/>
          <w:i/>
        </w:rPr>
        <w:t xml:space="preserve">внесени </w:t>
      </w:r>
      <w:r w:rsidRPr="00885CCF">
        <w:rPr>
          <w:bCs/>
          <w:i/>
        </w:rPr>
        <w:t>някои промени в документ</w:t>
      </w:r>
      <w:r w:rsidR="00C074E2">
        <w:rPr>
          <w:bCs/>
          <w:i/>
        </w:rPr>
        <w:t>а</w:t>
      </w:r>
      <w:r w:rsidRPr="00885CCF">
        <w:rPr>
          <w:bCs/>
          <w:i/>
        </w:rPr>
        <w:t xml:space="preserve"> в отговор на информацията от консултации</w:t>
      </w:r>
      <w:r w:rsidR="00C074E2">
        <w:rPr>
          <w:bCs/>
          <w:i/>
        </w:rPr>
        <w:t>те</w:t>
      </w:r>
      <w:r w:rsidRPr="00885CCF">
        <w:rPr>
          <w:bCs/>
          <w:i/>
        </w:rPr>
        <w:t xml:space="preserve"> със службите на ЕК.</w:t>
      </w:r>
      <w:r w:rsidRPr="00885CCF">
        <w:rPr>
          <w:bCs/>
        </w:rPr>
        <w:t xml:space="preserve"> Писмената процедура за одобрение от </w:t>
      </w:r>
      <w:proofErr w:type="spellStart"/>
      <w:r w:rsidRPr="00885CCF">
        <w:rPr>
          <w:bCs/>
        </w:rPr>
        <w:t>CoS</w:t>
      </w:r>
      <w:proofErr w:type="spellEnd"/>
      <w:r w:rsidRPr="00885CCF">
        <w:rPr>
          <w:bCs/>
        </w:rPr>
        <w:t xml:space="preserve"> е валидна до 31/03/2017. С цел спазване на строги</w:t>
      </w:r>
      <w:r w:rsidR="00C074E2">
        <w:rPr>
          <w:bCs/>
        </w:rPr>
        <w:t>те</w:t>
      </w:r>
      <w:r w:rsidRPr="00885CCF">
        <w:rPr>
          <w:bCs/>
        </w:rPr>
        <w:t xml:space="preserve"> срокове, определени в Директивата, и срок</w:t>
      </w:r>
      <w:r w:rsidR="00C074E2">
        <w:rPr>
          <w:bCs/>
        </w:rPr>
        <w:t>ът</w:t>
      </w:r>
      <w:r w:rsidRPr="00885CCF">
        <w:rPr>
          <w:bCs/>
        </w:rPr>
        <w:t xml:space="preserve"> за процедурата е бил ограничен.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>По време на последвалата дискусия W3C информира членовете</w:t>
      </w:r>
      <w:r w:rsidR="00C074E2">
        <w:rPr>
          <w:bCs/>
        </w:rPr>
        <w:t xml:space="preserve"> на </w:t>
      </w:r>
      <w:r w:rsidR="00C074E2" w:rsidRPr="00C074E2">
        <w:rPr>
          <w:bCs/>
        </w:rPr>
        <w:t>MSP</w:t>
      </w:r>
      <w:r w:rsidRPr="00885CCF">
        <w:rPr>
          <w:bCs/>
        </w:rPr>
        <w:t>, че вече работят в рамките на електронната достъпност EN, като насоките за достъп</w:t>
      </w:r>
      <w:r w:rsidR="00C074E2">
        <w:rPr>
          <w:bCs/>
        </w:rPr>
        <w:t>ност</w:t>
      </w:r>
      <w:r w:rsidRPr="00885CCF">
        <w:rPr>
          <w:bCs/>
        </w:rPr>
        <w:t xml:space="preserve"> до интернет </w:t>
      </w:r>
      <w:r w:rsidR="00C074E2">
        <w:rPr>
          <w:bCs/>
        </w:rPr>
        <w:t xml:space="preserve">са </w:t>
      </w:r>
      <w:r w:rsidRPr="00885CCF">
        <w:rPr>
          <w:bCs/>
        </w:rPr>
        <w:t>се оказа</w:t>
      </w:r>
      <w:r w:rsidR="00C074E2">
        <w:rPr>
          <w:bCs/>
        </w:rPr>
        <w:t>ли</w:t>
      </w:r>
      <w:r w:rsidRPr="00885CCF">
        <w:rPr>
          <w:bCs/>
        </w:rPr>
        <w:t xml:space="preserve"> полезн</w:t>
      </w:r>
      <w:r w:rsidR="00C074E2">
        <w:rPr>
          <w:bCs/>
        </w:rPr>
        <w:t>и</w:t>
      </w:r>
      <w:r w:rsidRPr="00885CCF">
        <w:rPr>
          <w:bCs/>
        </w:rPr>
        <w:t>. Те координират с</w:t>
      </w:r>
      <w:r w:rsidR="003F6CA4">
        <w:rPr>
          <w:bCs/>
        </w:rPr>
        <w:t xml:space="preserve"> европейски стандартизационни организации</w:t>
      </w:r>
      <w:r w:rsidRPr="00885CCF">
        <w:rPr>
          <w:bCs/>
        </w:rPr>
        <w:t>, за да продълж</w:t>
      </w:r>
      <w:r w:rsidR="003F6CA4">
        <w:rPr>
          <w:bCs/>
        </w:rPr>
        <w:t>ат</w:t>
      </w:r>
      <w:r w:rsidRPr="00885CCF">
        <w:rPr>
          <w:bCs/>
        </w:rPr>
        <w:t xml:space="preserve"> да работ</w:t>
      </w:r>
      <w:r w:rsidR="003F6CA4">
        <w:rPr>
          <w:bCs/>
        </w:rPr>
        <w:t>ят</w:t>
      </w:r>
      <w:r w:rsidRPr="00885CCF">
        <w:rPr>
          <w:bCs/>
        </w:rPr>
        <w:t xml:space="preserve"> с настоящия мандат, но за момента намират много административни пречки.</w:t>
      </w:r>
    </w:p>
    <w:p w:rsidR="004A132F" w:rsidRPr="00885CCF" w:rsidRDefault="003F6CA4">
      <w:pPr>
        <w:spacing w:before="120" w:after="120"/>
        <w:rPr>
          <w:bCs/>
        </w:rPr>
      </w:pPr>
      <w:r>
        <w:rPr>
          <w:bCs/>
        </w:rPr>
        <w:t>Членове</w:t>
      </w:r>
      <w:r w:rsidR="008C0951" w:rsidRPr="00885CCF">
        <w:rPr>
          <w:bCs/>
        </w:rPr>
        <w:t xml:space="preserve"> </w:t>
      </w:r>
      <w:r>
        <w:rPr>
          <w:bCs/>
        </w:rPr>
        <w:t>са се</w:t>
      </w:r>
      <w:r w:rsidR="008C0951" w:rsidRPr="00885CCF">
        <w:rPr>
          <w:bCs/>
        </w:rPr>
        <w:t xml:space="preserve"> обърнал</w:t>
      </w:r>
      <w:r>
        <w:rPr>
          <w:bCs/>
        </w:rPr>
        <w:t>и</w:t>
      </w:r>
      <w:r w:rsidR="008C0951" w:rsidRPr="00885CCF">
        <w:rPr>
          <w:bCs/>
        </w:rPr>
        <w:t xml:space="preserve"> към Комисията да обясни как предвижда сътрудничество на съвместната работна група, натоварени със създаването на този стандарт с W3C, как възнамерява да координира участието на организации на потребителите в тази дейност и как EN, ще бъдат преразгледани след приемането на настоящия мандат. Комисията ще представи работен план след </w:t>
      </w:r>
      <w:r>
        <w:rPr>
          <w:bCs/>
        </w:rPr>
        <w:t>утвърждаване</w:t>
      </w:r>
      <w:r w:rsidR="008C0951" w:rsidRPr="00885CCF">
        <w:rPr>
          <w:bCs/>
        </w:rPr>
        <w:t xml:space="preserve"> и приемане на мандата от </w:t>
      </w:r>
      <w:r w:rsidRPr="003F6CA4">
        <w:rPr>
          <w:bCs/>
        </w:rPr>
        <w:t>европейски стандартизационни организации</w:t>
      </w:r>
      <w:r w:rsidR="008C0951" w:rsidRPr="00885CCF">
        <w:rPr>
          <w:bCs/>
        </w:rPr>
        <w:t xml:space="preserve">, които ще включват по-подробни отговори на повдигнатите въпроси. По отношение на опасенията, изразени по отношение на кратките срокове, определени за някои очаквани резултати, Комисията отново изтъкна, че тези срокове са необходими, за да </w:t>
      </w:r>
      <w:r>
        <w:rPr>
          <w:bCs/>
        </w:rPr>
        <w:t xml:space="preserve">се </w:t>
      </w:r>
      <w:r w:rsidR="008C0951" w:rsidRPr="00885CCF">
        <w:rPr>
          <w:bCs/>
        </w:rPr>
        <w:t>спази законовия краен срок, определен от директивата.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 xml:space="preserve">Налице е консенсус между членовете, че работата се основава на резултатите от W3C (WCAG 2.1) и Комисията и </w:t>
      </w:r>
      <w:r w:rsidR="003F6CA4" w:rsidRPr="003F6CA4">
        <w:rPr>
          <w:bCs/>
        </w:rPr>
        <w:t>европейски</w:t>
      </w:r>
      <w:r w:rsidR="003F6CA4">
        <w:rPr>
          <w:bCs/>
        </w:rPr>
        <w:t>те</w:t>
      </w:r>
      <w:r w:rsidR="003F6CA4" w:rsidRPr="003F6CA4">
        <w:rPr>
          <w:bCs/>
        </w:rPr>
        <w:t xml:space="preserve"> стандартизационни организации</w:t>
      </w:r>
      <w:r w:rsidRPr="00885CCF">
        <w:rPr>
          <w:bCs/>
        </w:rPr>
        <w:t xml:space="preserve"> продължават да си сътрудничат тясно с W3C. ETSI </w:t>
      </w:r>
      <w:r w:rsidR="003F6CA4">
        <w:rPr>
          <w:bCs/>
        </w:rPr>
        <w:t>обясни</w:t>
      </w:r>
      <w:r w:rsidRPr="00885CCF">
        <w:rPr>
          <w:bCs/>
        </w:rPr>
        <w:t xml:space="preserve">, че те вече притежават работна позиция и план за съвместното заседание на работната група през април, и увери, че те ще продължат да работят с Европейския комитет по стандартизация и </w:t>
      </w:r>
      <w:r w:rsidR="003F6CA4">
        <w:rPr>
          <w:bCs/>
        </w:rPr>
        <w:t xml:space="preserve">да </w:t>
      </w:r>
      <w:r w:rsidRPr="00885CCF">
        <w:rPr>
          <w:bCs/>
        </w:rPr>
        <w:t>търс</w:t>
      </w:r>
      <w:r w:rsidR="003F6CA4">
        <w:rPr>
          <w:bCs/>
        </w:rPr>
        <w:t>ят</w:t>
      </w:r>
      <w:r w:rsidRPr="00885CCF">
        <w:rPr>
          <w:bCs/>
        </w:rPr>
        <w:t xml:space="preserve"> начини да намерят най-доброто решение с W3C.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 xml:space="preserve">В отговор на запитване по отношение на повторното включване на позоваване на участието на организации, представляващи потребителите в искане за стандартизация Комисията отговори, че </w:t>
      </w:r>
      <w:r w:rsidR="003F6CA4" w:rsidRPr="00885CCF">
        <w:rPr>
          <w:bCs/>
        </w:rPr>
        <w:t>вътрешни</w:t>
      </w:r>
      <w:r w:rsidR="003F6CA4">
        <w:rPr>
          <w:bCs/>
        </w:rPr>
        <w:t>те</w:t>
      </w:r>
      <w:r w:rsidR="003F6CA4" w:rsidRPr="00885CCF">
        <w:rPr>
          <w:bCs/>
        </w:rPr>
        <w:t xml:space="preserve"> процедури</w:t>
      </w:r>
      <w:r w:rsidR="003F6CA4" w:rsidRPr="00885CCF">
        <w:rPr>
          <w:bCs/>
        </w:rPr>
        <w:t xml:space="preserve"> </w:t>
      </w:r>
      <w:r w:rsidR="003F6CA4">
        <w:rPr>
          <w:bCs/>
        </w:rPr>
        <w:t xml:space="preserve">на </w:t>
      </w:r>
      <w:r w:rsidRPr="00885CCF">
        <w:rPr>
          <w:bCs/>
        </w:rPr>
        <w:t>ETSI са вече достатъчн</w:t>
      </w:r>
      <w:r w:rsidR="003F6CA4">
        <w:rPr>
          <w:bCs/>
        </w:rPr>
        <w:t>и</w:t>
      </w:r>
      <w:r w:rsidRPr="00885CCF">
        <w:rPr>
          <w:bCs/>
        </w:rPr>
        <w:t xml:space="preserve"> за решаването на този проблем — процедурата за подбор на експерти е открит</w:t>
      </w:r>
      <w:r w:rsidR="003F6CA4">
        <w:rPr>
          <w:bCs/>
        </w:rPr>
        <w:t>а</w:t>
      </w:r>
      <w:r w:rsidRPr="00885CCF">
        <w:rPr>
          <w:bCs/>
        </w:rPr>
        <w:t>, прозрач</w:t>
      </w:r>
      <w:r w:rsidR="003F6CA4">
        <w:rPr>
          <w:bCs/>
        </w:rPr>
        <w:t>на</w:t>
      </w:r>
      <w:r w:rsidRPr="00885CCF">
        <w:rPr>
          <w:bCs/>
        </w:rPr>
        <w:t xml:space="preserve"> и приобщаващ</w:t>
      </w:r>
      <w:r w:rsidR="003F6CA4">
        <w:rPr>
          <w:bCs/>
        </w:rPr>
        <w:t>а</w:t>
      </w:r>
      <w:r w:rsidRPr="00885CCF">
        <w:rPr>
          <w:bCs/>
        </w:rPr>
        <w:t>. Т</w:t>
      </w:r>
      <w:r w:rsidR="003F6CA4">
        <w:rPr>
          <w:bCs/>
        </w:rPr>
        <w:t>я</w:t>
      </w:r>
      <w:r w:rsidRPr="00885CCF">
        <w:rPr>
          <w:bCs/>
        </w:rPr>
        <w:t xml:space="preserve"> се основава на опит, не </w:t>
      </w:r>
      <w:r w:rsidR="003F6CA4">
        <w:rPr>
          <w:bCs/>
        </w:rPr>
        <w:t>на принадлежност</w:t>
      </w:r>
      <w:r w:rsidRPr="00885CCF">
        <w:rPr>
          <w:bCs/>
        </w:rPr>
        <w:t xml:space="preserve"> към една или друга група.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 xml:space="preserve">Председателят заключи, като прикани всички страни да продължат сътрудничеството помежду си за </w:t>
      </w:r>
      <w:r w:rsidR="003F6CA4">
        <w:rPr>
          <w:bCs/>
        </w:rPr>
        <w:t>покриване на най-високите изисквания</w:t>
      </w:r>
      <w:r w:rsidRPr="00885CCF">
        <w:rPr>
          <w:bCs/>
        </w:rPr>
        <w:t xml:space="preserve"> за стандартизация.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lastRenderedPageBreak/>
        <w:t xml:space="preserve">Дейности по стандартизация на големите </w:t>
      </w:r>
      <w:r w:rsidR="003F6CA4">
        <w:t>бази данни</w:t>
      </w:r>
      <w:r w:rsidRPr="00885CCF">
        <w:t xml:space="preserve"> (Big Data </w:t>
      </w:r>
      <w:proofErr w:type="spellStart"/>
      <w:r w:rsidRPr="00885CCF">
        <w:t>Value</w:t>
      </w:r>
      <w:proofErr w:type="spellEnd"/>
      <w:r w:rsidRPr="00885CCF">
        <w:t xml:space="preserve"> </w:t>
      </w:r>
      <w:proofErr w:type="spellStart"/>
      <w:r w:rsidRPr="00885CCF">
        <w:t>Association</w:t>
      </w:r>
      <w:proofErr w:type="spellEnd"/>
      <w:r w:rsidRPr="00885CCF">
        <w:t>)</w:t>
      </w:r>
    </w:p>
    <w:p w:rsidR="004A132F" w:rsidRPr="00885CCF" w:rsidRDefault="008C0951">
      <w:pPr>
        <w:spacing w:before="120" w:after="120"/>
      </w:pPr>
      <w:proofErr w:type="spellStart"/>
      <w:r w:rsidRPr="00885CCF">
        <w:rPr>
          <w:bCs/>
          <w:i/>
        </w:rPr>
        <w:t>Sören</w:t>
      </w:r>
      <w:proofErr w:type="spellEnd"/>
      <w:r w:rsidRPr="00885CCF">
        <w:rPr>
          <w:bCs/>
          <w:i/>
        </w:rPr>
        <w:t xml:space="preserve"> </w:t>
      </w:r>
      <w:proofErr w:type="spellStart"/>
      <w:r w:rsidRPr="00885CCF">
        <w:rPr>
          <w:bCs/>
          <w:i/>
        </w:rPr>
        <w:t>Auer</w:t>
      </w:r>
      <w:proofErr w:type="spellEnd"/>
      <w:r w:rsidRPr="00885CCF">
        <w:rPr>
          <w:bCs/>
          <w:i/>
        </w:rPr>
        <w:t xml:space="preserve"> (</w:t>
      </w:r>
      <w:proofErr w:type="spellStart"/>
      <w:r w:rsidRPr="00885CCF">
        <w:rPr>
          <w:bCs/>
          <w:i/>
        </w:rPr>
        <w:t>Uni-Bonn</w:t>
      </w:r>
      <w:proofErr w:type="spellEnd"/>
      <w:r w:rsidRPr="00885CCF">
        <w:rPr>
          <w:bCs/>
          <w:i/>
        </w:rPr>
        <w:t>/</w:t>
      </w:r>
      <w:proofErr w:type="spellStart"/>
      <w:r w:rsidRPr="00885CCF">
        <w:rPr>
          <w:bCs/>
          <w:i/>
        </w:rPr>
        <w:t>Fraunhofer</w:t>
      </w:r>
      <w:proofErr w:type="spellEnd"/>
      <w:r w:rsidRPr="00885CCF">
        <w:rPr>
          <w:bCs/>
          <w:i/>
        </w:rPr>
        <w:t xml:space="preserve">), представляващ асоциацията Big Data </w:t>
      </w:r>
      <w:proofErr w:type="spellStart"/>
      <w:r w:rsidRPr="00885CCF">
        <w:rPr>
          <w:bCs/>
          <w:i/>
        </w:rPr>
        <w:t>Value</w:t>
      </w:r>
      <w:proofErr w:type="spellEnd"/>
      <w:r w:rsidRPr="00885CCF">
        <w:rPr>
          <w:bCs/>
          <w:i/>
        </w:rPr>
        <w:t xml:space="preserve"> </w:t>
      </w:r>
      <w:proofErr w:type="spellStart"/>
      <w:r w:rsidRPr="00885CCF">
        <w:rPr>
          <w:bCs/>
          <w:i/>
        </w:rPr>
        <w:t>Association</w:t>
      </w:r>
      <w:proofErr w:type="spellEnd"/>
      <w:r w:rsidRPr="00885CCF">
        <w:rPr>
          <w:bCs/>
          <w:i/>
        </w:rPr>
        <w:t xml:space="preserve"> (Асоциацията за) представи док. ИКТ/</w:t>
      </w:r>
      <w:r w:rsidR="00CB7BBE" w:rsidRPr="00CB7BBE">
        <w:t xml:space="preserve"> </w:t>
      </w:r>
      <w:r w:rsidR="00CB7BBE" w:rsidRPr="00CB7BBE">
        <w:rPr>
          <w:bCs/>
          <w:i/>
        </w:rPr>
        <w:t>MSP</w:t>
      </w:r>
      <w:r w:rsidRPr="00885CCF">
        <w:rPr>
          <w:bCs/>
          <w:i/>
        </w:rPr>
        <w:t xml:space="preserve"> (2016)490v1. </w:t>
      </w:r>
      <w:r w:rsidR="00B169BB">
        <w:rPr>
          <w:bCs/>
          <w:i/>
        </w:rPr>
        <w:t>К</w:t>
      </w:r>
      <w:r w:rsidRPr="00885CCF">
        <w:rPr>
          <w:bCs/>
          <w:i/>
        </w:rPr>
        <w:t xml:space="preserve">ратко представяне на организацията и нейните различни дейности </w:t>
      </w:r>
      <w:r w:rsidR="00B169BB">
        <w:rPr>
          <w:bCs/>
          <w:i/>
        </w:rPr>
        <w:t>и</w:t>
      </w:r>
      <w:r w:rsidRPr="00885CCF">
        <w:rPr>
          <w:bCs/>
          <w:i/>
        </w:rPr>
        <w:t xml:space="preserve"> технологиите, използващи големи </w:t>
      </w:r>
      <w:r w:rsidR="00B169BB">
        <w:rPr>
          <w:bCs/>
          <w:i/>
        </w:rPr>
        <w:t>данни</w:t>
      </w:r>
      <w:r w:rsidRPr="00885CCF">
        <w:rPr>
          <w:bCs/>
          <w:i/>
        </w:rPr>
        <w:t xml:space="preserve">, беше последвано от представяне на целта и последните </w:t>
      </w:r>
      <w:r w:rsidR="00B169BB">
        <w:rPr>
          <w:bCs/>
          <w:i/>
        </w:rPr>
        <w:t>дейности</w:t>
      </w:r>
      <w:r w:rsidRPr="00885CCF">
        <w:rPr>
          <w:bCs/>
          <w:i/>
        </w:rPr>
        <w:t>, извършен</w:t>
      </w:r>
      <w:r w:rsidR="00B169BB">
        <w:rPr>
          <w:bCs/>
          <w:i/>
        </w:rPr>
        <w:t>и</w:t>
      </w:r>
      <w:r w:rsidRPr="00885CCF">
        <w:rPr>
          <w:bCs/>
          <w:i/>
        </w:rPr>
        <w:t xml:space="preserve"> от работн</w:t>
      </w:r>
      <w:r w:rsidR="00B169BB">
        <w:rPr>
          <w:bCs/>
          <w:i/>
        </w:rPr>
        <w:t>а група 6 — SG6 стандартизация</w:t>
      </w:r>
      <w:r w:rsidRPr="00885CCF">
        <w:rPr>
          <w:bCs/>
          <w:i/>
        </w:rPr>
        <w:t>, по-специално на Асоциацията за изследване и модел на стандартизация.</w:t>
      </w:r>
      <w:r w:rsidRPr="00885CCF">
        <w:rPr>
          <w:bCs/>
        </w:rPr>
        <w:t xml:space="preserve"> Освен докладването по някои примери, свързани с оперативната съвместимост и дейности по стандартизация в тази област, той също така предостави информация за планираната бъдеща работа на специалната група. BVDA поискаха съвети от членовете </w:t>
      </w:r>
      <w:r w:rsidR="00B169BB">
        <w:rPr>
          <w:bCs/>
        </w:rPr>
        <w:t xml:space="preserve">на </w:t>
      </w:r>
      <w:r w:rsidR="00B169BB" w:rsidRPr="00B169BB">
        <w:rPr>
          <w:bCs/>
        </w:rPr>
        <w:t>MSP</w:t>
      </w:r>
      <w:r w:rsidR="00B169BB" w:rsidRPr="00885CCF">
        <w:rPr>
          <w:bCs/>
        </w:rPr>
        <w:t xml:space="preserve"> </w:t>
      </w:r>
      <w:r w:rsidRPr="00885CCF">
        <w:rPr>
          <w:bCs/>
        </w:rPr>
        <w:t xml:space="preserve">относно: — как да се създаде Европейската мрежа за </w:t>
      </w:r>
      <w:r w:rsidR="00B169BB" w:rsidRPr="00885CCF">
        <w:rPr>
          <w:bCs/>
        </w:rPr>
        <w:t>стандартизация</w:t>
      </w:r>
      <w:r w:rsidR="00B169BB" w:rsidRPr="00885CCF">
        <w:rPr>
          <w:bCs/>
        </w:rPr>
        <w:t xml:space="preserve"> </w:t>
      </w:r>
      <w:r w:rsidR="00B169BB">
        <w:rPr>
          <w:bCs/>
        </w:rPr>
        <w:t xml:space="preserve">на </w:t>
      </w:r>
      <w:r w:rsidRPr="00885CCF">
        <w:rPr>
          <w:bCs/>
        </w:rPr>
        <w:t xml:space="preserve">големи </w:t>
      </w:r>
      <w:r w:rsidR="00B169BB">
        <w:rPr>
          <w:bCs/>
        </w:rPr>
        <w:t>данни</w:t>
      </w:r>
      <w:r w:rsidRPr="00885CCF">
        <w:rPr>
          <w:bCs/>
        </w:rPr>
        <w:t xml:space="preserve">; — как най-добре да се ангажират европейските органи, разработващи стандарти (ETSI) </w:t>
      </w:r>
      <w:r w:rsidR="00B169BB" w:rsidRPr="00885CCF">
        <w:rPr>
          <w:bCs/>
        </w:rPr>
        <w:t xml:space="preserve">с </w:t>
      </w:r>
      <w:r w:rsidRPr="00885CCF">
        <w:rPr>
          <w:bCs/>
        </w:rPr>
        <w:t>разработва</w:t>
      </w:r>
      <w:r w:rsidR="00B169BB">
        <w:rPr>
          <w:bCs/>
        </w:rPr>
        <w:t>нето на</w:t>
      </w:r>
      <w:r w:rsidRPr="00885CCF">
        <w:rPr>
          <w:bCs/>
        </w:rPr>
        <w:t xml:space="preserve"> европейски стандарти и —какъв би бил най-добрият подход за работа с други инициативи (напр. AIOTI) с цел оптимизиране на резултатите в областта на големите </w:t>
      </w:r>
      <w:r w:rsidR="00B169BB">
        <w:rPr>
          <w:bCs/>
        </w:rPr>
        <w:t>данни</w:t>
      </w:r>
      <w:r w:rsidRPr="00885CCF">
        <w:rPr>
          <w:bCs/>
        </w:rPr>
        <w:t>, свързани със стандартите и оперативната съвместимост.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>По време на после</w:t>
      </w:r>
      <w:r w:rsidR="00B169BB">
        <w:rPr>
          <w:bCs/>
        </w:rPr>
        <w:t>двалата дискусия CEN информира</w:t>
      </w:r>
      <w:r w:rsidRPr="00885CCF">
        <w:rPr>
          <w:bCs/>
        </w:rPr>
        <w:t xml:space="preserve"> относно техни</w:t>
      </w:r>
      <w:r w:rsidR="00B169BB">
        <w:rPr>
          <w:bCs/>
        </w:rPr>
        <w:t>я BVDA семинар</w:t>
      </w:r>
      <w:r w:rsidRPr="00885CCF">
        <w:rPr>
          <w:bCs/>
        </w:rPr>
        <w:t xml:space="preserve"> относно големите </w:t>
      </w:r>
      <w:r w:rsidR="00B169BB">
        <w:rPr>
          <w:bCs/>
        </w:rPr>
        <w:t>данни</w:t>
      </w:r>
      <w:r w:rsidRPr="00885CCF">
        <w:rPr>
          <w:bCs/>
        </w:rPr>
        <w:t>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 xml:space="preserve">Членовете на </w:t>
      </w:r>
      <w:r w:rsidR="00B169BB" w:rsidRPr="00B169BB">
        <w:rPr>
          <w:bCs/>
        </w:rPr>
        <w:t>MSP</w:t>
      </w:r>
      <w:r w:rsidRPr="00885CCF">
        <w:rPr>
          <w:bCs/>
        </w:rPr>
        <w:t xml:space="preserve"> поискаха разяснения относно причините, поради които BVDA сч</w:t>
      </w:r>
      <w:r w:rsidR="00B169BB">
        <w:rPr>
          <w:bCs/>
        </w:rPr>
        <w:t>и</w:t>
      </w:r>
      <w:r w:rsidRPr="00885CCF">
        <w:rPr>
          <w:bCs/>
        </w:rPr>
        <w:t>т</w:t>
      </w:r>
      <w:r w:rsidR="00B169BB">
        <w:rPr>
          <w:bCs/>
        </w:rPr>
        <w:t>а</w:t>
      </w:r>
      <w:r w:rsidRPr="00885CCF">
        <w:rPr>
          <w:bCs/>
        </w:rPr>
        <w:t xml:space="preserve"> за необходимо да създаде Европейски комитет за създаването на европейски стандарти, вместо да работят с международните стандарти и оспорва стойността на създаване на отдел</w:t>
      </w:r>
      <w:r w:rsidR="00B169BB">
        <w:rPr>
          <w:bCs/>
        </w:rPr>
        <w:t>ни</w:t>
      </w:r>
      <w:r w:rsidRPr="00885CCF">
        <w:rPr>
          <w:bCs/>
        </w:rPr>
        <w:t xml:space="preserve"> европейски стандарти в тази област. Някои изразиха становище</w:t>
      </w:r>
      <w:r w:rsidR="00B169BB">
        <w:rPr>
          <w:bCs/>
        </w:rPr>
        <w:t>,</w:t>
      </w:r>
      <w:r w:rsidRPr="00885CCF">
        <w:rPr>
          <w:bCs/>
        </w:rPr>
        <w:t xml:space="preserve"> </w:t>
      </w:r>
      <w:r w:rsidR="00B169BB">
        <w:rPr>
          <w:bCs/>
        </w:rPr>
        <w:t>че</w:t>
      </w:r>
      <w:r w:rsidRPr="00885CCF">
        <w:rPr>
          <w:bCs/>
        </w:rPr>
        <w:t xml:space="preserve"> представяне</w:t>
      </w:r>
      <w:r w:rsidR="00B169BB">
        <w:rPr>
          <w:bCs/>
        </w:rPr>
        <w:t>то</w:t>
      </w:r>
      <w:r w:rsidRPr="00885CCF">
        <w:rPr>
          <w:bCs/>
        </w:rPr>
        <w:t xml:space="preserve"> може да доведе до грешно впечатление.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 xml:space="preserve">BVDA отговориха, че по отношение на </w:t>
      </w:r>
      <w:r w:rsidR="00B169BB" w:rsidRPr="00885CCF">
        <w:rPr>
          <w:bCs/>
        </w:rPr>
        <w:t>стандартизация</w:t>
      </w:r>
      <w:r w:rsidR="00B169BB">
        <w:rPr>
          <w:bCs/>
        </w:rPr>
        <w:t>та при</w:t>
      </w:r>
      <w:r w:rsidR="00B169BB" w:rsidRPr="00885CCF">
        <w:rPr>
          <w:bCs/>
        </w:rPr>
        <w:t xml:space="preserve"> </w:t>
      </w:r>
      <w:r w:rsidRPr="00885CCF">
        <w:rPr>
          <w:bCs/>
        </w:rPr>
        <w:t xml:space="preserve">големите </w:t>
      </w:r>
      <w:r w:rsidR="00B169BB">
        <w:rPr>
          <w:bCs/>
        </w:rPr>
        <w:t>данни</w:t>
      </w:r>
      <w:r w:rsidRPr="00885CCF">
        <w:rPr>
          <w:bCs/>
        </w:rPr>
        <w:t>, основните движещи сили са от САЩ и Азия, и че съществува липса на участието на европейски заинтересовани страни, т.е. промишленост</w:t>
      </w:r>
      <w:r w:rsidR="00B169BB">
        <w:rPr>
          <w:bCs/>
        </w:rPr>
        <w:t>та</w:t>
      </w:r>
      <w:r w:rsidRPr="00885CCF">
        <w:rPr>
          <w:bCs/>
        </w:rPr>
        <w:t>. Целта на BVDA в това отношение е да дей</w:t>
      </w:r>
      <w:r w:rsidR="00B169BB">
        <w:rPr>
          <w:bCs/>
        </w:rPr>
        <w:t>ства като катализатор, свързващ</w:t>
      </w:r>
      <w:r w:rsidRPr="00885CCF">
        <w:rPr>
          <w:bCs/>
        </w:rPr>
        <w:t xml:space="preserve"> изследователски и иновационни дейности, извършени от европейската промишленост (т.е. в рамките на „Хоризонт 2020“), и които представляват по-добре европейските интереси в международните органи по стандартизация.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>В отговор на запитване относно наличността на документите относно референтната архитектура BVDA заяви, че те могат да бъдат изтеглени от сайта им (BVDA.eu).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>Относно най-добрия подход за работа с други инициативи, като например AIOTI BVDA, информирах</w:t>
      </w:r>
      <w:r w:rsidR="00B169BB">
        <w:rPr>
          <w:bCs/>
        </w:rPr>
        <w:t>а</w:t>
      </w:r>
      <w:r w:rsidRPr="00885CCF">
        <w:rPr>
          <w:bCs/>
        </w:rPr>
        <w:t xml:space="preserve"> членовете</w:t>
      </w:r>
      <w:r w:rsidR="00B169BB">
        <w:rPr>
          <w:bCs/>
        </w:rPr>
        <w:t>,</w:t>
      </w:r>
      <w:r w:rsidRPr="00885CCF">
        <w:rPr>
          <w:bCs/>
        </w:rPr>
        <w:t xml:space="preserve"> </w:t>
      </w:r>
      <w:r w:rsidR="00B169BB">
        <w:rPr>
          <w:bCs/>
        </w:rPr>
        <w:t xml:space="preserve">че специфична група в AIOTI </w:t>
      </w:r>
      <w:r w:rsidRPr="00885CCF">
        <w:rPr>
          <w:bCs/>
        </w:rPr>
        <w:t xml:space="preserve">би могла да поеме ролята на координатор, тъй като всички заинтересовани страни вече са представени там. BVDA отговориха, че са един представител, но че те търсят повече информация/сътрудничество. Някои други членове подкрепиха идеята </w:t>
      </w:r>
      <w:r w:rsidR="00B169BB">
        <w:rPr>
          <w:bCs/>
        </w:rPr>
        <w:t>да се даде преимущество на</w:t>
      </w:r>
      <w:r w:rsidRPr="00885CCF">
        <w:rPr>
          <w:bCs/>
        </w:rPr>
        <w:t xml:space="preserve"> AIOTI РГ 3 да се погрижи за това.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 xml:space="preserve">По отношение на обществените въпроси, породени от използването на големи </w:t>
      </w:r>
      <w:r w:rsidR="00B169BB">
        <w:rPr>
          <w:bCs/>
        </w:rPr>
        <w:t>данни</w:t>
      </w:r>
      <w:r w:rsidRPr="00885CCF">
        <w:rPr>
          <w:bCs/>
        </w:rPr>
        <w:t xml:space="preserve">, Комисията </w:t>
      </w:r>
      <w:r w:rsidR="00B169BB">
        <w:rPr>
          <w:bCs/>
        </w:rPr>
        <w:t>се насърчава</w:t>
      </w:r>
      <w:r w:rsidR="00B169BB" w:rsidRPr="00885CCF">
        <w:rPr>
          <w:bCs/>
        </w:rPr>
        <w:t xml:space="preserve"> </w:t>
      </w:r>
      <w:r w:rsidRPr="00885CCF">
        <w:rPr>
          <w:bCs/>
        </w:rPr>
        <w:t>да продълж</w:t>
      </w:r>
      <w:r w:rsidR="00B169BB">
        <w:rPr>
          <w:bCs/>
        </w:rPr>
        <w:t>и</w:t>
      </w:r>
      <w:r w:rsidRPr="00885CCF">
        <w:rPr>
          <w:bCs/>
        </w:rPr>
        <w:t xml:space="preserve"> финансирането на научните изследвания в тази област; осигуряване</w:t>
      </w:r>
      <w:r w:rsidR="002716B9">
        <w:rPr>
          <w:bCs/>
        </w:rPr>
        <w:t>то</w:t>
      </w:r>
      <w:r w:rsidRPr="00885CCF">
        <w:rPr>
          <w:bCs/>
        </w:rPr>
        <w:t xml:space="preserve"> на връзка с МСП е от ключово значение за бъдещото развитие на сектора, тъй като промиш</w:t>
      </w:r>
      <w:r w:rsidR="002716B9">
        <w:rPr>
          <w:bCs/>
        </w:rPr>
        <w:t>леността се стреми да възприема</w:t>
      </w:r>
      <w:r w:rsidRPr="00885CCF">
        <w:rPr>
          <w:bCs/>
        </w:rPr>
        <w:t xml:space="preserve"> технологията в пълния ѝ потенциал.</w:t>
      </w:r>
    </w:p>
    <w:p w:rsidR="004A132F" w:rsidRPr="00885CCF" w:rsidRDefault="008C0951">
      <w:pPr>
        <w:spacing w:before="120" w:after="120"/>
        <w:rPr>
          <w:bCs/>
        </w:rPr>
      </w:pPr>
      <w:r w:rsidRPr="00885CCF">
        <w:rPr>
          <w:bCs/>
        </w:rPr>
        <w:t xml:space="preserve">И накрая един член </w:t>
      </w:r>
      <w:r w:rsidR="002716B9">
        <w:rPr>
          <w:bCs/>
        </w:rPr>
        <w:t>подчерта</w:t>
      </w:r>
      <w:r w:rsidRPr="00885CCF">
        <w:rPr>
          <w:bCs/>
        </w:rPr>
        <w:t xml:space="preserve"> една област, в която </w:t>
      </w:r>
      <w:r w:rsidR="002716B9" w:rsidRPr="00885CCF">
        <w:rPr>
          <w:bCs/>
        </w:rPr>
        <w:t>би могло бъде счете</w:t>
      </w:r>
      <w:r w:rsidR="002716B9">
        <w:rPr>
          <w:bCs/>
        </w:rPr>
        <w:t>н за необходим</w:t>
      </w:r>
      <w:r w:rsidR="002716B9" w:rsidRPr="00885CCF">
        <w:rPr>
          <w:bCs/>
        </w:rPr>
        <w:t xml:space="preserve"> </w:t>
      </w:r>
      <w:r w:rsidRPr="00885CCF">
        <w:rPr>
          <w:bCs/>
        </w:rPr>
        <w:t xml:space="preserve">специфичен европейски подход: неприкосновеността на личния живот и защитата на личните данни за гражданите и работата в областта на политиката относно данните, които </w:t>
      </w:r>
      <w:r w:rsidR="002716B9">
        <w:rPr>
          <w:bCs/>
        </w:rPr>
        <w:t>въпроси</w:t>
      </w:r>
      <w:r w:rsidRPr="00885CCF">
        <w:rPr>
          <w:bCs/>
        </w:rPr>
        <w:t xml:space="preserve"> са различни </w:t>
      </w:r>
      <w:r w:rsidR="002716B9">
        <w:rPr>
          <w:bCs/>
        </w:rPr>
        <w:t>за различните</w:t>
      </w:r>
      <w:r w:rsidRPr="00885CCF">
        <w:rPr>
          <w:bCs/>
        </w:rPr>
        <w:t xml:space="preserve"> региони в Европа; затова ще настоява за конкрет</w:t>
      </w:r>
      <w:r w:rsidR="002716B9">
        <w:rPr>
          <w:bCs/>
        </w:rPr>
        <w:t>ен</w:t>
      </w:r>
      <w:r w:rsidRPr="00885CCF">
        <w:rPr>
          <w:bCs/>
        </w:rPr>
        <w:t xml:space="preserve"> европейски подход.</w:t>
      </w:r>
    </w:p>
    <w:p w:rsidR="004A132F" w:rsidRPr="00885CCF" w:rsidRDefault="008C0951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885CCF">
        <w:lastRenderedPageBreak/>
        <w:t>Идентифициране на ИКТ спецификации</w:t>
      </w:r>
    </w:p>
    <w:p w:rsidR="004A132F" w:rsidRPr="00885CCF" w:rsidRDefault="008C0951">
      <w:pPr>
        <w:pStyle w:val="Heading2"/>
        <w:rPr>
          <w:sz w:val="26"/>
          <w:szCs w:val="26"/>
          <w:u w:val="single"/>
        </w:rPr>
      </w:pPr>
      <w:r w:rsidRPr="00885CCF">
        <w:rPr>
          <w:sz w:val="26"/>
          <w:szCs w:val="26"/>
          <w:u w:val="single"/>
        </w:rPr>
        <w:t>Доклади на работна група за оценка</w:t>
      </w:r>
    </w:p>
    <w:p w:rsidR="004A132F" w:rsidRPr="00885CCF" w:rsidRDefault="002716B9" w:rsidP="002716B9">
      <w:pPr>
        <w:pStyle w:val="Heading3"/>
        <w:numPr>
          <w:ilvl w:val="0"/>
          <w:numId w:val="4"/>
        </w:numPr>
      </w:pPr>
      <w:r w:rsidRPr="002716B9">
        <w:t>DANE</w:t>
      </w:r>
      <w:r w:rsidR="008C0951" w:rsidRPr="00885CCF">
        <w:t xml:space="preserve"> SMTP&amp; STARTTLS (IETF) (късно подаване)</w:t>
      </w:r>
    </w:p>
    <w:p w:rsidR="004A132F" w:rsidRPr="00885CCF" w:rsidRDefault="008C0951">
      <w:pPr>
        <w:pStyle w:val="ListParagraph"/>
        <w:ind w:left="0"/>
        <w:jc w:val="both"/>
      </w:pPr>
      <w:proofErr w:type="spellStart"/>
      <w:r w:rsidRPr="00885CCF">
        <w:rPr>
          <w:i/>
        </w:rPr>
        <w:t>Thomas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Reibe</w:t>
      </w:r>
      <w:proofErr w:type="spellEnd"/>
      <w:r w:rsidRPr="00885CCF">
        <w:rPr>
          <w:i/>
        </w:rPr>
        <w:t xml:space="preserve"> (Съобщителни мрежи, съдържание и технологии“) представи резултатите от оценката на DANE SMTP (набор от протоколи, за да се повиши сигурността на интернет, като се позволи ключовете да се поставя</w:t>
      </w:r>
      <w:r w:rsidR="002716B9">
        <w:rPr>
          <w:i/>
        </w:rPr>
        <w:t>т</w:t>
      </w:r>
      <w:r w:rsidRPr="00885CCF">
        <w:rPr>
          <w:i/>
        </w:rPr>
        <w:t xml:space="preserve"> в DNS и обезпечени с DNSSEC) и STARTTLS (спецификации, позволяващи вземането на съществуваща несигурн</w:t>
      </w:r>
      <w:r w:rsidR="002716B9">
        <w:rPr>
          <w:i/>
        </w:rPr>
        <w:t>а</w:t>
      </w:r>
      <w:r w:rsidRPr="00885CCF">
        <w:rPr>
          <w:i/>
        </w:rPr>
        <w:t xml:space="preserve"> връзка и </w:t>
      </w:r>
      <w:r w:rsidR="002716B9">
        <w:rPr>
          <w:i/>
        </w:rPr>
        <w:t>превръщането</w:t>
      </w:r>
      <w:r w:rsidRPr="00885CCF">
        <w:rPr>
          <w:i/>
        </w:rPr>
        <w:t xml:space="preserve"> </w:t>
      </w:r>
      <w:r w:rsidR="002716B9">
        <w:rPr>
          <w:i/>
        </w:rPr>
        <w:t>й</w:t>
      </w:r>
      <w:r w:rsidRPr="00885CCF">
        <w:rPr>
          <w:i/>
        </w:rPr>
        <w:t xml:space="preserve"> </w:t>
      </w:r>
      <w:r w:rsidR="002716B9">
        <w:rPr>
          <w:i/>
        </w:rPr>
        <w:t>в</w:t>
      </w:r>
      <w:r w:rsidRPr="00885CCF">
        <w:rPr>
          <w:i/>
        </w:rPr>
        <w:t xml:space="preserve"> сигурна връзка чрез протокола TLS).</w:t>
      </w:r>
      <w:r w:rsidRPr="00885CCF">
        <w:t xml:space="preserve"> Въз основа на оценката си, комисията предлага </w:t>
      </w:r>
      <w:r w:rsidR="002716B9">
        <w:t>оценка</w:t>
      </w:r>
      <w:r w:rsidRPr="00885CCF">
        <w:t xml:space="preserve"> за идентифициране на спецификация в съответствие с чл. 14 от Регламент № 1025/2012.</w:t>
      </w:r>
    </w:p>
    <w:p w:rsidR="004A132F" w:rsidRPr="00885CCF" w:rsidRDefault="004A132F">
      <w:pPr>
        <w:pStyle w:val="ListParagraph"/>
        <w:ind w:left="0"/>
        <w:jc w:val="both"/>
      </w:pPr>
    </w:p>
    <w:p w:rsidR="004A132F" w:rsidRPr="00885CCF" w:rsidRDefault="008C0951">
      <w:pPr>
        <w:pStyle w:val="ListParagraph"/>
        <w:ind w:left="0"/>
        <w:jc w:val="both"/>
      </w:pPr>
      <w:r w:rsidRPr="00885CCF">
        <w:t>По време на дискусията членовете поискаха преформулиране на част от оценка</w:t>
      </w:r>
      <w:r w:rsidR="002716B9">
        <w:t>та</w:t>
      </w:r>
      <w:r w:rsidRPr="00885CCF">
        <w:t>, ко</w:t>
      </w:r>
      <w:r w:rsidR="002716B9">
        <w:t>ято се отнася до</w:t>
      </w:r>
      <w:r w:rsidRPr="00885CCF">
        <w:t xml:space="preserve"> правата върху интелектуалната собственост.</w:t>
      </w:r>
    </w:p>
    <w:p w:rsidR="004A132F" w:rsidRPr="00885CCF" w:rsidRDefault="004A132F">
      <w:pPr>
        <w:pStyle w:val="ListParagraph"/>
        <w:ind w:left="0"/>
        <w:jc w:val="both"/>
      </w:pPr>
    </w:p>
    <w:p w:rsidR="004A132F" w:rsidRPr="00885CCF" w:rsidRDefault="008C0951">
      <w:pPr>
        <w:pStyle w:val="ListParagraph"/>
        <w:ind w:left="0"/>
        <w:jc w:val="both"/>
      </w:pPr>
      <w:r w:rsidRPr="00885CCF">
        <w:t xml:space="preserve">По искане на председателя </w:t>
      </w:r>
      <w:r w:rsidR="002716B9">
        <w:t>П</w:t>
      </w:r>
      <w:r w:rsidRPr="00885CCF">
        <w:t xml:space="preserve">латформата даде положително становище относно идентифицирането на DANE и STARTTLS с решение на Комисията в </w:t>
      </w:r>
      <w:r w:rsidR="002716B9">
        <w:t>съответствие</w:t>
      </w:r>
      <w:r w:rsidRPr="00885CCF">
        <w:t xml:space="preserve"> с член 14 от Регламент № 1025/2012.</w:t>
      </w:r>
    </w:p>
    <w:p w:rsidR="004A132F" w:rsidRPr="00885CCF" w:rsidRDefault="004A132F">
      <w:pPr>
        <w:pStyle w:val="ListParagraph"/>
        <w:ind w:left="0"/>
        <w:jc w:val="both"/>
      </w:pPr>
    </w:p>
    <w:p w:rsidR="004A132F" w:rsidRPr="00885CCF" w:rsidRDefault="008C0951">
      <w:pPr>
        <w:pStyle w:val="ListParagraph"/>
        <w:ind w:left="0"/>
        <w:jc w:val="both"/>
      </w:pPr>
      <w:r w:rsidRPr="00885CCF">
        <w:t xml:space="preserve">Комисията поиска от членовете на </w:t>
      </w:r>
      <w:r w:rsidR="002716B9">
        <w:t>П</w:t>
      </w:r>
      <w:r w:rsidRPr="00885CCF">
        <w:t>латформ</w:t>
      </w:r>
      <w:r w:rsidR="002716B9">
        <w:t>ата</w:t>
      </w:r>
      <w:r w:rsidRPr="00885CCF">
        <w:t xml:space="preserve"> да </w:t>
      </w:r>
      <w:r w:rsidR="002716B9">
        <w:t>предложат експерти</w:t>
      </w:r>
      <w:r w:rsidRPr="00885CCF">
        <w:t xml:space="preserve"> в рамките на следващите 2 седмици, за да </w:t>
      </w:r>
      <w:r w:rsidR="002716B9">
        <w:t xml:space="preserve">се </w:t>
      </w:r>
      <w:r w:rsidRPr="00885CCF">
        <w:t>провер</w:t>
      </w:r>
      <w:r w:rsidR="002716B9">
        <w:t>ят</w:t>
      </w:r>
      <w:r w:rsidRPr="00885CCF">
        <w:t xml:space="preserve"> идентификационните оценк</w:t>
      </w:r>
      <w:r w:rsidR="002716B9">
        <w:t>и</w:t>
      </w:r>
      <w:r w:rsidRPr="00885CCF">
        <w:t>.</w:t>
      </w:r>
    </w:p>
    <w:p w:rsidR="004A132F" w:rsidRPr="00885CCF" w:rsidRDefault="004A132F">
      <w:pPr>
        <w:pStyle w:val="ListParagraph"/>
        <w:ind w:left="1418"/>
        <w:jc w:val="both"/>
        <w:rPr>
          <w:u w:val="single"/>
        </w:rPr>
      </w:pPr>
    </w:p>
    <w:p w:rsidR="004A132F" w:rsidRPr="00885CCF" w:rsidRDefault="008C0951">
      <w:pPr>
        <w:pStyle w:val="Heading2"/>
        <w:rPr>
          <w:sz w:val="26"/>
          <w:szCs w:val="26"/>
          <w:u w:val="single"/>
        </w:rPr>
      </w:pPr>
      <w:r w:rsidRPr="00885CCF">
        <w:rPr>
          <w:sz w:val="26"/>
          <w:szCs w:val="26"/>
          <w:u w:val="single"/>
        </w:rPr>
        <w:t>Нови ИКТ техническа спецификация, предложени за идентификация</w:t>
      </w:r>
    </w:p>
    <w:p w:rsidR="002716B9" w:rsidRPr="00377732" w:rsidRDefault="002716B9" w:rsidP="00982DCD">
      <w:pPr>
        <w:pStyle w:val="Heading3"/>
        <w:numPr>
          <w:ilvl w:val="0"/>
          <w:numId w:val="4"/>
        </w:numPr>
      </w:pPr>
      <w:r w:rsidRPr="00377732">
        <w:t xml:space="preserve">RDA TS: RDA цитиране на данни за развитие на данни (Data Citation </w:t>
      </w:r>
      <w:proofErr w:type="spellStart"/>
      <w:r w:rsidRPr="00377732">
        <w:t>of</w:t>
      </w:r>
      <w:proofErr w:type="spellEnd"/>
      <w:r w:rsidRPr="00377732">
        <w:t xml:space="preserve"> Evolving Data); RDA </w:t>
      </w:r>
      <w:r w:rsidR="00982DCD" w:rsidRPr="00982DCD">
        <w:t xml:space="preserve">Модел за описание на данни за (поддръжка)на регистри за оперативна съвместимост </w:t>
      </w:r>
      <w:r w:rsidR="00982DCD">
        <w:t>(</w:t>
      </w:r>
      <w:r w:rsidRPr="00377732">
        <w:t xml:space="preserve">Data </w:t>
      </w:r>
      <w:proofErr w:type="spellStart"/>
      <w:r w:rsidRPr="00377732">
        <w:t>Description</w:t>
      </w:r>
      <w:proofErr w:type="spellEnd"/>
      <w:r w:rsidRPr="00377732">
        <w:t xml:space="preserve"> </w:t>
      </w:r>
      <w:proofErr w:type="spellStart"/>
      <w:r w:rsidRPr="00377732">
        <w:t>Registry</w:t>
      </w:r>
      <w:proofErr w:type="spellEnd"/>
      <w:r w:rsidRPr="00377732">
        <w:t xml:space="preserve"> </w:t>
      </w:r>
      <w:proofErr w:type="spellStart"/>
      <w:r w:rsidRPr="00377732">
        <w:t>Interoperability</w:t>
      </w:r>
      <w:proofErr w:type="spellEnd"/>
      <w:r w:rsidRPr="00377732">
        <w:t xml:space="preserve"> </w:t>
      </w:r>
      <w:proofErr w:type="spellStart"/>
      <w:r w:rsidRPr="00377732">
        <w:t>Model</w:t>
      </w:r>
      <w:proofErr w:type="spellEnd"/>
      <w:r w:rsidR="00982DCD">
        <w:t>)</w:t>
      </w:r>
      <w:r w:rsidRPr="00377732">
        <w:t>; RDA/WDS</w:t>
      </w:r>
      <w:r w:rsidR="00377732" w:rsidRPr="00377732">
        <w:t xml:space="preserve"> Каталози за одитни хранилища и сертификация (</w:t>
      </w:r>
      <w:r w:rsidRPr="00377732">
        <w:t xml:space="preserve">Repository </w:t>
      </w:r>
      <w:proofErr w:type="spellStart"/>
      <w:r w:rsidRPr="00377732">
        <w:t>Audit</w:t>
      </w:r>
      <w:proofErr w:type="spellEnd"/>
      <w:r w:rsidRPr="00377732">
        <w:t xml:space="preserve"> </w:t>
      </w:r>
      <w:proofErr w:type="spellStart"/>
      <w:r w:rsidRPr="00377732">
        <w:t>and</w:t>
      </w:r>
      <w:proofErr w:type="spellEnd"/>
      <w:r w:rsidRPr="00377732">
        <w:t xml:space="preserve"> </w:t>
      </w:r>
      <w:proofErr w:type="spellStart"/>
      <w:r w:rsidRPr="00377732">
        <w:t>Certification</w:t>
      </w:r>
      <w:proofErr w:type="spellEnd"/>
      <w:r w:rsidRPr="00377732">
        <w:t xml:space="preserve"> </w:t>
      </w:r>
      <w:proofErr w:type="spellStart"/>
      <w:r w:rsidRPr="00377732">
        <w:t>Catalogues</w:t>
      </w:r>
      <w:proofErr w:type="spellEnd"/>
      <w:r w:rsidR="00377732" w:rsidRPr="00377732">
        <w:t>)</w:t>
      </w:r>
      <w:r w:rsidRPr="00377732">
        <w:t xml:space="preserve">; RDA/WDS </w:t>
      </w:r>
      <w:r w:rsidR="00377732" w:rsidRPr="00377732">
        <w:t>Работни процеси за научни изследвания (</w:t>
      </w:r>
      <w:r w:rsidRPr="00377732">
        <w:t xml:space="preserve">Workflows </w:t>
      </w:r>
      <w:proofErr w:type="spellStart"/>
      <w:r w:rsidRPr="00377732">
        <w:t>for</w:t>
      </w:r>
      <w:proofErr w:type="spellEnd"/>
      <w:r w:rsidRPr="00377732">
        <w:t xml:space="preserve"> </w:t>
      </w:r>
      <w:proofErr w:type="spellStart"/>
      <w:r w:rsidRPr="00377732">
        <w:t>Research</w:t>
      </w:r>
      <w:proofErr w:type="spellEnd"/>
      <w:r w:rsidRPr="00377732">
        <w:t xml:space="preserve"> Data </w:t>
      </w:r>
      <w:proofErr w:type="spellStart"/>
      <w:r w:rsidRPr="00377732">
        <w:t>Publishing</w:t>
      </w:r>
      <w:proofErr w:type="spellEnd"/>
      <w:r w:rsidRPr="00377732">
        <w:t xml:space="preserve"> </w:t>
      </w:r>
      <w:proofErr w:type="spellStart"/>
      <w:r w:rsidRPr="00377732">
        <w:t>Model</w:t>
      </w:r>
      <w:proofErr w:type="spellEnd"/>
      <w:r w:rsidR="00377732" w:rsidRPr="00377732">
        <w:t>)</w:t>
      </w:r>
      <w:r w:rsidRPr="00377732">
        <w:t xml:space="preserve">; RDA/WDS </w:t>
      </w:r>
      <w:r w:rsidR="00377732" w:rsidRPr="00377732">
        <w:t>Услуги за публикуване на данни (</w:t>
      </w:r>
      <w:proofErr w:type="spellStart"/>
      <w:r w:rsidRPr="00377732">
        <w:t>Publishing</w:t>
      </w:r>
      <w:proofErr w:type="spellEnd"/>
      <w:r w:rsidRPr="00377732">
        <w:t xml:space="preserve"> Data Services</w:t>
      </w:r>
      <w:r w:rsidR="00377732" w:rsidRPr="00377732">
        <w:t>)</w:t>
      </w:r>
      <w:r w:rsidRPr="00377732">
        <w:t>.</w:t>
      </w:r>
    </w:p>
    <w:p w:rsidR="004A132F" w:rsidRPr="00885CCF" w:rsidRDefault="00377732">
      <w:r>
        <w:t xml:space="preserve">Членовете на </w:t>
      </w:r>
      <w:r w:rsidRPr="00377732">
        <w:t>MSP</w:t>
      </w:r>
      <w:r w:rsidR="008C0951" w:rsidRPr="00885CCF">
        <w:t xml:space="preserve"> се договориха да създадат група за </w:t>
      </w:r>
      <w:r>
        <w:t>оценка</w:t>
      </w:r>
      <w:r w:rsidR="008C0951" w:rsidRPr="00885CCF">
        <w:t>.</w:t>
      </w:r>
    </w:p>
    <w:p w:rsidR="004A132F" w:rsidRPr="00885CCF" w:rsidRDefault="008C0951">
      <w:r w:rsidRPr="00885CCF">
        <w:t xml:space="preserve">ООН CEFACT </w:t>
      </w:r>
      <w:r w:rsidR="00377732">
        <w:t xml:space="preserve">изяви </w:t>
      </w:r>
      <w:r w:rsidRPr="00885CCF">
        <w:t>желание да го председателства и UK, DE, ETSI, изяви</w:t>
      </w:r>
      <w:r w:rsidR="00377732">
        <w:t>ха</w:t>
      </w:r>
      <w:r w:rsidRPr="00885CCF">
        <w:t xml:space="preserve"> желание да бъд</w:t>
      </w:r>
      <w:r w:rsidR="00377732">
        <w:t>ат</w:t>
      </w:r>
      <w:r w:rsidRPr="00885CCF">
        <w:t xml:space="preserve"> част от Работната група за </w:t>
      </w:r>
      <w:r w:rsidR="00377732">
        <w:t>оценка</w:t>
      </w:r>
      <w:r w:rsidRPr="00885CCF">
        <w:t>. Две седмици, за да получат повече доброволци.</w:t>
      </w:r>
    </w:p>
    <w:p w:rsidR="004A132F" w:rsidRPr="00885CCF" w:rsidRDefault="008C0951">
      <w:pPr>
        <w:pStyle w:val="Heading2"/>
        <w:rPr>
          <w:sz w:val="26"/>
          <w:szCs w:val="26"/>
          <w:u w:val="single"/>
        </w:rPr>
      </w:pPr>
      <w:r w:rsidRPr="00885CCF">
        <w:rPr>
          <w:sz w:val="26"/>
          <w:szCs w:val="26"/>
          <w:u w:val="single"/>
        </w:rPr>
        <w:t>Актуална информация относно текущите обозначения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>Актуално състояние на консултация с експерти от сектора SPF (IETF) и IRI</w:t>
      </w:r>
    </w:p>
    <w:p w:rsidR="004A132F" w:rsidRPr="00885CCF" w:rsidRDefault="008C0951">
      <w:pPr>
        <w:spacing w:after="0"/>
      </w:pPr>
      <w:proofErr w:type="spellStart"/>
      <w:r w:rsidRPr="00885CCF">
        <w:rPr>
          <w:i/>
        </w:rPr>
        <w:t>Antonio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Conte</w:t>
      </w:r>
      <w:proofErr w:type="spellEnd"/>
      <w:r w:rsidRPr="00885CCF">
        <w:rPr>
          <w:i/>
        </w:rPr>
        <w:t xml:space="preserve"> (ГД GROW) докладва, че в случая SPF </w:t>
      </w:r>
      <w:r w:rsidR="00377732">
        <w:rPr>
          <w:i/>
        </w:rPr>
        <w:t xml:space="preserve">не </w:t>
      </w:r>
      <w:r w:rsidR="00377732" w:rsidRPr="00885CCF">
        <w:rPr>
          <w:i/>
        </w:rPr>
        <w:t>могат да бъдат намерени</w:t>
      </w:r>
      <w:r w:rsidR="00377732" w:rsidRPr="00885CCF">
        <w:rPr>
          <w:i/>
        </w:rPr>
        <w:t xml:space="preserve"> </w:t>
      </w:r>
      <w:r w:rsidRPr="00885CCF">
        <w:rPr>
          <w:i/>
        </w:rPr>
        <w:t>никакви външни експерти.</w:t>
      </w:r>
      <w:r w:rsidRPr="00885CCF">
        <w:t xml:space="preserve"> Поради това определянето на SPF техническа спецификация е забавено. Някои членове посочиха, че са предоставили някои наименования; Г-н </w:t>
      </w:r>
      <w:proofErr w:type="spellStart"/>
      <w:r w:rsidRPr="00885CCF">
        <w:t>Conte</w:t>
      </w:r>
      <w:proofErr w:type="spellEnd"/>
      <w:r w:rsidRPr="00885CCF">
        <w:t xml:space="preserve"> обясни, че предложените експерти за съжаление не </w:t>
      </w:r>
      <w:r w:rsidR="00377732">
        <w:t xml:space="preserve">са </w:t>
      </w:r>
      <w:r w:rsidRPr="00885CCF">
        <w:t>се отзова</w:t>
      </w:r>
      <w:r w:rsidR="00377732">
        <w:t>ли</w:t>
      </w:r>
      <w:r w:rsidRPr="00885CCF">
        <w:t xml:space="preserve"> на искането на Комисията.</w:t>
      </w:r>
    </w:p>
    <w:p w:rsidR="004A132F" w:rsidRPr="00885CCF" w:rsidRDefault="004A132F">
      <w:pPr>
        <w:spacing w:after="0"/>
      </w:pPr>
    </w:p>
    <w:p w:rsidR="004A132F" w:rsidRPr="00885CCF" w:rsidRDefault="00377732">
      <w:pPr>
        <w:spacing w:after="0"/>
      </w:pPr>
      <w:r>
        <w:lastRenderedPageBreak/>
        <w:t>Ч</w:t>
      </w:r>
      <w:r w:rsidRPr="00885CCF">
        <w:t xml:space="preserve">леновете </w:t>
      </w:r>
      <w:r>
        <w:t xml:space="preserve">на </w:t>
      </w:r>
      <w:r w:rsidR="008C0951" w:rsidRPr="00885CCF">
        <w:t>Платформата бяха приканени да предоставят име</w:t>
      </w:r>
      <w:r>
        <w:t>на</w:t>
      </w:r>
      <w:r w:rsidR="008C0951" w:rsidRPr="00885CCF">
        <w:t xml:space="preserve"> на допълнителни експерти, които могат да бъдат канени да участват в консултациите, някои държави членки обявиха, че ще се опита</w:t>
      </w:r>
      <w:r>
        <w:t>т</w:t>
      </w:r>
      <w:r w:rsidR="008C0951" w:rsidRPr="00885CCF">
        <w:t xml:space="preserve"> да намер</w:t>
      </w:r>
      <w:r>
        <w:t>ят</w:t>
      </w:r>
      <w:r w:rsidR="008C0951" w:rsidRPr="00885CCF">
        <w:t xml:space="preserve"> експерти.</w:t>
      </w:r>
    </w:p>
    <w:p w:rsidR="004A132F" w:rsidRPr="00885CCF" w:rsidRDefault="004A132F">
      <w:pPr>
        <w:spacing w:after="0"/>
      </w:pPr>
    </w:p>
    <w:p w:rsidR="004A132F" w:rsidRPr="00885CCF" w:rsidRDefault="008C0951">
      <w:pPr>
        <w:spacing w:after="0"/>
      </w:pPr>
      <w:r w:rsidRPr="00885CCF">
        <w:t>По отношение на IRI, консултация</w:t>
      </w:r>
      <w:r w:rsidR="00377732">
        <w:t>та</w:t>
      </w:r>
      <w:r w:rsidRPr="00885CCF">
        <w:t xml:space="preserve"> със секторни експерти </w:t>
      </w:r>
      <w:r w:rsidR="00377732">
        <w:t xml:space="preserve">е </w:t>
      </w:r>
      <w:r w:rsidRPr="00885CCF">
        <w:t>приключи</w:t>
      </w:r>
      <w:r w:rsidR="00377732">
        <w:t>ла</w:t>
      </w:r>
      <w:r w:rsidRPr="00885CCF">
        <w:t xml:space="preserve">. Настоящата техническа спецификация, сега </w:t>
      </w:r>
      <w:r w:rsidR="00377732">
        <w:t>е</w:t>
      </w:r>
      <w:r w:rsidRPr="00885CCF">
        <w:t xml:space="preserve"> допустим</w:t>
      </w:r>
      <w:r w:rsidR="00377732">
        <w:t>а</w:t>
      </w:r>
      <w:r w:rsidRPr="00885CCF">
        <w:t xml:space="preserve"> за идентификация.</w:t>
      </w:r>
    </w:p>
    <w:p w:rsidR="004A132F" w:rsidRPr="00885CCF" w:rsidRDefault="004A132F">
      <w:pPr>
        <w:spacing w:after="0"/>
      </w:pP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>Актуализиране на следващото решение на Комисията</w:t>
      </w:r>
    </w:p>
    <w:p w:rsidR="004A132F" w:rsidRPr="00885CCF" w:rsidRDefault="008C0951">
      <w:pPr>
        <w:spacing w:after="0"/>
        <w:rPr>
          <w:i/>
        </w:rPr>
      </w:pPr>
      <w:proofErr w:type="spellStart"/>
      <w:r w:rsidRPr="00885CCF">
        <w:rPr>
          <w:i/>
        </w:rPr>
        <w:t>Belen</w:t>
      </w:r>
      <w:proofErr w:type="spellEnd"/>
      <w:r w:rsidRPr="00885CCF">
        <w:rPr>
          <w:i/>
        </w:rPr>
        <w:t xml:space="preserve"> </w:t>
      </w:r>
      <w:proofErr w:type="spellStart"/>
      <w:r w:rsidR="00377732" w:rsidRPr="00377732">
        <w:rPr>
          <w:i/>
        </w:rPr>
        <w:t>Martínez</w:t>
      </w:r>
      <w:proofErr w:type="spellEnd"/>
      <w:r w:rsidRPr="00885CCF">
        <w:rPr>
          <w:i/>
        </w:rPr>
        <w:t xml:space="preserve"> (ГД GROW) обяви, че междуведомствена консултация на Комисията, скоро ще започн</w:t>
      </w:r>
      <w:r w:rsidR="00377732">
        <w:rPr>
          <w:i/>
        </w:rPr>
        <w:t xml:space="preserve">е </w:t>
      </w:r>
      <w:r w:rsidRPr="00885CCF">
        <w:rPr>
          <w:i/>
        </w:rPr>
        <w:t xml:space="preserve">и обясни, че е имало няколко месеца на </w:t>
      </w:r>
      <w:r w:rsidR="00377732">
        <w:rPr>
          <w:i/>
        </w:rPr>
        <w:t>изчакване на</w:t>
      </w:r>
      <w:r w:rsidRPr="00885CCF">
        <w:rPr>
          <w:i/>
        </w:rPr>
        <w:t xml:space="preserve"> приключването на </w:t>
      </w:r>
      <w:r w:rsidR="00377732">
        <w:rPr>
          <w:i/>
        </w:rPr>
        <w:t>експертната оценка</w:t>
      </w:r>
      <w:r w:rsidRPr="00885CCF">
        <w:rPr>
          <w:i/>
        </w:rPr>
        <w:t xml:space="preserve">. предпоставка за член 13 от Регламент 1025/2013-, след като </w:t>
      </w:r>
      <w:r w:rsidR="00CB7BBE" w:rsidRPr="00CB7BBE">
        <w:rPr>
          <w:i/>
        </w:rPr>
        <w:t>MSP</w:t>
      </w:r>
      <w:r w:rsidRPr="00885CCF">
        <w:rPr>
          <w:i/>
        </w:rPr>
        <w:t xml:space="preserve"> </w:t>
      </w:r>
      <w:r w:rsidR="00CB7BBE">
        <w:rPr>
          <w:i/>
        </w:rPr>
        <w:t xml:space="preserve">е дала </w:t>
      </w:r>
      <w:r w:rsidRPr="00885CCF">
        <w:rPr>
          <w:i/>
        </w:rPr>
        <w:t>положителн</w:t>
      </w:r>
      <w:r w:rsidR="00CB7BBE">
        <w:rPr>
          <w:i/>
        </w:rPr>
        <w:t>о</w:t>
      </w:r>
      <w:r w:rsidRPr="00885CCF">
        <w:rPr>
          <w:i/>
        </w:rPr>
        <w:t xml:space="preserve"> </w:t>
      </w:r>
      <w:r w:rsidR="00CB7BBE">
        <w:rPr>
          <w:i/>
        </w:rPr>
        <w:t xml:space="preserve">мнение </w:t>
      </w:r>
      <w:r w:rsidRPr="00885CCF">
        <w:rPr>
          <w:i/>
        </w:rPr>
        <w:t xml:space="preserve">- по-специално на SPF, четирите </w:t>
      </w:r>
      <w:r w:rsidR="00CB7BBE" w:rsidRPr="00CB7BBE">
        <w:rPr>
          <w:i/>
        </w:rPr>
        <w:t>RDA</w:t>
      </w:r>
      <w:r w:rsidRPr="00885CCF">
        <w:rPr>
          <w:i/>
        </w:rPr>
        <w:t xml:space="preserve"> технически спецификации и IRI.</w:t>
      </w:r>
    </w:p>
    <w:p w:rsidR="004A132F" w:rsidRPr="00885CCF" w:rsidRDefault="004A132F">
      <w:pPr>
        <w:spacing w:after="0"/>
      </w:pPr>
    </w:p>
    <w:p w:rsidR="004A132F" w:rsidRPr="00885CCF" w:rsidRDefault="008C0951">
      <w:pPr>
        <w:spacing w:after="0"/>
      </w:pPr>
      <w:r w:rsidRPr="00885CCF">
        <w:t xml:space="preserve">За момента </w:t>
      </w:r>
      <w:r w:rsidR="00CB7BBE">
        <w:t>има планове</w:t>
      </w:r>
      <w:r w:rsidRPr="00885CCF">
        <w:t xml:space="preserve"> </w:t>
      </w:r>
      <w:r w:rsidR="00CB7BBE">
        <w:t>да се идентифицират:</w:t>
      </w:r>
      <w:r w:rsidRPr="00885CCF">
        <w:t xml:space="preserve"> </w:t>
      </w:r>
      <w:r w:rsidR="00CB7BBE" w:rsidRPr="00CB7BBE">
        <w:t xml:space="preserve">SKOS, RDF 1.0 &amp; 1.1, SMP 1.0, AS2, IRI </w:t>
      </w:r>
      <w:proofErr w:type="spellStart"/>
      <w:r w:rsidR="00CB7BBE" w:rsidRPr="00CB7BBE">
        <w:t>and</w:t>
      </w:r>
      <w:proofErr w:type="spellEnd"/>
      <w:r w:rsidR="00CB7BBE" w:rsidRPr="00CB7BBE">
        <w:t xml:space="preserve"> </w:t>
      </w:r>
      <w:proofErr w:type="spellStart"/>
      <w:r w:rsidR="00CB7BBE" w:rsidRPr="00CB7BBE">
        <w:t>the</w:t>
      </w:r>
      <w:proofErr w:type="spellEnd"/>
      <w:r w:rsidR="00CB7BBE" w:rsidRPr="00CB7BBE">
        <w:t xml:space="preserve"> </w:t>
      </w:r>
      <w:proofErr w:type="spellStart"/>
      <w:r w:rsidR="00CB7BBE" w:rsidRPr="00CB7BBE">
        <w:t>four</w:t>
      </w:r>
      <w:proofErr w:type="spellEnd"/>
      <w:r w:rsidR="00CB7BBE" w:rsidRPr="00CB7BBE">
        <w:t xml:space="preserve"> RDA 'Data Foundation &amp; </w:t>
      </w:r>
      <w:proofErr w:type="spellStart"/>
      <w:r w:rsidR="00CB7BBE" w:rsidRPr="00CB7BBE">
        <w:t>Terminology</w:t>
      </w:r>
      <w:proofErr w:type="spellEnd"/>
      <w:r w:rsidR="00CB7BBE" w:rsidRPr="00CB7BBE">
        <w:t xml:space="preserve"> </w:t>
      </w:r>
      <w:proofErr w:type="spellStart"/>
      <w:r w:rsidR="00CB7BBE" w:rsidRPr="00CB7BBE">
        <w:t>Model</w:t>
      </w:r>
      <w:proofErr w:type="spellEnd"/>
      <w:r w:rsidR="00CB7BBE" w:rsidRPr="00CB7BBE">
        <w:t xml:space="preserve">', 'PID </w:t>
      </w:r>
      <w:proofErr w:type="spellStart"/>
      <w:r w:rsidR="00CB7BBE" w:rsidRPr="00CB7BBE">
        <w:t>Information</w:t>
      </w:r>
      <w:proofErr w:type="spellEnd"/>
      <w:r w:rsidR="00CB7BBE" w:rsidRPr="00CB7BBE">
        <w:t xml:space="preserve"> </w:t>
      </w:r>
      <w:proofErr w:type="spellStart"/>
      <w:r w:rsidR="00CB7BBE" w:rsidRPr="00CB7BBE">
        <w:t>Types</w:t>
      </w:r>
      <w:proofErr w:type="spellEnd"/>
      <w:r w:rsidR="00CB7BBE" w:rsidRPr="00CB7BBE">
        <w:t xml:space="preserve"> API', 'Data </w:t>
      </w:r>
      <w:proofErr w:type="spellStart"/>
      <w:r w:rsidR="00CB7BBE" w:rsidRPr="00CB7BBE">
        <w:t>Type</w:t>
      </w:r>
      <w:proofErr w:type="spellEnd"/>
      <w:r w:rsidR="00CB7BBE" w:rsidRPr="00CB7BBE">
        <w:t xml:space="preserve"> </w:t>
      </w:r>
      <w:proofErr w:type="spellStart"/>
      <w:r w:rsidR="00CB7BBE" w:rsidRPr="00CB7BBE">
        <w:t>Registries</w:t>
      </w:r>
      <w:proofErr w:type="spellEnd"/>
      <w:r w:rsidR="00CB7BBE" w:rsidRPr="00CB7BBE">
        <w:t xml:space="preserve"> </w:t>
      </w:r>
      <w:proofErr w:type="spellStart"/>
      <w:r w:rsidR="00CB7BBE" w:rsidRPr="00CB7BBE">
        <w:t>Model</w:t>
      </w:r>
      <w:proofErr w:type="spellEnd"/>
      <w:r w:rsidR="00CB7BBE" w:rsidRPr="00CB7BBE">
        <w:t xml:space="preserve">' </w:t>
      </w:r>
      <w:proofErr w:type="spellStart"/>
      <w:r w:rsidR="00CB7BBE" w:rsidRPr="00CB7BBE">
        <w:t>and</w:t>
      </w:r>
      <w:proofErr w:type="spellEnd"/>
      <w:r w:rsidR="00CB7BBE" w:rsidRPr="00CB7BBE">
        <w:t xml:space="preserve"> '</w:t>
      </w:r>
      <w:proofErr w:type="spellStart"/>
      <w:r w:rsidR="00CB7BBE" w:rsidRPr="00CB7BBE">
        <w:t>Practical</w:t>
      </w:r>
      <w:proofErr w:type="spellEnd"/>
      <w:r w:rsidR="00CB7BBE" w:rsidRPr="00CB7BBE">
        <w:t xml:space="preserve"> </w:t>
      </w:r>
      <w:proofErr w:type="spellStart"/>
      <w:r w:rsidR="00CB7BBE" w:rsidRPr="00CB7BBE">
        <w:t>Policies</w:t>
      </w:r>
      <w:proofErr w:type="spellEnd"/>
      <w:r w:rsidR="00CB7BBE" w:rsidRPr="00CB7BBE">
        <w:t xml:space="preserve"> </w:t>
      </w:r>
      <w:proofErr w:type="spellStart"/>
      <w:r w:rsidR="00CB7BBE" w:rsidRPr="00CB7BBE">
        <w:t>Recommendations</w:t>
      </w:r>
      <w:proofErr w:type="spellEnd"/>
      <w:r w:rsidR="00CB7BBE" w:rsidRPr="00CB7BBE">
        <w:t xml:space="preserve">' </w:t>
      </w:r>
      <w:proofErr w:type="spellStart"/>
      <w:r w:rsidR="00CB7BBE" w:rsidRPr="00CB7BBE">
        <w:t>technical</w:t>
      </w:r>
      <w:proofErr w:type="spellEnd"/>
      <w:r w:rsidR="00CB7BBE" w:rsidRPr="00CB7BBE">
        <w:t xml:space="preserve"> </w:t>
      </w:r>
      <w:proofErr w:type="spellStart"/>
      <w:r w:rsidR="00CB7BBE" w:rsidRPr="00CB7BBE">
        <w:t>specifications</w:t>
      </w:r>
      <w:proofErr w:type="spellEnd"/>
      <w:r w:rsidRPr="00885CCF">
        <w:t xml:space="preserve">. SPF е </w:t>
      </w:r>
      <w:r w:rsidR="00CB7BBE">
        <w:t>приключила с набирането на</w:t>
      </w:r>
      <w:r w:rsidRPr="00885CCF">
        <w:t xml:space="preserve"> експерти, но биха могли да бъдат включени</w:t>
      </w:r>
      <w:r w:rsidR="00CB7BBE">
        <w:t xml:space="preserve"> и други</w:t>
      </w:r>
      <w:r w:rsidRPr="00885CCF">
        <w:t xml:space="preserve">, ако консултацията приключи през следващите седмици. Същото може да се случи с IETF DANE и &amp; STARTTLS ако консултациите на експертите могат да бъдат приключени през следващите месеци. В противен случай процесът </w:t>
      </w:r>
      <w:r w:rsidR="00CB7BBE">
        <w:t>на идентификация ще се отложи за</w:t>
      </w:r>
      <w:r w:rsidRPr="00885CCF">
        <w:t xml:space="preserve"> по-късен етап.</w:t>
      </w:r>
    </w:p>
    <w:p w:rsidR="004A132F" w:rsidRPr="00885CCF" w:rsidRDefault="004A132F">
      <w:pPr>
        <w:spacing w:after="0"/>
      </w:pPr>
    </w:p>
    <w:p w:rsidR="004A132F" w:rsidRPr="00885CCF" w:rsidRDefault="008C0951">
      <w:pPr>
        <w:pStyle w:val="Heading2"/>
        <w:rPr>
          <w:sz w:val="26"/>
          <w:szCs w:val="26"/>
          <w:u w:val="single"/>
        </w:rPr>
      </w:pPr>
      <w:r w:rsidRPr="00885CCF">
        <w:rPr>
          <w:sz w:val="26"/>
          <w:szCs w:val="26"/>
          <w:u w:val="single"/>
        </w:rPr>
        <w:t xml:space="preserve">ИКТ техническите спецификации в платформата </w:t>
      </w:r>
      <w:proofErr w:type="spellStart"/>
      <w:r w:rsidRPr="00885CCF">
        <w:rPr>
          <w:sz w:val="26"/>
          <w:szCs w:val="26"/>
          <w:u w:val="single"/>
        </w:rPr>
        <w:t>Joinup</w:t>
      </w:r>
      <w:proofErr w:type="spellEnd"/>
    </w:p>
    <w:p w:rsidR="004A132F" w:rsidRPr="00885CCF" w:rsidRDefault="008C0951">
      <w:pPr>
        <w:spacing w:after="0"/>
        <w:rPr>
          <w:i/>
        </w:rPr>
      </w:pPr>
      <w:proofErr w:type="spellStart"/>
      <w:r w:rsidRPr="00885CCF">
        <w:rPr>
          <w:i/>
        </w:rPr>
        <w:t>Szabolcs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Szekacs</w:t>
      </w:r>
      <w:proofErr w:type="spellEnd"/>
      <w:r w:rsidRPr="00885CCF">
        <w:rPr>
          <w:i/>
        </w:rPr>
        <w:t xml:space="preserve"> F3 (ГД „Вътрешен пазар“) представи документи ИКТ/</w:t>
      </w:r>
      <w:r w:rsidR="00173D13" w:rsidRPr="00173D13">
        <w:t xml:space="preserve"> </w:t>
      </w:r>
      <w:r w:rsidR="00173D13" w:rsidRPr="00173D13">
        <w:rPr>
          <w:i/>
        </w:rPr>
        <w:t>MSP</w:t>
      </w:r>
      <w:r w:rsidRPr="00885CCF">
        <w:rPr>
          <w:i/>
        </w:rPr>
        <w:t xml:space="preserve"> (2017) 475 &amp; 484, за да обясни идеята да се използва платформата </w:t>
      </w:r>
      <w:proofErr w:type="spellStart"/>
      <w:r w:rsidRPr="00885CCF">
        <w:rPr>
          <w:i/>
        </w:rPr>
        <w:t>Joinup</w:t>
      </w:r>
      <w:proofErr w:type="spellEnd"/>
      <w:r w:rsidRPr="00885CCF">
        <w:rPr>
          <w:i/>
        </w:rPr>
        <w:t xml:space="preserve"> за повишаване на информираността относно </w:t>
      </w:r>
      <w:r w:rsidR="00173D13">
        <w:rPr>
          <w:i/>
        </w:rPr>
        <w:t>ИКТ техническите спецификации</w:t>
      </w:r>
      <w:r w:rsidRPr="00885CCF">
        <w:rPr>
          <w:i/>
        </w:rPr>
        <w:t>, идентифицирани в съответствие с член 13 &amp; 14 от Регламент 1025/2012.</w:t>
      </w:r>
    </w:p>
    <w:p w:rsidR="004A132F" w:rsidRPr="00885CCF" w:rsidRDefault="008C0951">
      <w:pPr>
        <w:spacing w:after="0"/>
      </w:pPr>
      <w:r w:rsidRPr="00885CCF">
        <w:t xml:space="preserve">Членовете като цяло приветстваха идеята за повишаване на </w:t>
      </w:r>
      <w:r w:rsidR="00173D13">
        <w:t>информираността за идентифицираните стандарт</w:t>
      </w:r>
      <w:r w:rsidRPr="00885CCF">
        <w:t>и, но изрази</w:t>
      </w:r>
      <w:r w:rsidR="00173D13">
        <w:t>ха</w:t>
      </w:r>
      <w:r w:rsidRPr="00885CCF">
        <w:t xml:space="preserve"> опасения относно избора на конкретна платформа и не използва</w:t>
      </w:r>
      <w:r w:rsidR="00173D13">
        <w:t>нето на</w:t>
      </w:r>
      <w:r w:rsidRPr="00885CCF">
        <w:t xml:space="preserve"> открита ADMS спецификация, с цел разпространяване на информация за по-голям брой платформи.</w:t>
      </w:r>
    </w:p>
    <w:p w:rsidR="004A132F" w:rsidRPr="00885CCF" w:rsidRDefault="008C0951">
      <w:pPr>
        <w:spacing w:after="0"/>
      </w:pPr>
      <w:r w:rsidRPr="00885CCF">
        <w:t xml:space="preserve">В своя отговор Комисията поясни, че платформата </w:t>
      </w:r>
      <w:proofErr w:type="spellStart"/>
      <w:r w:rsidRPr="00885CCF">
        <w:t>Joinup</w:t>
      </w:r>
      <w:proofErr w:type="spellEnd"/>
      <w:r w:rsidRPr="00885CCF">
        <w:t xml:space="preserve"> също подкрепя ADMS спецификация</w:t>
      </w:r>
      <w:r w:rsidR="00173D13">
        <w:t>та</w:t>
      </w:r>
      <w:r w:rsidRPr="00885CCF">
        <w:t xml:space="preserve"> — качване на спецификациите на платформата, като ги прави автоматично описани и на разположение за допълнително позоваване на други уебсайтове, които също подкрепят ADMS. Комисията също така е наясно с ограниченията на настоящата платформа и вече започна работа по нова версия от началото на 2016 г. </w:t>
      </w:r>
      <w:r w:rsidR="00173D13">
        <w:t>Н</w:t>
      </w:r>
      <w:r w:rsidRPr="00885CCF">
        <w:t>овата, модерна версия — с по-добра в</w:t>
      </w:r>
      <w:r w:rsidR="00173D13">
        <w:t>ъзможност за търсене, подкрепа</w:t>
      </w:r>
      <w:r w:rsidRPr="00885CCF">
        <w:t xml:space="preserve"> за мобилната версия</w:t>
      </w:r>
      <w:r w:rsidR="00173D13">
        <w:t>, и характеристики за по-лесна</w:t>
      </w:r>
      <w:r w:rsidRPr="00885CCF">
        <w:t xml:space="preserve"> интеграция с външни уебсайтове се очаква да бъде публикуван през септември 2017 г.</w:t>
      </w:r>
    </w:p>
    <w:p w:rsidR="004A132F" w:rsidRPr="00885CCF" w:rsidRDefault="008C0951">
      <w:pPr>
        <w:spacing w:after="0"/>
      </w:pPr>
      <w:r w:rsidRPr="00885CCF">
        <w:t xml:space="preserve">Председателят заключи, че </w:t>
      </w:r>
      <w:r w:rsidR="00173D13">
        <w:t>работата ще продължи</w:t>
      </w:r>
      <w:r w:rsidRPr="00885CCF">
        <w:t xml:space="preserve">, като </w:t>
      </w:r>
      <w:r w:rsidR="00173D13">
        <w:t xml:space="preserve">се </w:t>
      </w:r>
      <w:r w:rsidRPr="00885CCF">
        <w:t>вземат предвид изразените мнения.</w:t>
      </w:r>
    </w:p>
    <w:p w:rsidR="004A132F" w:rsidRPr="00885CCF" w:rsidRDefault="00173D13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885CCF">
        <w:lastRenderedPageBreak/>
        <w:t>въпроси и инициативи</w:t>
      </w:r>
      <w:r>
        <w:t xml:space="preserve"> на членовете на</w:t>
      </w:r>
      <w:r w:rsidRPr="00173D13">
        <w:t xml:space="preserve"> Европейската многостранна платформа по въпросите на стандартизацията в областта на ИКТ</w:t>
      </w:r>
      <w:r w:rsidR="008C0951" w:rsidRPr="00885CCF">
        <w:t xml:space="preserve"> </w:t>
      </w:r>
    </w:p>
    <w:p w:rsidR="004A132F" w:rsidRPr="00885CCF" w:rsidRDefault="008D7619">
      <w:pPr>
        <w:pStyle w:val="Heading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</w:t>
      </w:r>
      <w:r w:rsidR="00173D13">
        <w:rPr>
          <w:sz w:val="26"/>
          <w:szCs w:val="26"/>
          <w:u w:val="single"/>
        </w:rPr>
        <w:t>оциални предприемачи</w:t>
      </w:r>
    </w:p>
    <w:p w:rsidR="004A132F" w:rsidRPr="00885CCF" w:rsidRDefault="00173D13">
      <w:pPr>
        <w:pStyle w:val="Heading3"/>
        <w:numPr>
          <w:ilvl w:val="0"/>
          <w:numId w:val="4"/>
        </w:numPr>
        <w:ind w:left="993"/>
      </w:pPr>
      <w:r>
        <w:t>Презентация на</w:t>
      </w:r>
      <w:r w:rsidR="008C0951" w:rsidRPr="00885CCF">
        <w:t xml:space="preserve"> </w:t>
      </w:r>
      <w:r>
        <w:t>ETUC</w:t>
      </w:r>
      <w:r w:rsidR="008C0951" w:rsidRPr="00885CCF">
        <w:t xml:space="preserve"> относно стандартизацията в областта на ИКТ </w:t>
      </w:r>
      <w:r>
        <w:t xml:space="preserve">и </w:t>
      </w:r>
      <w:r w:rsidR="008C0951" w:rsidRPr="00885CCF">
        <w:t>нуждите на индустриализираните страни за кръговата икономика.</w:t>
      </w:r>
    </w:p>
    <w:p w:rsidR="004A132F" w:rsidRPr="00885CCF" w:rsidRDefault="008C0951">
      <w:pPr>
        <w:rPr>
          <w:szCs w:val="24"/>
          <w:lang w:eastAsia="en-GB"/>
        </w:rPr>
      </w:pPr>
      <w:proofErr w:type="spellStart"/>
      <w:r w:rsidRPr="00885CCF">
        <w:rPr>
          <w:i/>
        </w:rPr>
        <w:t>Laurent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Zibell</w:t>
      </w:r>
      <w:proofErr w:type="spellEnd"/>
      <w:r w:rsidRPr="00885CCF">
        <w:rPr>
          <w:i/>
        </w:rPr>
        <w:t xml:space="preserve"> (</w:t>
      </w:r>
      <w:r w:rsidR="00173D13" w:rsidRPr="00173D13">
        <w:rPr>
          <w:i/>
        </w:rPr>
        <w:t>ETUC</w:t>
      </w:r>
      <w:r w:rsidRPr="00885CCF">
        <w:rPr>
          <w:i/>
        </w:rPr>
        <w:t>) представи документи ИКТ/</w:t>
      </w:r>
      <w:r w:rsidR="00173D13" w:rsidRPr="00173D13">
        <w:t xml:space="preserve"> </w:t>
      </w:r>
      <w:r w:rsidR="00173D13" w:rsidRPr="00173D13">
        <w:rPr>
          <w:i/>
        </w:rPr>
        <w:t>MSP</w:t>
      </w:r>
      <w:r w:rsidRPr="00885CCF">
        <w:rPr>
          <w:i/>
        </w:rPr>
        <w:t xml:space="preserve"> (2017) 476 &amp; 477 </w:t>
      </w:r>
      <w:r w:rsidR="00173D13">
        <w:rPr>
          <w:i/>
        </w:rPr>
        <w:t>отнасящи се за</w:t>
      </w:r>
      <w:r w:rsidRPr="00885CCF">
        <w:rPr>
          <w:i/>
        </w:rPr>
        <w:t xml:space="preserve"> нуждите от стандартизация </w:t>
      </w:r>
      <w:r w:rsidR="00173D13">
        <w:rPr>
          <w:i/>
        </w:rPr>
        <w:t>в</w:t>
      </w:r>
      <w:r w:rsidRPr="00885CCF">
        <w:rPr>
          <w:i/>
        </w:rPr>
        <w:t xml:space="preserve"> кръговата икономика и поиска обратна връзка от членовете на </w:t>
      </w:r>
      <w:r w:rsidR="00173D13" w:rsidRPr="00173D13">
        <w:rPr>
          <w:i/>
        </w:rPr>
        <w:t>MSP</w:t>
      </w:r>
      <w:r w:rsidRPr="00885CCF">
        <w:rPr>
          <w:i/>
        </w:rPr>
        <w:t xml:space="preserve"> относно нуждите от стандартизация на ИКТ стандарти, които определят дали са съществували </w:t>
      </w:r>
      <w:r w:rsidR="00173D13">
        <w:rPr>
          <w:i/>
        </w:rPr>
        <w:t>от</w:t>
      </w:r>
      <w:r w:rsidRPr="00885CCF">
        <w:rPr>
          <w:i/>
        </w:rPr>
        <w:t xml:space="preserve"> режим на информация до промишлена стока и нейния формат на данните и надеждни, сигурни „от край до край“ и предаване на информация по веригата на стойността.</w:t>
      </w:r>
      <w:r w:rsidRPr="00885CCF">
        <w:t xml:space="preserve"> Също така дали правните и икономически условия за използване на тези стандарти </w:t>
      </w:r>
      <w:r w:rsidR="00173D13">
        <w:t xml:space="preserve">са </w:t>
      </w:r>
      <w:r w:rsidRPr="00885CCF">
        <w:t xml:space="preserve">в съответствие с FRAND критериите и накрая дали разработването на такива стандарти на равнище ЕС </w:t>
      </w:r>
      <w:r w:rsidR="00173D13">
        <w:t>ще има</w:t>
      </w:r>
      <w:r w:rsidRPr="00885CCF">
        <w:t xml:space="preserve"> смисъл в подкрепа на кръговата икономика.</w:t>
      </w:r>
    </w:p>
    <w:p w:rsidR="004A132F" w:rsidRPr="00885CCF" w:rsidRDefault="008C0951">
      <w:pPr>
        <w:pStyle w:val="ListParagraph"/>
        <w:ind w:left="0"/>
        <w:jc w:val="both"/>
      </w:pPr>
      <w:r w:rsidRPr="00885CCF">
        <w:t>В последвалите р</w:t>
      </w:r>
      <w:r w:rsidR="00173D13">
        <w:t>азисквания членовете подчертаха</w:t>
      </w:r>
      <w:r w:rsidRPr="00885CCF">
        <w:t xml:space="preserve"> текущата работа в CEN TC10 и W3C около свързаните с това въпроси и обърна</w:t>
      </w:r>
      <w:r w:rsidR="00173D13">
        <w:t>ха</w:t>
      </w:r>
      <w:r w:rsidRPr="00885CCF">
        <w:t xml:space="preserve"> внимание на броя на мандатите, които са свързани с кръговата икономика. В допълнение, вниманието беше </w:t>
      </w:r>
      <w:r w:rsidR="00173D13">
        <w:t>насочено към</w:t>
      </w:r>
      <w:r w:rsidRPr="00885CCF">
        <w:t xml:space="preserve"> редица дейности по стандартизация в CEN, ETSI комитет EE за екологично инженерство, Е 62 430, Е 620 75, за сектора на ИКТ.</w:t>
      </w:r>
    </w:p>
    <w:p w:rsidR="004A132F" w:rsidRPr="00885CCF" w:rsidRDefault="008C0951">
      <w:pPr>
        <w:pStyle w:val="ListParagraph"/>
        <w:ind w:left="0"/>
        <w:jc w:val="both"/>
      </w:pPr>
      <w:r w:rsidRPr="00885CCF">
        <w:t>По отношение на стандартизирането</w:t>
      </w:r>
      <w:r w:rsidR="00B12A30">
        <w:t xml:space="preserve"> на</w:t>
      </w:r>
      <w:r w:rsidRPr="00885CCF">
        <w:t xml:space="preserve"> </w:t>
      </w:r>
      <w:r w:rsidR="00173D13">
        <w:t>прибавянето</w:t>
      </w:r>
      <w:r w:rsidRPr="00885CCF">
        <w:t xml:space="preserve"> на информация </w:t>
      </w:r>
      <w:r w:rsidR="00B12A30">
        <w:t>към</w:t>
      </w:r>
      <w:r w:rsidRPr="00885CCF">
        <w:t xml:space="preserve"> индустриалн</w:t>
      </w:r>
      <w:r w:rsidR="00B12A30">
        <w:t>и</w:t>
      </w:r>
      <w:r w:rsidRPr="00885CCF">
        <w:t xml:space="preserve"> </w:t>
      </w:r>
      <w:r w:rsidR="00B12A30">
        <w:t>съобщения</w:t>
      </w:r>
      <w:r w:rsidRPr="00885CCF">
        <w:t xml:space="preserve">, бяха предложени няколко възможни технологии, като например потенциалното използване на технология за блок вериги, W3C, интернет на нещата или инициативи в областта на напредналото производство да включват метаданни във физически продукти. Комисията повдигна въпроса дали съответната </w:t>
      </w:r>
      <w:r w:rsidR="00B12A30" w:rsidRPr="00B12A30">
        <w:t xml:space="preserve">IPR </w:t>
      </w:r>
      <w:r w:rsidRPr="00885CCF">
        <w:t>информация следва също да бъд</w:t>
      </w:r>
      <w:r w:rsidR="00B12A30">
        <w:t>е</w:t>
      </w:r>
      <w:r w:rsidRPr="00885CCF">
        <w:t xml:space="preserve"> </w:t>
      </w:r>
      <w:r w:rsidR="00B12A30">
        <w:t>прибавяна към</w:t>
      </w:r>
      <w:r w:rsidRPr="00885CCF">
        <w:t xml:space="preserve"> продукти.</w:t>
      </w:r>
    </w:p>
    <w:p w:rsidR="004A132F" w:rsidRPr="00885CCF" w:rsidRDefault="004A132F">
      <w:pPr>
        <w:pStyle w:val="ListParagraph"/>
        <w:ind w:left="0"/>
      </w:pPr>
    </w:p>
    <w:p w:rsidR="004A132F" w:rsidRPr="00885CCF" w:rsidRDefault="00B12A30">
      <w:pPr>
        <w:pStyle w:val="Heading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Въпроси на Комисията 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 xml:space="preserve">Актуална информация относно 13-ото заседание на Комитета </w:t>
      </w:r>
      <w:r w:rsidR="00B12A30">
        <w:t xml:space="preserve">по </w:t>
      </w:r>
      <w:r w:rsidRPr="00885CCF">
        <w:t>стандартите</w:t>
      </w:r>
    </w:p>
    <w:p w:rsidR="004A132F" w:rsidRPr="00885CCF" w:rsidRDefault="008C0951">
      <w:proofErr w:type="spellStart"/>
      <w:r w:rsidRPr="00885CCF">
        <w:rPr>
          <w:i/>
          <w:iCs/>
        </w:rPr>
        <w:t>Roman</w:t>
      </w:r>
      <w:proofErr w:type="spellEnd"/>
      <w:r w:rsidRPr="00885CCF">
        <w:rPr>
          <w:i/>
          <w:iCs/>
        </w:rPr>
        <w:t xml:space="preserve"> </w:t>
      </w:r>
      <w:proofErr w:type="spellStart"/>
      <w:r w:rsidRPr="00885CCF">
        <w:rPr>
          <w:i/>
          <w:iCs/>
        </w:rPr>
        <w:t>Grones</w:t>
      </w:r>
      <w:proofErr w:type="spellEnd"/>
      <w:r w:rsidRPr="00885CCF">
        <w:rPr>
          <w:i/>
          <w:iCs/>
        </w:rPr>
        <w:t xml:space="preserve"> (GROW B3) обясни накратко, че </w:t>
      </w:r>
      <w:proofErr w:type="spellStart"/>
      <w:r w:rsidRPr="00885CCF">
        <w:rPr>
          <w:i/>
          <w:iCs/>
        </w:rPr>
        <w:t>CoS</w:t>
      </w:r>
      <w:proofErr w:type="spellEnd"/>
      <w:r w:rsidRPr="00885CCF">
        <w:rPr>
          <w:i/>
          <w:iCs/>
        </w:rPr>
        <w:t xml:space="preserve"> е комитет по </w:t>
      </w:r>
      <w:proofErr w:type="spellStart"/>
      <w:r w:rsidRPr="00885CCF">
        <w:rPr>
          <w:i/>
          <w:iCs/>
        </w:rPr>
        <w:t>комитология</w:t>
      </w:r>
      <w:proofErr w:type="spellEnd"/>
      <w:r w:rsidRPr="00885CCF">
        <w:rPr>
          <w:i/>
          <w:iCs/>
        </w:rPr>
        <w:t>, установен с Регламент № 1025/2012, ко</w:t>
      </w:r>
      <w:r w:rsidR="00B12A30">
        <w:rPr>
          <w:i/>
          <w:iCs/>
        </w:rPr>
        <w:t>й</w:t>
      </w:r>
      <w:r w:rsidRPr="00885CCF">
        <w:rPr>
          <w:i/>
          <w:iCs/>
        </w:rPr>
        <w:t>то до голяма степен определя неговия състав.</w:t>
      </w:r>
      <w:r w:rsidRPr="00885CCF">
        <w:t xml:space="preserve"> Членовете на Комитета са 28 държави членки. Постоянните наблюдатели включват </w:t>
      </w:r>
      <w:r w:rsidR="00B12A30">
        <w:t xml:space="preserve">стандартизационни организации </w:t>
      </w:r>
      <w:r w:rsidRPr="00885CCF">
        <w:t>и организациите по приложение III.</w:t>
      </w:r>
    </w:p>
    <w:p w:rsidR="004A132F" w:rsidRPr="00885CCF" w:rsidRDefault="008C0951">
      <w:pPr>
        <w:rPr>
          <w:vertAlign w:val="superscript"/>
        </w:rPr>
      </w:pPr>
      <w:r w:rsidRPr="00885CCF">
        <w:t xml:space="preserve">13-то заседание на Комитета се </w:t>
      </w:r>
      <w:r w:rsidR="00B12A30">
        <w:t xml:space="preserve">е </w:t>
      </w:r>
      <w:r w:rsidRPr="00885CCF">
        <w:t>прове</w:t>
      </w:r>
      <w:r w:rsidR="00B12A30">
        <w:t>ло</w:t>
      </w:r>
      <w:r w:rsidRPr="00885CCF">
        <w:t xml:space="preserve"> на 9 март 2017 г. </w:t>
      </w:r>
      <w:r w:rsidR="00B12A30">
        <w:t>П</w:t>
      </w:r>
      <w:r w:rsidRPr="00885CCF">
        <w:t xml:space="preserve">олитическата част на заседанието е </w:t>
      </w:r>
      <w:r w:rsidR="00B12A30">
        <w:t xml:space="preserve">била </w:t>
      </w:r>
      <w:r w:rsidRPr="00885CCF">
        <w:t xml:space="preserve">посветена на </w:t>
      </w:r>
      <w:r w:rsidR="00B12A30" w:rsidRPr="00B12A30">
        <w:t>JIS</w:t>
      </w:r>
      <w:r w:rsidRPr="00885CCF">
        <w:t xml:space="preserve"> и </w:t>
      </w:r>
      <w:r w:rsidR="00B12A30" w:rsidRPr="00B12A30">
        <w:t>JIS</w:t>
      </w:r>
      <w:r w:rsidRPr="00885CCF">
        <w:t xml:space="preserve"> действия, които са от най-голямо значение за държавите членки, по-специално JIS действие 4 (подобряване на осведомеността относно стандартизацията сред националните публични органи) и </w:t>
      </w:r>
      <w:r w:rsidR="00B12A30" w:rsidRPr="00B12A30">
        <w:t>JIS</w:t>
      </w:r>
      <w:r w:rsidR="00B12A30" w:rsidRPr="00885CCF">
        <w:t xml:space="preserve"> </w:t>
      </w:r>
      <w:r w:rsidRPr="00885CCF">
        <w:t xml:space="preserve">действие 10 (улесняване на участието на заинтересовани страни в процеса на разработване на стандарти на национално равнище). В техническата част на срещата </w:t>
      </w:r>
      <w:r w:rsidR="00B12A30">
        <w:t>са били</w:t>
      </w:r>
      <w:r w:rsidRPr="00885CCF">
        <w:t xml:space="preserve"> представени няколко проекта за искане за стандартизация, </w:t>
      </w:r>
      <w:r w:rsidR="00B12A30">
        <w:t>като приложим</w:t>
      </w:r>
      <w:r w:rsidRPr="00885CCF">
        <w:t xml:space="preserve"> в най-голяма степен за </w:t>
      </w:r>
      <w:r w:rsidR="00B12A30" w:rsidRPr="00B12A30">
        <w:t xml:space="preserve">MSP </w:t>
      </w:r>
      <w:r w:rsidRPr="00885CCF">
        <w:t xml:space="preserve">е </w:t>
      </w:r>
      <w:r w:rsidR="00B12A30">
        <w:t xml:space="preserve">за </w:t>
      </w:r>
      <w:r w:rsidRPr="00885CCF">
        <w:t>достъпността на уебсайтове, за ко</w:t>
      </w:r>
      <w:r w:rsidR="00B12A30">
        <w:t>й</w:t>
      </w:r>
      <w:r w:rsidRPr="00885CCF">
        <w:t xml:space="preserve">то беше даден ход на писмена процедура с краен срок 30 март 2017 г. </w:t>
      </w:r>
      <w:r w:rsidR="00B12A30">
        <w:t>И</w:t>
      </w:r>
      <w:r w:rsidRPr="00885CCF">
        <w:t xml:space="preserve">скането получи положително становище от </w:t>
      </w:r>
      <w:proofErr w:type="spellStart"/>
      <w:r w:rsidRPr="00885CCF">
        <w:t>CoS</w:t>
      </w:r>
      <w:proofErr w:type="spellEnd"/>
      <w:r w:rsidRPr="00885CCF">
        <w:t>.</w:t>
      </w:r>
    </w:p>
    <w:p w:rsidR="004A132F" w:rsidRPr="00885CCF" w:rsidRDefault="008C0951">
      <w:r w:rsidRPr="00885CCF">
        <w:lastRenderedPageBreak/>
        <w:t>За да бъде по-ефективен, се предлага членовете на службите на Комисията да идентифицира</w:t>
      </w:r>
      <w:r w:rsidR="00B12A30">
        <w:t>т</w:t>
      </w:r>
      <w:r w:rsidRPr="00885CCF">
        <w:t xml:space="preserve"> въпроси от общ интерес и организират успоредно полудневни заседания, по време на които членовете могат до известна степен да участват както в </w:t>
      </w:r>
      <w:proofErr w:type="spellStart"/>
      <w:r w:rsidRPr="00885CCF">
        <w:t>CoS</w:t>
      </w:r>
      <w:proofErr w:type="spellEnd"/>
      <w:r w:rsidRPr="00885CCF">
        <w:t xml:space="preserve"> и </w:t>
      </w:r>
      <w:r w:rsidR="00B12A30">
        <w:t xml:space="preserve">в </w:t>
      </w:r>
      <w:r w:rsidR="00B12A30" w:rsidRPr="00B12A30">
        <w:t>MSP</w:t>
      </w:r>
      <w:r w:rsidRPr="00885CCF">
        <w:t>. Пряк контакт между съответните представители ще улесни значително сътрудничеството и обмена на информация.</w:t>
      </w:r>
    </w:p>
    <w:p w:rsidR="004A132F" w:rsidRPr="00885CCF" w:rsidRDefault="00295E42">
      <w:hyperlink r:id="rId9">
        <w:r w:rsidR="008C0951" w:rsidRPr="00885CCF">
          <w:t>Отговаря</w:t>
        </w:r>
        <w:r w:rsidR="00B12A30">
          <w:t>йки</w:t>
        </w:r>
        <w:r w:rsidR="008C0951" w:rsidRPr="00885CCF">
          <w:t xml:space="preserve"> на </w:t>
        </w:r>
        <w:r w:rsidR="00B12A30">
          <w:t>искане</w:t>
        </w:r>
        <w:r w:rsidR="008C0951" w:rsidRPr="00885CCF">
          <w:t xml:space="preserve"> за </w:t>
        </w:r>
        <w:r w:rsidR="00B12A30">
          <w:t>качване</w:t>
        </w:r>
        <w:r w:rsidR="008C0951" w:rsidRPr="00885CCF">
          <w:t xml:space="preserve"> на дневния ред на </w:t>
        </w:r>
        <w:proofErr w:type="spellStart"/>
        <w:r w:rsidR="008C0951" w:rsidRPr="00885CCF">
          <w:t>CoS</w:t>
        </w:r>
        <w:proofErr w:type="spellEnd"/>
        <w:r w:rsidR="008C0951" w:rsidRPr="00885CCF">
          <w:t xml:space="preserve"> също </w:t>
        </w:r>
        <w:r w:rsidR="00B12A30">
          <w:t>в</w:t>
        </w:r>
        <w:r w:rsidR="008C0951" w:rsidRPr="00885CCF">
          <w:t xml:space="preserve"> </w:t>
        </w:r>
        <w:r w:rsidR="00B12A30" w:rsidRPr="00B12A30">
          <w:t xml:space="preserve">MSP </w:t>
        </w:r>
        <w:r w:rsidR="00B12A30">
          <w:t xml:space="preserve">групата </w:t>
        </w:r>
        <w:r w:rsidR="008C0951" w:rsidRPr="00885CCF">
          <w:t>в CIRCABC, Комисията обеща да направи това, но същеврем</w:t>
        </w:r>
        <w:r w:rsidR="00B12A30">
          <w:t>енно отбеляз</w:t>
        </w:r>
        <w:r w:rsidR="008C0951" w:rsidRPr="00885CCF">
          <w:t xml:space="preserve">а, че дневният ред е обществено достояние чрез регистъра на </w:t>
        </w:r>
        <w:proofErr w:type="spellStart"/>
        <w:r w:rsidR="008C0951" w:rsidRPr="00885CCF">
          <w:t>комитологията</w:t>
        </w:r>
        <w:proofErr w:type="spellEnd"/>
        <w:r w:rsidR="008C0951" w:rsidRPr="00885CCF">
          <w:t>.</w:t>
        </w:r>
      </w:hyperlink>
    </w:p>
    <w:p w:rsidR="004A132F" w:rsidRPr="00885CCF" w:rsidRDefault="008C0951" w:rsidP="00B12A30">
      <w:pPr>
        <w:pStyle w:val="Heading3"/>
        <w:numPr>
          <w:ilvl w:val="0"/>
          <w:numId w:val="4"/>
        </w:numPr>
      </w:pPr>
      <w:r w:rsidRPr="00885CCF">
        <w:t xml:space="preserve">Актуална информация относно обсъжданията </w:t>
      </w:r>
      <w:r w:rsidR="00B12A30">
        <w:t xml:space="preserve">на </w:t>
      </w:r>
      <w:r w:rsidRPr="00885CCF">
        <w:t>действие 7 от съвместната инициатива за стандартизация</w:t>
      </w:r>
      <w:r w:rsidR="00B12A30">
        <w:t xml:space="preserve"> (</w:t>
      </w:r>
      <w:r w:rsidR="00B12A30" w:rsidRPr="00B12A30">
        <w:t>JIS</w:t>
      </w:r>
      <w:r w:rsidR="00B12A30">
        <w:t>)</w:t>
      </w:r>
    </w:p>
    <w:p w:rsidR="004A132F" w:rsidRPr="00885CCF" w:rsidRDefault="008C0951">
      <w:pPr>
        <w:pStyle w:val="ListParagraph"/>
        <w:ind w:left="0"/>
        <w:jc w:val="both"/>
      </w:pPr>
      <w:proofErr w:type="spellStart"/>
      <w:r w:rsidRPr="00885CCF">
        <w:rPr>
          <w:i/>
        </w:rPr>
        <w:t>Thomas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Reibe</w:t>
      </w:r>
      <w:proofErr w:type="spellEnd"/>
      <w:r w:rsidRPr="00885CCF">
        <w:rPr>
          <w:i/>
        </w:rPr>
        <w:t xml:space="preserve"> (GNECT F3) представи текущото състояние и предложения за бъдещата работа </w:t>
      </w:r>
      <w:r w:rsidR="00B12A30">
        <w:rPr>
          <w:i/>
        </w:rPr>
        <w:t>по</w:t>
      </w:r>
      <w:r w:rsidRPr="00885CCF">
        <w:rPr>
          <w:i/>
        </w:rPr>
        <w:t xml:space="preserve"> действието.</w:t>
      </w:r>
      <w:r w:rsidRPr="00885CCF">
        <w:t xml:space="preserve"> Той обясни първоначалните цели на действието и потвърди, че фишът на AUWP и </w:t>
      </w:r>
      <w:r w:rsidR="00B12A30">
        <w:t>Плана за действие</w:t>
      </w:r>
      <w:r w:rsidRPr="00885CCF">
        <w:t xml:space="preserve"> са били оценени, </w:t>
      </w:r>
      <w:r w:rsidR="00B12A30" w:rsidRPr="00B12A30">
        <w:t>MSP</w:t>
      </w:r>
      <w:r w:rsidRPr="00885CCF">
        <w:t xml:space="preserve"> и </w:t>
      </w:r>
      <w:proofErr w:type="spellStart"/>
      <w:r w:rsidRPr="00885CCF">
        <w:t>CoS</w:t>
      </w:r>
      <w:proofErr w:type="spellEnd"/>
      <w:r w:rsidRPr="00885CCF">
        <w:t xml:space="preserve"> фишове</w:t>
      </w:r>
      <w:r w:rsidR="00B12A30">
        <w:t>те</w:t>
      </w:r>
      <w:r w:rsidRPr="00885CCF">
        <w:t xml:space="preserve"> ще бъдат завършени съответно през април и май. Предложение</w:t>
      </w:r>
      <w:r w:rsidR="00B12A30">
        <w:t>то</w:t>
      </w:r>
      <w:r w:rsidRPr="00885CCF">
        <w:t xml:space="preserve"> за бъдеща работа включва списък на установените проблеми</w:t>
      </w:r>
      <w:r w:rsidR="00B12A30">
        <w:t>,</w:t>
      </w:r>
      <w:r w:rsidRPr="00885CCF">
        <w:t xml:space="preserve"> </w:t>
      </w:r>
      <w:r w:rsidR="00B12A30">
        <w:t>а</w:t>
      </w:r>
      <w:r w:rsidRPr="00885CCF">
        <w:t xml:space="preserve"> анализ на инструменти в предложението </w:t>
      </w:r>
      <w:r w:rsidR="00B12A30">
        <w:t xml:space="preserve">изисква </w:t>
      </w:r>
      <w:r w:rsidRPr="00885CCF">
        <w:t xml:space="preserve">да се подобрят </w:t>
      </w:r>
      <w:r w:rsidR="008D7619">
        <w:t xml:space="preserve">тези инструменти и </w:t>
      </w:r>
      <w:r w:rsidRPr="00885CCF">
        <w:t>инструменти</w:t>
      </w:r>
      <w:r w:rsidR="00B12A30">
        <w:t>те</w:t>
      </w:r>
      <w:r w:rsidRPr="00885CCF">
        <w:t xml:space="preserve"> </w:t>
      </w:r>
      <w:r w:rsidR="008D7619">
        <w:t>за разработване на</w:t>
      </w:r>
      <w:r w:rsidRPr="00885CCF">
        <w:t xml:space="preserve"> най-добри практики и </w:t>
      </w:r>
      <w:r w:rsidR="008D7619">
        <w:t xml:space="preserve">за </w:t>
      </w:r>
      <w:r w:rsidRPr="00885CCF">
        <w:t>определянето на допълнителни потенциални действия. Комисията призовава за участието на повече заинтересовани организации, които познават регламента на ЕС за стандартизация.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  <w:rPr>
          <w:b w:val="0"/>
          <w:i w:val="0"/>
        </w:rPr>
      </w:pPr>
      <w:r w:rsidRPr="00885CCF">
        <w:t xml:space="preserve">Актуална информация относно обсъжданията </w:t>
      </w:r>
      <w:r w:rsidR="008D7619">
        <w:t xml:space="preserve">на </w:t>
      </w:r>
      <w:r w:rsidRPr="00885CCF">
        <w:t>действие 14 от съвместната инициатива за стандартизация</w:t>
      </w:r>
    </w:p>
    <w:p w:rsidR="004A132F" w:rsidRPr="00885CCF" w:rsidRDefault="008C0951">
      <w:pPr>
        <w:pStyle w:val="ListParagraph"/>
        <w:ind w:left="0"/>
        <w:jc w:val="both"/>
      </w:pPr>
      <w:proofErr w:type="spellStart"/>
      <w:r w:rsidRPr="00885CCF">
        <w:rPr>
          <w:i/>
        </w:rPr>
        <w:t>Antonio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Conte</w:t>
      </w:r>
      <w:proofErr w:type="spellEnd"/>
      <w:r w:rsidRPr="00885CCF">
        <w:rPr>
          <w:i/>
        </w:rPr>
        <w:t xml:space="preserve"> (ГД GROW) </w:t>
      </w:r>
      <w:r w:rsidR="008D7619">
        <w:rPr>
          <w:i/>
        </w:rPr>
        <w:t>информира</w:t>
      </w:r>
      <w:r w:rsidRPr="00885CCF">
        <w:rPr>
          <w:i/>
        </w:rPr>
        <w:t xml:space="preserve"> </w:t>
      </w:r>
      <w:r w:rsidR="008D7619" w:rsidRPr="008D7619">
        <w:rPr>
          <w:i/>
        </w:rPr>
        <w:t>MSP</w:t>
      </w:r>
      <w:r w:rsidRPr="00885CCF">
        <w:rPr>
          <w:i/>
        </w:rPr>
        <w:t xml:space="preserve"> членовете относно текущото състояние на изпълнението на действия 14 (документ на СИС ИКТ/</w:t>
      </w:r>
      <w:r w:rsidR="008D7619" w:rsidRPr="008D7619">
        <w:t xml:space="preserve"> </w:t>
      </w:r>
      <w:r w:rsidR="008D7619" w:rsidRPr="008D7619">
        <w:rPr>
          <w:i/>
        </w:rPr>
        <w:t>MSP</w:t>
      </w:r>
      <w:r w:rsidRPr="00885CCF">
        <w:rPr>
          <w:i/>
        </w:rPr>
        <w:t xml:space="preserve"> (2017) 499).</w:t>
      </w:r>
      <w:r w:rsidRPr="00885CCF">
        <w:t xml:space="preserve"> Дейности</w:t>
      </w:r>
      <w:r w:rsidR="008D7619">
        <w:t>те</w:t>
      </w:r>
      <w:r w:rsidRPr="00885CCF">
        <w:t xml:space="preserve"> са организирани в две посоки — с европейските и националните инициативи, както и други заинтересовани страни с цел установяване на нуждите от стандартизация на цифровите технологии за интелигентни технологии и съвместна работа със заинтересованите страни, </w:t>
      </w:r>
      <w:r w:rsidR="008D7619">
        <w:t>с цел поддържане</w:t>
      </w:r>
      <w:r w:rsidRPr="00885CCF">
        <w:t xml:space="preserve">/повторна употреба </w:t>
      </w:r>
      <w:r w:rsidR="008D7619">
        <w:t xml:space="preserve">на </w:t>
      </w:r>
      <w:r w:rsidRPr="00885CCF">
        <w:t>съответните градивни елементи за разработването на методика за цифровизация.</w:t>
      </w:r>
    </w:p>
    <w:p w:rsidR="004A132F" w:rsidRPr="00885CCF" w:rsidRDefault="004A132F">
      <w:pPr>
        <w:pStyle w:val="ListParagraph"/>
        <w:ind w:left="0"/>
        <w:rPr>
          <w:u w:val="single"/>
        </w:rPr>
      </w:pP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>ICT-40 покана за представяне на предложения: Засилване на присъствието на Европа в международната стандартизация в областта на ИКТ</w:t>
      </w:r>
    </w:p>
    <w:p w:rsidR="004A132F" w:rsidRPr="00885CCF" w:rsidRDefault="008C0951">
      <w:pPr>
        <w:spacing w:after="0"/>
        <w:rPr>
          <w:i/>
        </w:rPr>
      </w:pPr>
      <w:proofErr w:type="spellStart"/>
      <w:r w:rsidRPr="00885CCF">
        <w:rPr>
          <w:i/>
        </w:rPr>
        <w:t>Thomas</w:t>
      </w:r>
      <w:proofErr w:type="spellEnd"/>
      <w:r w:rsidRPr="00885CCF">
        <w:rPr>
          <w:i/>
        </w:rPr>
        <w:t xml:space="preserve"> </w:t>
      </w:r>
      <w:proofErr w:type="spellStart"/>
      <w:r w:rsidRPr="00885CCF">
        <w:rPr>
          <w:i/>
        </w:rPr>
        <w:t>Reibe</w:t>
      </w:r>
      <w:proofErr w:type="spellEnd"/>
      <w:r w:rsidRPr="00885CCF">
        <w:rPr>
          <w:i/>
        </w:rPr>
        <w:t xml:space="preserve"> (CNECT F3) обясни общата цел и текущото състояние на покана</w:t>
      </w:r>
      <w:r w:rsidR="008D7619">
        <w:rPr>
          <w:i/>
        </w:rPr>
        <w:t>та</w:t>
      </w:r>
      <w:r w:rsidRPr="00885CCF">
        <w:rPr>
          <w:i/>
        </w:rPr>
        <w:t xml:space="preserve"> за представяне на предложения.</w:t>
      </w:r>
    </w:p>
    <w:p w:rsidR="004A132F" w:rsidRPr="00885CCF" w:rsidRDefault="004A132F">
      <w:pPr>
        <w:spacing w:after="0"/>
      </w:pPr>
    </w:p>
    <w:p w:rsidR="004A132F" w:rsidRPr="00885CCF" w:rsidRDefault="008C0951">
      <w:pPr>
        <w:spacing w:after="0"/>
      </w:pPr>
      <w:r w:rsidRPr="00885CCF">
        <w:t>SBS информира платформа, че работят по предложение за тази покана с други партньори. Те са заинтересовани да работят с други организации, особено с цел да се установят европейски експерти. SBS вече получава финансиране от ЕС за подкрепа на назначаването на експерти в органите по стандартизация на ЕС. Увеличаване</w:t>
      </w:r>
      <w:r w:rsidR="008D7619">
        <w:t>то</w:t>
      </w:r>
      <w:r w:rsidRPr="00885CCF">
        <w:t xml:space="preserve"> на обхвата до международн</w:t>
      </w:r>
      <w:r w:rsidR="008D7619">
        <w:t>о ниво</w:t>
      </w:r>
      <w:r w:rsidRPr="00885CCF">
        <w:t xml:space="preserve"> до голяма степен съответства на SBS бизнес</w:t>
      </w:r>
      <w:r w:rsidR="008D7619">
        <w:t>а</w:t>
      </w:r>
      <w:r w:rsidRPr="00885CCF">
        <w:t>.</w:t>
      </w:r>
    </w:p>
    <w:p w:rsidR="004A132F" w:rsidRPr="00885CCF" w:rsidRDefault="004A132F">
      <w:pPr>
        <w:spacing w:after="0"/>
      </w:pPr>
    </w:p>
    <w:p w:rsidR="004A132F" w:rsidRPr="00885CCF" w:rsidRDefault="008C0951">
      <w:pPr>
        <w:spacing w:after="0"/>
      </w:pPr>
      <w:r w:rsidRPr="00885CCF">
        <w:t>Други членове изразиха опасенията си във връзка с поканата, особено с финансиране</w:t>
      </w:r>
      <w:r w:rsidR="008D7619">
        <w:t>то</w:t>
      </w:r>
      <w:r w:rsidRPr="00885CCF">
        <w:t xml:space="preserve"> от трета страна за дейности, които в исторически план са били извършвани от експерти в областта на стандартизацията и виждат потенциал за злоупотреби, особено по отношение на определянето на това кое точно е „европейския интерес“, който експерти</w:t>
      </w:r>
      <w:r w:rsidR="008D7619">
        <w:t>те</w:t>
      </w:r>
      <w:r w:rsidRPr="00885CCF">
        <w:t xml:space="preserve"> се предполага, че представляват.</w:t>
      </w:r>
    </w:p>
    <w:p w:rsidR="004A132F" w:rsidRPr="00885CCF" w:rsidRDefault="004A132F">
      <w:pPr>
        <w:spacing w:after="0"/>
      </w:pPr>
    </w:p>
    <w:p w:rsidR="004A132F" w:rsidRPr="00885CCF" w:rsidRDefault="008C0951">
      <w:pPr>
        <w:spacing w:after="0"/>
      </w:pPr>
      <w:r w:rsidRPr="00885CCF">
        <w:lastRenderedPageBreak/>
        <w:t xml:space="preserve">Комисията поясни, че поканата има за цел финансиране на </w:t>
      </w:r>
      <w:r w:rsidR="008D7619">
        <w:t>обсерватория</w:t>
      </w:r>
      <w:r w:rsidRPr="00885CCF">
        <w:t xml:space="preserve"> и участието на експерти в областта на стандартизацията в международната стандартизация, и е наясно с предизвикателствата; че сдружението, определен</w:t>
      </w:r>
      <w:r w:rsidR="008D7619">
        <w:t>о</w:t>
      </w:r>
      <w:r w:rsidRPr="00885CCF">
        <w:t xml:space="preserve"> в поканата за представяне на предложения ще </w:t>
      </w:r>
      <w:r w:rsidR="008D7619">
        <w:t>получи</w:t>
      </w:r>
      <w:r w:rsidRPr="00885CCF">
        <w:t xml:space="preserve"> само 30 % от финансирането за покриване на разходите, свързани с организацията на работата. Комисията ще покани отделни независими експерти за оценка н</w:t>
      </w:r>
      <w:r w:rsidR="008D7619">
        <w:t>а представените предложения, като очаква</w:t>
      </w:r>
      <w:r w:rsidRPr="00885CCF">
        <w:t xml:space="preserve"> кандидатите да изясн</w:t>
      </w:r>
      <w:r w:rsidR="008D7619">
        <w:t>ят</w:t>
      </w:r>
      <w:r w:rsidRPr="00885CCF">
        <w:t xml:space="preserve"> как те ще изпълняват механизъм за подбор на експерти от трети страни и как те планират да поддържа</w:t>
      </w:r>
      <w:r w:rsidR="008D7619">
        <w:t>т</w:t>
      </w:r>
      <w:r w:rsidRPr="00885CCF">
        <w:t xml:space="preserve"> връзка с органите по стандартизация. Информация</w:t>
      </w:r>
      <w:r w:rsidR="008D7619">
        <w:t>та</w:t>
      </w:r>
      <w:r w:rsidRPr="00885CCF">
        <w:t xml:space="preserve"> за поканата ще бъде публично достояние.</w:t>
      </w:r>
    </w:p>
    <w:p w:rsidR="004A132F" w:rsidRPr="00885CCF" w:rsidRDefault="008C0951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885CCF">
        <w:t>Следващи заседания</w:t>
      </w:r>
    </w:p>
    <w:p w:rsidR="004A132F" w:rsidRPr="00885CCF" w:rsidRDefault="008C0951">
      <w:pPr>
        <w:spacing w:after="0"/>
        <w:rPr>
          <w:vertAlign w:val="superscript"/>
        </w:rPr>
      </w:pPr>
      <w:r w:rsidRPr="00885CCF">
        <w:t>20-</w:t>
      </w:r>
      <w:r w:rsidR="008D7619">
        <w:t>т</w:t>
      </w:r>
      <w:r w:rsidRPr="00885CCF">
        <w:t>о заседание — 13 юни 2017 г.</w:t>
      </w:r>
    </w:p>
    <w:p w:rsidR="004A132F" w:rsidRPr="00885CCF" w:rsidRDefault="008C0951">
      <w:pPr>
        <w:spacing w:after="0"/>
        <w:rPr>
          <w:vertAlign w:val="superscript"/>
        </w:rPr>
      </w:pPr>
      <w:r w:rsidRPr="00885CCF">
        <w:t>21-</w:t>
      </w:r>
      <w:r w:rsidR="008D7619">
        <w:t>во</w:t>
      </w:r>
      <w:r w:rsidRPr="00885CCF">
        <w:t xml:space="preserve"> </w:t>
      </w:r>
      <w:r w:rsidR="008D7619">
        <w:t>заседание</w:t>
      </w:r>
      <w:r w:rsidRPr="00885CCF">
        <w:t>- 28 септември 2017 г.</w:t>
      </w:r>
    </w:p>
    <w:p w:rsidR="004A132F" w:rsidRPr="00885CCF" w:rsidRDefault="008C0951">
      <w:pPr>
        <w:spacing w:after="0"/>
        <w:rPr>
          <w:vertAlign w:val="superscript"/>
        </w:rPr>
      </w:pPr>
      <w:r w:rsidRPr="00885CCF">
        <w:t>22-ро</w:t>
      </w:r>
      <w:r w:rsidR="008D7619">
        <w:t xml:space="preserve"> заседание на 7 декември 2017 г</w:t>
      </w:r>
      <w:r w:rsidRPr="00885CCF">
        <w:t>.</w:t>
      </w:r>
    </w:p>
    <w:p w:rsidR="004A132F" w:rsidRPr="00885CCF" w:rsidRDefault="008C0951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885CCF">
        <w:t>Други въпроси</w:t>
      </w:r>
    </w:p>
    <w:p w:rsidR="004A132F" w:rsidRPr="00885CCF" w:rsidRDefault="008C0951">
      <w:pPr>
        <w:pStyle w:val="Text3"/>
        <w:ind w:left="0"/>
      </w:pPr>
      <w:r w:rsidRPr="00885CCF">
        <w:t xml:space="preserve">Председателят информира членовете за </w:t>
      </w:r>
      <w:proofErr w:type="spellStart"/>
      <w:r w:rsidR="008D7619" w:rsidRPr="008D7619">
        <w:t>Fintech</w:t>
      </w:r>
      <w:proofErr w:type="spellEnd"/>
      <w:r w:rsidR="008D7619" w:rsidRPr="008D7619">
        <w:t xml:space="preserve"> EU </w:t>
      </w:r>
      <w:r w:rsidR="008D7619">
        <w:t>К</w:t>
      </w:r>
      <w:r w:rsidRPr="00885CCF">
        <w:t>онференция</w:t>
      </w:r>
      <w:r w:rsidR="008D7619">
        <w:t>та</w:t>
      </w:r>
      <w:r w:rsidRPr="00885CCF">
        <w:t xml:space="preserve">, проведена на същия ден. Той прикани членовете да участват в обществената консултация </w:t>
      </w:r>
      <w:r w:rsidR="001E1423">
        <w:t xml:space="preserve">на </w:t>
      </w:r>
      <w:proofErr w:type="spellStart"/>
      <w:r w:rsidR="001E1423">
        <w:t>FinTech</w:t>
      </w:r>
      <w:proofErr w:type="spellEnd"/>
      <w:r w:rsidRPr="00885CCF">
        <w:t xml:space="preserve">, която </w:t>
      </w:r>
      <w:r w:rsidR="001E1423">
        <w:t>е стартирала</w:t>
      </w:r>
      <w:r w:rsidRPr="00885CCF">
        <w:t xml:space="preserve"> и </w:t>
      </w:r>
      <w:r w:rsidR="001E1423">
        <w:t xml:space="preserve">в </w:t>
      </w:r>
      <w:r w:rsidRPr="00885CCF">
        <w:t xml:space="preserve">която има редица въпроси, свързани с </w:t>
      </w:r>
      <w:r w:rsidR="008D7619">
        <w:t>оперативната съвместимост</w:t>
      </w:r>
      <w:r w:rsidRPr="00885CCF">
        <w:t xml:space="preserve"> и стандарти</w:t>
      </w:r>
      <w:r w:rsidR="008D7619">
        <w:t>те</w:t>
      </w:r>
      <w:r w:rsidRPr="00885CCF">
        <w:t xml:space="preserve">. Представянето на </w:t>
      </w:r>
      <w:r w:rsidR="008D7619" w:rsidRPr="008D7619">
        <w:t>Работни насоки за Стандарти и оперативна съвместимост на работна група за финансовите технологии (</w:t>
      </w:r>
      <w:proofErr w:type="spellStart"/>
      <w:r w:rsidR="008D7619" w:rsidRPr="008D7619">
        <w:t>FinTech</w:t>
      </w:r>
      <w:proofErr w:type="spellEnd"/>
      <w:r w:rsidR="008D7619" w:rsidRPr="008D7619">
        <w:t xml:space="preserve"> </w:t>
      </w:r>
      <w:proofErr w:type="spellStart"/>
      <w:r w:rsidR="008D7619" w:rsidRPr="008D7619">
        <w:t>Task</w:t>
      </w:r>
      <w:proofErr w:type="spellEnd"/>
      <w:r w:rsidR="008D7619" w:rsidRPr="008D7619">
        <w:t xml:space="preserve"> </w:t>
      </w:r>
      <w:proofErr w:type="spellStart"/>
      <w:r w:rsidR="008D7619" w:rsidRPr="008D7619">
        <w:t>Force</w:t>
      </w:r>
      <w:proofErr w:type="spellEnd"/>
      <w:r w:rsidR="008D7619" w:rsidRPr="008D7619">
        <w:t>) (ГД CNECT F3)</w:t>
      </w:r>
      <w:r w:rsidR="008D7619">
        <w:t xml:space="preserve"> </w:t>
      </w:r>
      <w:r w:rsidRPr="00885CCF">
        <w:t>беше отложено за следващото заседание поради липса на време.</w:t>
      </w:r>
    </w:p>
    <w:p w:rsidR="004A132F" w:rsidRPr="00885CCF" w:rsidRDefault="008C0951">
      <w:pPr>
        <w:pStyle w:val="Heading3"/>
        <w:numPr>
          <w:ilvl w:val="0"/>
          <w:numId w:val="4"/>
        </w:numPr>
        <w:ind w:left="993"/>
      </w:pPr>
      <w:r w:rsidRPr="00885CCF">
        <w:t xml:space="preserve">Кратко въведение в </w:t>
      </w:r>
      <w:r w:rsidR="00C76A30" w:rsidRPr="00885CCF">
        <w:t>проучване</w:t>
      </w:r>
      <w:r w:rsidR="00C76A30">
        <w:t>то за фиксираната</w:t>
      </w:r>
      <w:r w:rsidRPr="00885CCF">
        <w:t xml:space="preserve"> и мобилн</w:t>
      </w:r>
      <w:r w:rsidR="00C76A30">
        <w:t>а</w:t>
      </w:r>
      <w:r w:rsidRPr="00885CCF">
        <w:t xml:space="preserve"> </w:t>
      </w:r>
      <w:r w:rsidR="00C76A30">
        <w:t>конвергенция</w:t>
      </w:r>
      <w:r w:rsidR="00C76A30" w:rsidRPr="00885CCF">
        <w:t xml:space="preserve"> </w:t>
      </w:r>
    </w:p>
    <w:p w:rsidR="004A132F" w:rsidRPr="00885CCF" w:rsidRDefault="008C0951">
      <w:pPr>
        <w:spacing w:after="0"/>
        <w:rPr>
          <w:i/>
          <w:szCs w:val="24"/>
        </w:rPr>
      </w:pPr>
      <w:proofErr w:type="spellStart"/>
      <w:r w:rsidRPr="00885CCF">
        <w:rPr>
          <w:i/>
          <w:szCs w:val="24"/>
        </w:rPr>
        <w:t>Simon</w:t>
      </w:r>
      <w:proofErr w:type="spellEnd"/>
      <w:r w:rsidRPr="00885CCF">
        <w:rPr>
          <w:i/>
          <w:szCs w:val="24"/>
        </w:rPr>
        <w:t xml:space="preserve"> </w:t>
      </w:r>
      <w:proofErr w:type="spellStart"/>
      <w:r w:rsidRPr="00885CCF">
        <w:rPr>
          <w:i/>
          <w:szCs w:val="24"/>
        </w:rPr>
        <w:t>Forge</w:t>
      </w:r>
      <w:proofErr w:type="spellEnd"/>
      <w:r w:rsidRPr="00885CCF">
        <w:rPr>
          <w:i/>
          <w:szCs w:val="24"/>
        </w:rPr>
        <w:t xml:space="preserve"> представи </w:t>
      </w:r>
      <w:r w:rsidR="001E1423">
        <w:rPr>
          <w:i/>
          <w:szCs w:val="24"/>
        </w:rPr>
        <w:t xml:space="preserve">Проучване за фиксираната и мобилна конвергенция </w:t>
      </w:r>
      <w:r w:rsidRPr="00885CCF">
        <w:rPr>
          <w:i/>
          <w:szCs w:val="24"/>
        </w:rPr>
        <w:t>(документ ИКТ/</w:t>
      </w:r>
      <w:r w:rsidR="001E1423" w:rsidRPr="001E1423">
        <w:t xml:space="preserve"> </w:t>
      </w:r>
      <w:r w:rsidR="001E1423" w:rsidRPr="001E1423">
        <w:rPr>
          <w:i/>
          <w:szCs w:val="24"/>
        </w:rPr>
        <w:t>MSP</w:t>
      </w:r>
      <w:r w:rsidR="001E1423">
        <w:rPr>
          <w:i/>
          <w:szCs w:val="24"/>
        </w:rPr>
        <w:t xml:space="preserve"> (2017) 480), чиито цели са</w:t>
      </w:r>
      <w:r w:rsidR="001E1423">
        <w:rPr>
          <w:szCs w:val="24"/>
        </w:rPr>
        <w:t>:</w:t>
      </w:r>
    </w:p>
    <w:p w:rsidR="004A132F" w:rsidRPr="00885CCF" w:rsidRDefault="00C76A30" w:rsidP="00C76A30">
      <w:pPr>
        <w:pStyle w:val="ListParagraph"/>
        <w:numPr>
          <w:ilvl w:val="0"/>
          <w:numId w:val="3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анализ</w:t>
      </w:r>
      <w:r w:rsidR="008C0951" w:rsidRPr="00885CCF">
        <w:rPr>
          <w:rFonts w:eastAsia="MS Mincho"/>
          <w:lang w:eastAsia="ja-JP"/>
        </w:rPr>
        <w:t xml:space="preserve"> на </w:t>
      </w:r>
      <w:r>
        <w:rPr>
          <w:rFonts w:eastAsia="MS Mincho"/>
          <w:lang w:eastAsia="ja-JP"/>
        </w:rPr>
        <w:t>конвергенцията на фиксираните</w:t>
      </w:r>
      <w:r w:rsidR="008C0951" w:rsidRPr="00885CCF">
        <w:rPr>
          <w:rFonts w:eastAsia="MS Mincho"/>
          <w:lang w:eastAsia="ja-JP"/>
        </w:rPr>
        <w:t xml:space="preserve"> и мобилни услуги в Европа на различни равнища и набелязване на бъдещите тенденции, които могат да подобрят свързаността в Европа.</w:t>
      </w:r>
    </w:p>
    <w:p w:rsidR="004A132F" w:rsidRPr="00885CCF" w:rsidRDefault="008C0951" w:rsidP="00C76A30">
      <w:pPr>
        <w:pStyle w:val="ListParagraph"/>
        <w:numPr>
          <w:ilvl w:val="0"/>
          <w:numId w:val="3"/>
        </w:numPr>
        <w:jc w:val="both"/>
        <w:rPr>
          <w:rFonts w:eastAsia="MS Mincho"/>
          <w:lang w:eastAsia="ja-JP"/>
        </w:rPr>
      </w:pPr>
      <w:r w:rsidRPr="00885CCF">
        <w:rPr>
          <w:rFonts w:eastAsia="MS Mincho"/>
          <w:lang w:eastAsia="ja-JP"/>
        </w:rPr>
        <w:t>допъл</w:t>
      </w:r>
      <w:r w:rsidR="00C76A30">
        <w:rPr>
          <w:rFonts w:eastAsia="MS Mincho"/>
          <w:lang w:eastAsia="ja-JP"/>
        </w:rPr>
        <w:t>ване</w:t>
      </w:r>
      <w:r w:rsidRPr="00885CCF">
        <w:rPr>
          <w:rFonts w:eastAsia="MS Mincho"/>
          <w:lang w:eastAsia="ja-JP"/>
        </w:rPr>
        <w:t xml:space="preserve"> </w:t>
      </w:r>
      <w:r w:rsidR="00C76A30">
        <w:rPr>
          <w:rFonts w:eastAsia="MS Mincho"/>
          <w:lang w:eastAsia="ja-JP"/>
        </w:rPr>
        <w:t>на разработваната</w:t>
      </w:r>
      <w:r w:rsidRPr="00885CCF">
        <w:rPr>
          <w:rFonts w:eastAsia="MS Mincho"/>
          <w:lang w:eastAsia="ja-JP"/>
        </w:rPr>
        <w:t xml:space="preserve"> </w:t>
      </w:r>
      <w:r w:rsidR="00C76A30">
        <w:rPr>
          <w:rFonts w:eastAsia="MS Mincho"/>
          <w:lang w:eastAsia="ja-JP"/>
        </w:rPr>
        <w:t>Интегрирана</w:t>
      </w:r>
      <w:r w:rsidRPr="00885CCF">
        <w:rPr>
          <w:rFonts w:eastAsia="MS Mincho"/>
          <w:lang w:eastAsia="ja-JP"/>
        </w:rPr>
        <w:t xml:space="preserve"> платформа на ЕС </w:t>
      </w:r>
      <w:r w:rsidR="00C76A30">
        <w:rPr>
          <w:rFonts w:eastAsia="MS Mincho"/>
          <w:lang w:eastAsia="ja-JP"/>
        </w:rPr>
        <w:t xml:space="preserve">с </w:t>
      </w:r>
      <w:r w:rsidR="00C76A30" w:rsidRPr="00885CCF">
        <w:rPr>
          <w:rFonts w:eastAsia="MS Mincho"/>
          <w:lang w:eastAsia="ja-JP"/>
        </w:rPr>
        <w:t>проучването</w:t>
      </w:r>
      <w:r w:rsidR="00C76A30" w:rsidRPr="00885CCF">
        <w:rPr>
          <w:rFonts w:eastAsia="MS Mincho"/>
          <w:lang w:eastAsia="ja-JP"/>
        </w:rPr>
        <w:t xml:space="preserve"> </w:t>
      </w:r>
      <w:r w:rsidR="00C76A30">
        <w:rPr>
          <w:rFonts w:eastAsia="MS Mincho"/>
          <w:lang w:eastAsia="ja-JP"/>
        </w:rPr>
        <w:t xml:space="preserve">за </w:t>
      </w:r>
      <w:r w:rsidRPr="00885CCF">
        <w:rPr>
          <w:rFonts w:eastAsia="MS Mincho"/>
          <w:lang w:eastAsia="ja-JP"/>
        </w:rPr>
        <w:t>картографиране SMART 2014/0016,</w:t>
      </w:r>
    </w:p>
    <w:p w:rsidR="004A132F" w:rsidRPr="00885CCF" w:rsidRDefault="008C0951" w:rsidP="00C76A30">
      <w:pPr>
        <w:pStyle w:val="ListParagraph"/>
        <w:numPr>
          <w:ilvl w:val="0"/>
          <w:numId w:val="3"/>
        </w:numPr>
        <w:jc w:val="both"/>
        <w:rPr>
          <w:rFonts w:eastAsia="MS Mincho"/>
          <w:lang w:eastAsia="ja-JP"/>
        </w:rPr>
      </w:pPr>
      <w:r w:rsidRPr="00885CCF">
        <w:rPr>
          <w:rFonts w:eastAsia="MS Mincho"/>
          <w:lang w:eastAsia="ja-JP"/>
        </w:rPr>
        <w:t xml:space="preserve">подпомагане на процеса на вземане на решения в ЕС, </w:t>
      </w:r>
      <w:r w:rsidR="00C76A30">
        <w:rPr>
          <w:rFonts w:eastAsia="MS Mincho"/>
          <w:lang w:eastAsia="ja-JP"/>
        </w:rPr>
        <w:t>чрез пред</w:t>
      </w:r>
      <w:r w:rsidRPr="00885CCF">
        <w:rPr>
          <w:rFonts w:eastAsia="MS Mincho"/>
          <w:lang w:eastAsia="ja-JP"/>
        </w:rPr>
        <w:t>ставя</w:t>
      </w:r>
      <w:r w:rsidR="00C76A30">
        <w:rPr>
          <w:rFonts w:eastAsia="MS Mincho"/>
          <w:lang w:eastAsia="ja-JP"/>
        </w:rPr>
        <w:t>не на</w:t>
      </w:r>
      <w:r w:rsidRPr="00885CCF">
        <w:rPr>
          <w:rFonts w:eastAsia="MS Mincho"/>
          <w:lang w:eastAsia="ja-JP"/>
        </w:rPr>
        <w:t xml:space="preserve"> ясно разбиране на разликите в измерванията между държавите членки и в други подходи за измерване</w:t>
      </w:r>
    </w:p>
    <w:p w:rsidR="004A132F" w:rsidRPr="00885CCF" w:rsidRDefault="008C0951" w:rsidP="00C76A30">
      <w:pPr>
        <w:pStyle w:val="ListParagraph"/>
        <w:numPr>
          <w:ilvl w:val="0"/>
          <w:numId w:val="3"/>
        </w:numPr>
        <w:jc w:val="both"/>
        <w:rPr>
          <w:rFonts w:eastAsia="MS Mincho"/>
          <w:lang w:eastAsia="ja-JP"/>
        </w:rPr>
      </w:pPr>
      <w:r w:rsidRPr="00885CCF">
        <w:rPr>
          <w:rFonts w:eastAsia="MS Mincho"/>
          <w:lang w:eastAsia="ja-JP"/>
        </w:rPr>
        <w:t xml:space="preserve">оценяване на различните видове пречки, които възпрепятстват определянето на общ обхват </w:t>
      </w:r>
      <w:r w:rsidR="00C76A30">
        <w:rPr>
          <w:rFonts w:eastAsia="MS Mincho"/>
          <w:lang w:eastAsia="ja-JP"/>
        </w:rPr>
        <w:t xml:space="preserve">на </w:t>
      </w:r>
      <w:r w:rsidRPr="00885CCF">
        <w:rPr>
          <w:rFonts w:eastAsia="MS Mincho"/>
          <w:lang w:eastAsia="ja-JP"/>
        </w:rPr>
        <w:t xml:space="preserve">измервания в целия ЕС с използване на събирането на данни и </w:t>
      </w:r>
      <w:r w:rsidR="00C76A30">
        <w:rPr>
          <w:rFonts w:eastAsia="MS Mincho"/>
          <w:lang w:eastAsia="ja-JP"/>
        </w:rPr>
        <w:t xml:space="preserve">на </w:t>
      </w:r>
      <w:r w:rsidRPr="00885CCF">
        <w:rPr>
          <w:rFonts w:eastAsia="MS Mincho"/>
          <w:lang w:eastAsia="ja-JP"/>
        </w:rPr>
        <w:t>първоначал</w:t>
      </w:r>
      <w:r w:rsidR="00C76A30">
        <w:rPr>
          <w:rFonts w:eastAsia="MS Mincho"/>
          <w:lang w:eastAsia="ja-JP"/>
        </w:rPr>
        <w:t>ния</w:t>
      </w:r>
      <w:r w:rsidRPr="00885CCF">
        <w:rPr>
          <w:rFonts w:eastAsia="MS Mincho"/>
          <w:lang w:eastAsia="ja-JP"/>
        </w:rPr>
        <w:t xml:space="preserve"> анализ и препоръки на SMART 2014/0016.</w:t>
      </w:r>
    </w:p>
    <w:p w:rsidR="004A132F" w:rsidRPr="00885CCF" w:rsidRDefault="00C76A30" w:rsidP="00C76A30">
      <w:pPr>
        <w:ind w:left="720"/>
      </w:pPr>
      <w:r>
        <w:t>-</w:t>
      </w:r>
      <w:r>
        <w:tab/>
      </w:r>
    </w:p>
    <w:p w:rsidR="004A132F" w:rsidRPr="00885CCF" w:rsidRDefault="00C76A30">
      <w:r>
        <w:t>Ч</w:t>
      </w:r>
      <w:r w:rsidRPr="00885CCF">
        <w:t>леновете</w:t>
      </w:r>
      <w:r w:rsidRPr="00885CCF">
        <w:t xml:space="preserve"> </w:t>
      </w:r>
      <w:r>
        <w:t xml:space="preserve">на </w:t>
      </w:r>
      <w:r w:rsidRPr="00C76A30">
        <w:t>MSP</w:t>
      </w:r>
      <w:r w:rsidR="008C0951" w:rsidRPr="00885CCF">
        <w:t xml:space="preserve"> се приканват да предоставят входящи данни за това проучване. Принос ще бъде цялостно разработен и обсъждан в рамките на следващото заседание на </w:t>
      </w:r>
      <w:r w:rsidRPr="00C76A30">
        <w:t>MSP</w:t>
      </w:r>
      <w:r w:rsidR="008C0951" w:rsidRPr="00885CCF">
        <w:t>.</w:t>
      </w:r>
    </w:p>
    <w:p w:rsidR="004A132F" w:rsidRPr="00885CCF" w:rsidRDefault="008C0951">
      <w:pPr>
        <w:pStyle w:val="Heading1"/>
        <w:numPr>
          <w:ilvl w:val="0"/>
          <w:numId w:val="0"/>
        </w:numPr>
        <w:ind w:left="480" w:hanging="480"/>
      </w:pPr>
      <w:r w:rsidRPr="00885CCF">
        <w:t>4. заключения/Следващи стъпки</w:t>
      </w:r>
    </w:p>
    <w:p w:rsidR="004A132F" w:rsidRPr="00885CCF" w:rsidRDefault="008C0951">
      <w:pPr>
        <w:spacing w:after="0"/>
        <w:rPr>
          <w:szCs w:val="24"/>
          <w:lang w:eastAsia="en-GB"/>
        </w:rPr>
      </w:pPr>
      <w:r w:rsidRPr="00885CCF">
        <w:rPr>
          <w:szCs w:val="24"/>
          <w:lang w:eastAsia="en-GB"/>
        </w:rPr>
        <w:t xml:space="preserve">По време на заседанието си на 23 март 2017 г. </w:t>
      </w:r>
      <w:r w:rsidR="009C4782" w:rsidRPr="00885CCF">
        <w:rPr>
          <w:szCs w:val="24"/>
          <w:lang w:eastAsia="en-GB"/>
        </w:rPr>
        <w:t xml:space="preserve">бяха одобрени </w:t>
      </w:r>
      <w:r w:rsidRPr="00885CCF">
        <w:rPr>
          <w:szCs w:val="24"/>
          <w:lang w:eastAsia="en-GB"/>
        </w:rPr>
        <w:t>следните действия:</w:t>
      </w:r>
    </w:p>
    <w:p w:rsidR="004A132F" w:rsidRPr="00885CCF" w:rsidRDefault="004A132F">
      <w:pPr>
        <w:tabs>
          <w:tab w:val="left" w:pos="3131"/>
        </w:tabs>
        <w:spacing w:after="0"/>
        <w:rPr>
          <w:szCs w:val="24"/>
          <w:lang w:eastAsia="en-GB"/>
        </w:rPr>
      </w:pPr>
    </w:p>
    <w:tbl>
      <w:tblPr>
        <w:tblW w:w="9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21"/>
        <w:gridCol w:w="4582"/>
        <w:gridCol w:w="2420"/>
        <w:gridCol w:w="1642"/>
      </w:tblGrid>
      <w:tr w:rsidR="004A132F" w:rsidRPr="00885CCF">
        <w:trPr>
          <w:tblHeader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b/>
                <w:sz w:val="22"/>
                <w:szCs w:val="22"/>
                <w:lang w:eastAsia="en-GB"/>
              </w:rPr>
            </w:pPr>
            <w:r w:rsidRPr="00885CCF">
              <w:rPr>
                <w:b/>
                <w:sz w:val="22"/>
                <w:szCs w:val="22"/>
                <w:lang w:eastAsia="en-GB"/>
              </w:rPr>
              <w:t>Няма.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b/>
                <w:szCs w:val="24"/>
                <w:lang w:eastAsia="en-GB"/>
              </w:rPr>
            </w:pPr>
            <w:r w:rsidRPr="00885CCF">
              <w:rPr>
                <w:b/>
                <w:szCs w:val="24"/>
                <w:lang w:eastAsia="en-GB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b/>
                <w:szCs w:val="24"/>
                <w:lang w:eastAsia="en-GB"/>
              </w:rPr>
            </w:pPr>
            <w:r w:rsidRPr="00885CCF">
              <w:rPr>
                <w:b/>
                <w:szCs w:val="24"/>
                <w:lang w:eastAsia="en-GB"/>
              </w:rPr>
              <w:t>Отговорност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b/>
                <w:szCs w:val="24"/>
                <w:lang w:eastAsia="en-GB"/>
              </w:rPr>
            </w:pPr>
            <w:r w:rsidRPr="00885CCF">
              <w:rPr>
                <w:b/>
                <w:szCs w:val="24"/>
                <w:lang w:eastAsia="en-GB"/>
              </w:rPr>
              <w:t>DL</w:t>
            </w:r>
          </w:p>
        </w:tc>
      </w:tr>
      <w:tr w:rsidR="004A132F" w:rsidRPr="00885CCF">
        <w:trPr>
          <w:trHeight w:val="66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885CCF">
              <w:rPr>
                <w:sz w:val="22"/>
                <w:szCs w:val="22"/>
                <w:lang w:eastAsia="en-GB"/>
              </w:rPr>
              <w:t>19.1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pStyle w:val="Text3"/>
              <w:ind w:left="0"/>
              <w:rPr>
                <w:bCs/>
                <w:szCs w:val="24"/>
              </w:rPr>
            </w:pPr>
            <w:r w:rsidRPr="00885CCF">
              <w:rPr>
                <w:bCs/>
                <w:szCs w:val="24"/>
              </w:rPr>
              <w:t xml:space="preserve">Комисията да предаде предложението, направено в това заседание да се оцени степента на комуникацията между своите </w:t>
            </w:r>
            <w:r w:rsidRPr="00885CCF">
              <w:rPr>
                <w:bCs/>
                <w:szCs w:val="24"/>
              </w:rPr>
              <w:lastRenderedPageBreak/>
              <w:t xml:space="preserve">представители в платформата и </w:t>
            </w:r>
            <w:proofErr w:type="spellStart"/>
            <w:r w:rsidRPr="00885CCF">
              <w:rPr>
                <w:bCs/>
                <w:szCs w:val="24"/>
              </w:rPr>
              <w:t>CoS</w:t>
            </w:r>
            <w:proofErr w:type="spellEnd"/>
            <w:r w:rsidRPr="00885CCF">
              <w:rPr>
                <w:bCs/>
                <w:szCs w:val="24"/>
              </w:rPr>
              <w:t xml:space="preserve"> за обсъждане съгласно JIS действие 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lastRenderedPageBreak/>
              <w:t>Комисията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Следващото заседание JIS действие 7</w:t>
            </w:r>
          </w:p>
        </w:tc>
      </w:tr>
      <w:tr w:rsidR="004A132F" w:rsidRPr="00885CCF">
        <w:trPr>
          <w:trHeight w:val="66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885CCF">
              <w:rPr>
                <w:sz w:val="22"/>
                <w:szCs w:val="22"/>
                <w:lang w:eastAsia="en-GB"/>
              </w:rPr>
              <w:lastRenderedPageBreak/>
              <w:t>19.2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 w:rsidP="00C76A30">
            <w:pPr>
              <w:pStyle w:val="Text3"/>
              <w:ind w:left="0"/>
              <w:rPr>
                <w:i/>
                <w:szCs w:val="24"/>
              </w:rPr>
            </w:pPr>
            <w:r w:rsidRPr="00885CCF">
              <w:rPr>
                <w:szCs w:val="24"/>
              </w:rPr>
              <w:t>Качване на актуализиран вариант на документа, ИКТ/</w:t>
            </w:r>
            <w:r w:rsidR="00C76A30">
              <w:t xml:space="preserve"> </w:t>
            </w:r>
            <w:r w:rsidR="00C76A30" w:rsidRPr="00C76A30">
              <w:rPr>
                <w:szCs w:val="24"/>
              </w:rPr>
              <w:t>MSP</w:t>
            </w:r>
            <w:r w:rsidRPr="00885CCF">
              <w:rPr>
                <w:szCs w:val="24"/>
              </w:rPr>
              <w:t xml:space="preserve"> (2017)454v4 относно статуса на приоритетите за стандартизацията в областта на ИКТ на платформата CIRCABC.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 w:rsidP="00BC6576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Е</w:t>
            </w:r>
            <w:r w:rsidR="00BC6576">
              <w:rPr>
                <w:szCs w:val="24"/>
                <w:lang w:eastAsia="en-GB"/>
              </w:rPr>
              <w:t>К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10 април</w:t>
            </w:r>
          </w:p>
        </w:tc>
      </w:tr>
      <w:tr w:rsidR="004A132F" w:rsidRPr="00885CCF">
        <w:trPr>
          <w:trHeight w:val="66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885CCF">
              <w:rPr>
                <w:sz w:val="22"/>
                <w:szCs w:val="22"/>
                <w:lang w:eastAsia="en-GB"/>
              </w:rPr>
              <w:t>19.3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C76A30">
            <w:pPr>
              <w:pStyle w:val="Text3"/>
              <w:ind w:left="0"/>
            </w:pPr>
            <w:r w:rsidRPr="00C76A30">
              <w:t>Представянето на Работни насоки за Стандарти и оперативна съвместимост на работна група за финансовите технологии (</w:t>
            </w:r>
            <w:proofErr w:type="spellStart"/>
            <w:r w:rsidRPr="00C76A30">
              <w:t>FinTech</w:t>
            </w:r>
            <w:proofErr w:type="spellEnd"/>
            <w:r w:rsidRPr="00C76A30">
              <w:t xml:space="preserve"> </w:t>
            </w:r>
            <w:proofErr w:type="spellStart"/>
            <w:r w:rsidRPr="00C76A30">
              <w:t>Task</w:t>
            </w:r>
            <w:proofErr w:type="spellEnd"/>
            <w:r w:rsidRPr="00C76A30">
              <w:t xml:space="preserve"> </w:t>
            </w:r>
            <w:proofErr w:type="spellStart"/>
            <w:r w:rsidRPr="00C76A30">
              <w:t>Force</w:t>
            </w:r>
            <w:proofErr w:type="spellEnd"/>
            <w:r w:rsidRPr="00C76A30">
              <w:t>) (ГД CNECT F3) беше отложено за следващото заседание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 w:rsidP="00BC6576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Е</w:t>
            </w:r>
            <w:r w:rsidR="00BC6576">
              <w:rPr>
                <w:szCs w:val="24"/>
                <w:lang w:eastAsia="en-GB"/>
              </w:rPr>
              <w:t>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 xml:space="preserve">Да бъде представен на следващото заседание на </w:t>
            </w:r>
            <w:r w:rsidR="00C76A30" w:rsidRPr="00C76A30">
              <w:rPr>
                <w:szCs w:val="24"/>
                <w:lang w:eastAsia="en-GB"/>
              </w:rPr>
              <w:t>MSP</w:t>
            </w:r>
          </w:p>
        </w:tc>
      </w:tr>
      <w:tr w:rsidR="004A132F" w:rsidRPr="00885CCF">
        <w:trPr>
          <w:trHeight w:val="66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885CCF">
              <w:rPr>
                <w:sz w:val="22"/>
                <w:szCs w:val="22"/>
                <w:lang w:eastAsia="en-GB"/>
              </w:rPr>
              <w:t>19.4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BC6576" w:rsidP="00BC6576">
            <w:pPr>
              <w:spacing w:after="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Качване</w:t>
            </w:r>
            <w:r w:rsidR="008C0951" w:rsidRPr="00885CCF">
              <w:rPr>
                <w:szCs w:val="24"/>
                <w:lang w:eastAsia="en-GB"/>
              </w:rPr>
              <w:t xml:space="preserve"> на </w:t>
            </w:r>
            <w:r>
              <w:rPr>
                <w:szCs w:val="24"/>
                <w:lang w:eastAsia="en-GB"/>
              </w:rPr>
              <w:t>идентифицираните</w:t>
            </w:r>
            <w:r w:rsidR="008C0951" w:rsidRPr="00885CCF">
              <w:rPr>
                <w:szCs w:val="24"/>
                <w:lang w:eastAsia="en-GB"/>
              </w:rPr>
              <w:t xml:space="preserve"> технически </w:t>
            </w:r>
            <w:r>
              <w:rPr>
                <w:szCs w:val="24"/>
                <w:lang w:eastAsia="en-GB"/>
              </w:rPr>
              <w:t>спецификации</w:t>
            </w:r>
            <w:r w:rsidR="008C0951" w:rsidRPr="00885CCF">
              <w:rPr>
                <w:szCs w:val="24"/>
                <w:lang w:eastAsia="en-GB"/>
              </w:rPr>
              <w:t xml:space="preserve"> на платформата </w:t>
            </w:r>
            <w:proofErr w:type="spellStart"/>
            <w:r w:rsidR="008C0951" w:rsidRPr="00885CCF">
              <w:rPr>
                <w:szCs w:val="24"/>
                <w:lang w:eastAsia="en-GB"/>
              </w:rPr>
              <w:t>Joinup</w:t>
            </w:r>
            <w:proofErr w:type="spellEnd"/>
            <w:r w:rsidR="008C0951" w:rsidRPr="00885CCF">
              <w:rPr>
                <w:szCs w:val="24"/>
                <w:lang w:eastAsia="en-GB"/>
              </w:rPr>
              <w:t>.</w:t>
            </w:r>
            <w:r w:rsidR="00C76A30"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 w:rsidP="00BC6576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Е</w:t>
            </w:r>
            <w:r w:rsidR="00BC6576">
              <w:rPr>
                <w:szCs w:val="24"/>
                <w:lang w:eastAsia="en-GB"/>
              </w:rPr>
              <w:t>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Не е определен</w:t>
            </w:r>
          </w:p>
        </w:tc>
      </w:tr>
      <w:tr w:rsidR="004A132F" w:rsidRPr="00885CCF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885CCF">
              <w:rPr>
                <w:sz w:val="22"/>
                <w:szCs w:val="22"/>
                <w:lang w:eastAsia="en-GB"/>
              </w:rPr>
              <w:t>19.5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 w:rsidP="00BC6576">
            <w:r w:rsidRPr="00885CCF">
              <w:t xml:space="preserve">Членовете да изпратят допълнителни доброволци да участват в експертната работна група, която бе създадена, за да оцени техническите спецификации за </w:t>
            </w:r>
            <w:r w:rsidR="00BC6576" w:rsidRPr="00BC6576">
              <w:t xml:space="preserve">RDA цитиране на данни за развитие на данни (Data Citation </w:t>
            </w:r>
            <w:proofErr w:type="spellStart"/>
            <w:r w:rsidR="00BC6576" w:rsidRPr="00BC6576">
              <w:t>of</w:t>
            </w:r>
            <w:proofErr w:type="spellEnd"/>
            <w:r w:rsidR="00BC6576" w:rsidRPr="00BC6576">
              <w:t xml:space="preserve"> Evolving Data); RDA Модел за описание на данни за (поддръжка)на регистри за оперативна съвместимост (Data </w:t>
            </w:r>
            <w:proofErr w:type="spellStart"/>
            <w:r w:rsidR="00BC6576" w:rsidRPr="00BC6576">
              <w:t>Description</w:t>
            </w:r>
            <w:proofErr w:type="spellEnd"/>
            <w:r w:rsidR="00BC6576" w:rsidRPr="00BC6576">
              <w:t xml:space="preserve"> </w:t>
            </w:r>
            <w:proofErr w:type="spellStart"/>
            <w:r w:rsidR="00BC6576" w:rsidRPr="00BC6576">
              <w:t>Registry</w:t>
            </w:r>
            <w:proofErr w:type="spellEnd"/>
            <w:r w:rsidR="00BC6576" w:rsidRPr="00BC6576">
              <w:t xml:space="preserve"> </w:t>
            </w:r>
            <w:proofErr w:type="spellStart"/>
            <w:r w:rsidR="00BC6576" w:rsidRPr="00BC6576">
              <w:t>Interoperability</w:t>
            </w:r>
            <w:proofErr w:type="spellEnd"/>
            <w:r w:rsidR="00BC6576" w:rsidRPr="00BC6576">
              <w:t xml:space="preserve"> </w:t>
            </w:r>
            <w:proofErr w:type="spellStart"/>
            <w:r w:rsidR="00BC6576" w:rsidRPr="00BC6576">
              <w:t>Model</w:t>
            </w:r>
            <w:proofErr w:type="spellEnd"/>
            <w:r w:rsidR="00BC6576" w:rsidRPr="00BC6576">
              <w:t xml:space="preserve">); RDA/WDS Каталози за одитни хранилища и сертификация (Repository </w:t>
            </w:r>
            <w:proofErr w:type="spellStart"/>
            <w:r w:rsidR="00BC6576" w:rsidRPr="00BC6576">
              <w:t>Audit</w:t>
            </w:r>
            <w:proofErr w:type="spellEnd"/>
            <w:r w:rsidR="00BC6576" w:rsidRPr="00BC6576">
              <w:t xml:space="preserve"> </w:t>
            </w:r>
            <w:proofErr w:type="spellStart"/>
            <w:r w:rsidR="00BC6576" w:rsidRPr="00BC6576">
              <w:t>and</w:t>
            </w:r>
            <w:proofErr w:type="spellEnd"/>
            <w:r w:rsidR="00BC6576" w:rsidRPr="00BC6576">
              <w:t xml:space="preserve"> </w:t>
            </w:r>
            <w:proofErr w:type="spellStart"/>
            <w:r w:rsidR="00BC6576" w:rsidRPr="00BC6576">
              <w:t>Certification</w:t>
            </w:r>
            <w:proofErr w:type="spellEnd"/>
            <w:r w:rsidR="00BC6576" w:rsidRPr="00BC6576">
              <w:t xml:space="preserve"> </w:t>
            </w:r>
            <w:proofErr w:type="spellStart"/>
            <w:r w:rsidR="00BC6576" w:rsidRPr="00BC6576">
              <w:t>Catalogues</w:t>
            </w:r>
            <w:proofErr w:type="spellEnd"/>
            <w:r w:rsidR="00BC6576" w:rsidRPr="00BC6576">
              <w:t xml:space="preserve">); RDA/WDS Работни процеси за научни изследвания (Workflows </w:t>
            </w:r>
            <w:proofErr w:type="spellStart"/>
            <w:r w:rsidR="00BC6576" w:rsidRPr="00BC6576">
              <w:t>for</w:t>
            </w:r>
            <w:proofErr w:type="spellEnd"/>
            <w:r w:rsidR="00BC6576" w:rsidRPr="00BC6576">
              <w:t xml:space="preserve"> </w:t>
            </w:r>
            <w:proofErr w:type="spellStart"/>
            <w:r w:rsidR="00BC6576" w:rsidRPr="00BC6576">
              <w:t>Research</w:t>
            </w:r>
            <w:proofErr w:type="spellEnd"/>
            <w:r w:rsidR="00BC6576" w:rsidRPr="00BC6576">
              <w:t xml:space="preserve"> Data </w:t>
            </w:r>
            <w:proofErr w:type="spellStart"/>
            <w:r w:rsidR="00BC6576" w:rsidRPr="00BC6576">
              <w:t>Publishing</w:t>
            </w:r>
            <w:proofErr w:type="spellEnd"/>
            <w:r w:rsidR="00BC6576" w:rsidRPr="00BC6576">
              <w:t xml:space="preserve"> </w:t>
            </w:r>
            <w:proofErr w:type="spellStart"/>
            <w:r w:rsidR="00BC6576" w:rsidRPr="00BC6576">
              <w:t>Model</w:t>
            </w:r>
            <w:proofErr w:type="spellEnd"/>
            <w:r w:rsidR="00BC6576" w:rsidRPr="00BC6576">
              <w:t>); RDA/WDS Услуги за публикуване на данни (</w:t>
            </w:r>
            <w:proofErr w:type="spellStart"/>
            <w:r w:rsidR="00BC6576" w:rsidRPr="00BC6576">
              <w:t>Publishing</w:t>
            </w:r>
            <w:proofErr w:type="spellEnd"/>
            <w:r w:rsidR="00BC6576" w:rsidRPr="00BC6576">
              <w:t xml:space="preserve"> Data Services).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BC6576">
            <w:pPr>
              <w:spacing w:after="0"/>
              <w:jc w:val="left"/>
              <w:rPr>
                <w:szCs w:val="24"/>
                <w:lang w:eastAsia="en-GB"/>
              </w:rPr>
            </w:pPr>
            <w:r w:rsidRPr="00BC6576">
              <w:rPr>
                <w:szCs w:val="24"/>
                <w:lang w:eastAsia="en-GB"/>
              </w:rPr>
              <w:t>MSP</w:t>
            </w:r>
            <w:r w:rsidR="008C0951" w:rsidRPr="00885CCF">
              <w:rPr>
                <w:szCs w:val="24"/>
                <w:lang w:eastAsia="en-GB"/>
              </w:rPr>
              <w:t xml:space="preserve"> членове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10 април</w:t>
            </w:r>
          </w:p>
        </w:tc>
      </w:tr>
      <w:tr w:rsidR="004A132F" w:rsidRPr="00885CCF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885CCF">
              <w:rPr>
                <w:sz w:val="22"/>
                <w:szCs w:val="22"/>
                <w:lang w:eastAsia="en-GB"/>
              </w:rPr>
              <w:t>19.6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BC6576">
            <w:pPr>
              <w:pStyle w:val="ListParagraph"/>
              <w:ind w:left="0"/>
            </w:pPr>
            <w:r w:rsidRPr="00BC6576">
              <w:t>MSP</w:t>
            </w:r>
            <w:r w:rsidR="008C0951" w:rsidRPr="00885CCF">
              <w:t xml:space="preserve"> членове да предложат експерти, които да проверяват доклада за оценка за DANE SMTP&amp; STARTTLS и констатации</w:t>
            </w:r>
            <w:r>
              <w:t>те</w:t>
            </w:r>
            <w:r w:rsidR="008C0951" w:rsidRPr="00885CCF"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BC6576">
            <w:pPr>
              <w:spacing w:after="0"/>
              <w:jc w:val="left"/>
              <w:rPr>
                <w:szCs w:val="24"/>
                <w:lang w:eastAsia="en-GB"/>
              </w:rPr>
            </w:pPr>
            <w:r w:rsidRPr="00BC6576">
              <w:rPr>
                <w:szCs w:val="24"/>
                <w:lang w:eastAsia="en-GB"/>
              </w:rPr>
              <w:t>MSP</w:t>
            </w:r>
            <w:r w:rsidR="008C0951" w:rsidRPr="00885CCF">
              <w:rPr>
                <w:szCs w:val="24"/>
                <w:lang w:eastAsia="en-GB"/>
              </w:rPr>
              <w:t xml:space="preserve"> членове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10 април 2017 г.</w:t>
            </w:r>
          </w:p>
        </w:tc>
      </w:tr>
      <w:tr w:rsidR="004A132F" w:rsidRPr="00885CCF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885CCF">
              <w:rPr>
                <w:sz w:val="22"/>
                <w:szCs w:val="22"/>
                <w:lang w:eastAsia="en-GB"/>
              </w:rPr>
              <w:t>19.7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BC6576">
            <w:pPr>
              <w:pStyle w:val="ListParagraph"/>
              <w:ind w:left="0"/>
            </w:pPr>
            <w:r>
              <w:t>Комисията да качи</w:t>
            </w:r>
            <w:r w:rsidR="008C0951" w:rsidRPr="00885CCF">
              <w:t xml:space="preserve"> дневен ред на </w:t>
            </w:r>
            <w:proofErr w:type="spellStart"/>
            <w:r w:rsidR="008C0951" w:rsidRPr="00885CCF">
              <w:t>CoS</w:t>
            </w:r>
            <w:proofErr w:type="spellEnd"/>
            <w:r w:rsidR="008C0951" w:rsidRPr="00885CCF">
              <w:t xml:space="preserve"> в CIRCABC.</w:t>
            </w:r>
          </w:p>
          <w:p w:rsidR="004A132F" w:rsidRPr="00885CCF" w:rsidRDefault="004A132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 w:rsidP="00BC6576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Е</w:t>
            </w:r>
            <w:r w:rsidR="00BC6576">
              <w:rPr>
                <w:szCs w:val="24"/>
                <w:lang w:eastAsia="en-GB"/>
              </w:rPr>
              <w:t>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Когато са налични</w:t>
            </w:r>
          </w:p>
        </w:tc>
      </w:tr>
      <w:tr w:rsidR="004A132F" w:rsidRPr="00885CCF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885CCF">
              <w:rPr>
                <w:sz w:val="22"/>
                <w:szCs w:val="22"/>
                <w:lang w:eastAsia="en-GB"/>
              </w:rPr>
              <w:t>19.8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BC6576" w:rsidP="00BC6576">
            <w:pPr>
              <w:pStyle w:val="ListParagraph"/>
              <w:ind w:left="0"/>
            </w:pPr>
            <w:r w:rsidRPr="00BC6576">
              <w:t>MSP</w:t>
            </w:r>
            <w:r w:rsidR="008C0951" w:rsidRPr="00885CCF">
              <w:t xml:space="preserve"> членовете да предоставят информация относно проучването на фиксирана</w:t>
            </w:r>
            <w:r>
              <w:t>та</w:t>
            </w:r>
            <w:r w:rsidR="008C0951" w:rsidRPr="00885CCF">
              <w:t xml:space="preserve"> и мобилна </w:t>
            </w:r>
            <w:r>
              <w:t>конвергенция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 xml:space="preserve">Членовете на </w:t>
            </w:r>
            <w:r w:rsidR="00BC6576" w:rsidRPr="00BC6576">
              <w:rPr>
                <w:szCs w:val="24"/>
                <w:lang w:eastAsia="en-GB"/>
              </w:rPr>
              <w:t>MSP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rPr>
                <w:szCs w:val="24"/>
                <w:lang w:eastAsia="en-GB"/>
              </w:rPr>
            </w:pPr>
            <w:r w:rsidRPr="00885CCF">
              <w:rPr>
                <w:szCs w:val="24"/>
                <w:lang w:eastAsia="en-GB"/>
              </w:rPr>
              <w:t>5 май 2017 г.</w:t>
            </w:r>
          </w:p>
        </w:tc>
      </w:tr>
      <w:tr w:rsidR="004A132F" w:rsidRPr="00885CCF">
        <w:tc>
          <w:tcPr>
            <w:tcW w:w="9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4A132F">
            <w:pPr>
              <w:spacing w:after="0"/>
              <w:jc w:val="center"/>
              <w:rPr>
                <w:sz w:val="22"/>
                <w:szCs w:val="22"/>
                <w:lang w:eastAsia="en-GB"/>
              </w:rPr>
            </w:pPr>
          </w:p>
          <w:p w:rsidR="004A132F" w:rsidRPr="00885CCF" w:rsidRDefault="008C0951">
            <w:pPr>
              <w:spacing w:after="0"/>
              <w:jc w:val="center"/>
              <w:rPr>
                <w:sz w:val="22"/>
                <w:szCs w:val="22"/>
                <w:lang w:eastAsia="en-GB"/>
              </w:rPr>
            </w:pPr>
            <w:r w:rsidRPr="00885CCF">
              <w:rPr>
                <w:sz w:val="22"/>
                <w:szCs w:val="22"/>
                <w:lang w:eastAsia="en-GB"/>
              </w:rPr>
              <w:t>ОТ ПРЕДИШНОТО ЗАСЕДАНИЕ</w:t>
            </w:r>
          </w:p>
          <w:p w:rsidR="004A132F" w:rsidRPr="00885CCF" w:rsidRDefault="004A132F">
            <w:pPr>
              <w:spacing w:after="0"/>
              <w:jc w:val="center"/>
              <w:rPr>
                <w:szCs w:val="24"/>
                <w:lang w:eastAsia="en-GB"/>
              </w:rPr>
            </w:pPr>
          </w:p>
        </w:tc>
      </w:tr>
      <w:tr w:rsidR="004A132F" w:rsidRPr="00885CCF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pStyle w:val="ListParagraph"/>
              <w:ind w:left="0"/>
            </w:pPr>
            <w:r w:rsidRPr="00885CCF">
              <w:t>18.2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 w:rsidP="00BC6576">
            <w:pPr>
              <w:pStyle w:val="ListParagraph"/>
              <w:ind w:left="0"/>
              <w:jc w:val="both"/>
            </w:pPr>
            <w:r w:rsidRPr="00885CCF">
              <w:t>Да съобщ</w:t>
            </w:r>
            <w:r w:rsidR="00BC6576">
              <w:t>ят</w:t>
            </w:r>
            <w:r w:rsidRPr="00885CCF">
              <w:t xml:space="preserve"> </w:t>
            </w:r>
            <w:r w:rsidR="00BC6576">
              <w:t>имената</w:t>
            </w:r>
            <w:r w:rsidRPr="00885CCF">
              <w:t xml:space="preserve"> &amp; електронни адреси на допълнителни лица, които ще се нуждаят от достъп до CIRCABC на адрес </w:t>
            </w:r>
            <w:r w:rsidRPr="00885CCF">
              <w:lastRenderedPageBreak/>
              <w:t xml:space="preserve">ec-ict-std-platform@ec.europa.eu, за да </w:t>
            </w:r>
            <w:r w:rsidR="00BC6576">
              <w:t>се актуализира</w:t>
            </w:r>
            <w:r w:rsidRPr="00885CCF">
              <w:t xml:space="preserve"> списъка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pStyle w:val="ListParagraph"/>
              <w:ind w:left="0"/>
            </w:pPr>
            <w:r w:rsidRPr="00885CCF">
              <w:lastRenderedPageBreak/>
              <w:t xml:space="preserve">Членовете на </w:t>
            </w:r>
            <w:r w:rsidR="00BC6576" w:rsidRPr="00BC6576">
              <w:t>MSP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pStyle w:val="ListParagraph"/>
              <w:ind w:left="0"/>
            </w:pPr>
            <w:r w:rsidRPr="00885CCF">
              <w:t>15 април 2017 г.</w:t>
            </w:r>
          </w:p>
        </w:tc>
      </w:tr>
      <w:tr w:rsidR="004A132F" w:rsidRPr="00885CCF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pStyle w:val="ListParagraph"/>
              <w:ind w:left="0"/>
            </w:pPr>
            <w:r w:rsidRPr="00885CCF">
              <w:lastRenderedPageBreak/>
              <w:t>18.3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 w:rsidP="00BC6576">
            <w:pPr>
              <w:pStyle w:val="ListParagraph"/>
              <w:ind w:left="0"/>
              <w:jc w:val="both"/>
            </w:pPr>
            <w:r w:rsidRPr="00885CCF">
              <w:t xml:space="preserve">Да </w:t>
            </w:r>
            <w:r w:rsidR="00BC6576">
              <w:t xml:space="preserve">се </w:t>
            </w:r>
            <w:r w:rsidRPr="00885CCF">
              <w:t>изпрат</w:t>
            </w:r>
            <w:r w:rsidR="00BC6576">
              <w:t>ят</w:t>
            </w:r>
            <w:r w:rsidRPr="00885CCF">
              <w:t xml:space="preserve"> писмени материали относно </w:t>
            </w:r>
            <w:proofErr w:type="spellStart"/>
            <w:r w:rsidRPr="00885CCF">
              <w:t>киберсигурността</w:t>
            </w:r>
            <w:proofErr w:type="spellEnd"/>
            <w:r w:rsidRPr="00885CCF">
              <w:t>, неприкосновеността на личния живот и защитата на данните</w:t>
            </w:r>
            <w:r w:rsidR="00BC6576">
              <w:t>, които</w:t>
            </w:r>
            <w:r w:rsidRPr="00885CCF">
              <w:t xml:space="preserve"> са разгледани в </w:t>
            </w:r>
            <w:proofErr w:type="spellStart"/>
            <w:r w:rsidRPr="00885CCF">
              <w:t>ново</w:t>
            </w:r>
            <w:r w:rsidR="00BC6576">
              <w:t>разработени</w:t>
            </w:r>
            <w:proofErr w:type="spellEnd"/>
            <w:r w:rsidRPr="00885CCF">
              <w:t xml:space="preserve"> ИКТ стандарти на CEN</w:t>
            </w:r>
            <w:r w:rsidR="00BC6576">
              <w:t>,</w:t>
            </w:r>
            <w:r w:rsidRPr="00885CCF">
              <w:t xml:space="preserve"> титулярен представител, stefan.weisgerber@din.de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BC6576" w:rsidP="00BC6576">
            <w:pPr>
              <w:pStyle w:val="ListParagraph"/>
              <w:ind w:left="0"/>
            </w:pPr>
            <w:r w:rsidRPr="00BC6576">
              <w:t>MSP</w:t>
            </w:r>
            <w:r w:rsidR="008C0951" w:rsidRPr="00885CCF">
              <w:t xml:space="preserve"> членове (</w:t>
            </w:r>
            <w:r>
              <w:t xml:space="preserve">в частност </w:t>
            </w:r>
            <w:proofErr w:type="spellStart"/>
            <w:r>
              <w:t>стандартизационните</w:t>
            </w:r>
            <w:proofErr w:type="spellEnd"/>
            <w:r>
              <w:t xml:space="preserve"> организации</w:t>
            </w:r>
            <w:r w:rsidR="008C0951" w:rsidRPr="00885CCF">
              <w:t>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pStyle w:val="ListParagraph"/>
              <w:ind w:left="0"/>
            </w:pPr>
            <w:r w:rsidRPr="00885CCF">
              <w:t>18 април</w:t>
            </w:r>
          </w:p>
        </w:tc>
      </w:tr>
      <w:tr w:rsidR="004A132F" w:rsidRPr="00885CCF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</w:pPr>
            <w:r w:rsidRPr="00885CCF">
              <w:t>18.4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 w:rsidP="00BC6576">
            <w:pPr>
              <w:pStyle w:val="ListParagraph"/>
              <w:ind w:left="0"/>
              <w:jc w:val="both"/>
            </w:pPr>
            <w:r w:rsidRPr="00885CCF">
              <w:t>Европейският комитет по стандартизация (CEN) да изготв</w:t>
            </w:r>
            <w:r w:rsidR="00BC6576">
              <w:t>и</w:t>
            </w:r>
            <w:r w:rsidRPr="00885CCF">
              <w:t xml:space="preserve"> консолидирани</w:t>
            </w:r>
            <w:r w:rsidR="00BC6576">
              <w:t>я</w:t>
            </w:r>
            <w:r w:rsidRPr="00885CCF">
              <w:t xml:space="preserve"> си принос за дейности 18.3, който трябва да бъде представен на следващото заседание на </w:t>
            </w:r>
            <w:r w:rsidR="00BC6576" w:rsidRPr="00BC6576">
              <w:t>MSP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</w:pPr>
            <w:r w:rsidRPr="00885CCF">
              <w:t>CEN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A132F" w:rsidRPr="00885CCF" w:rsidRDefault="008C0951">
            <w:pPr>
              <w:spacing w:after="0"/>
              <w:jc w:val="left"/>
              <w:rPr>
                <w:vertAlign w:val="superscript"/>
              </w:rPr>
            </w:pPr>
            <w:r w:rsidRPr="00885CCF">
              <w:t xml:space="preserve">20-о заседание на комисията 13 юни 2017 г. </w:t>
            </w:r>
            <w:r w:rsidR="00BC6576" w:rsidRPr="00BC6576">
              <w:t>MSP</w:t>
            </w:r>
          </w:p>
        </w:tc>
      </w:tr>
    </w:tbl>
    <w:p w:rsidR="004A132F" w:rsidRPr="00885CCF" w:rsidRDefault="004A132F">
      <w:pPr>
        <w:pStyle w:val="ListParagraph"/>
        <w:ind w:left="360"/>
        <w:rPr>
          <w:b/>
        </w:rPr>
      </w:pPr>
    </w:p>
    <w:p w:rsidR="004A132F" w:rsidRPr="00885CCF" w:rsidRDefault="008C0951">
      <w:pPr>
        <w:pStyle w:val="Heading1"/>
        <w:numPr>
          <w:ilvl w:val="0"/>
          <w:numId w:val="7"/>
        </w:numPr>
      </w:pPr>
      <w:r w:rsidRPr="00885CCF">
        <w:t>Списък на участниците</w:t>
      </w:r>
    </w:p>
    <w:p w:rsidR="004A132F" w:rsidRPr="00885CCF" w:rsidRDefault="00BC6576" w:rsidP="00BC6576">
      <w:proofErr w:type="spellStart"/>
      <w:r w:rsidRPr="00BC6576">
        <w:t>Abrahamse</w:t>
      </w:r>
      <w:proofErr w:type="spellEnd"/>
      <w:r w:rsidRPr="00BC6576">
        <w:t xml:space="preserve"> </w:t>
      </w:r>
      <w:proofErr w:type="spellStart"/>
      <w:r w:rsidRPr="00BC6576">
        <w:t>Marijke</w:t>
      </w:r>
      <w:proofErr w:type="spellEnd"/>
      <w:r w:rsidRPr="00BC6576">
        <w:t xml:space="preserve">, </w:t>
      </w:r>
      <w:proofErr w:type="spellStart"/>
      <w:r w:rsidRPr="00BC6576">
        <w:t>Amutio</w:t>
      </w:r>
      <w:proofErr w:type="spellEnd"/>
      <w:r w:rsidRPr="00BC6576">
        <w:t xml:space="preserve"> </w:t>
      </w:r>
      <w:proofErr w:type="spellStart"/>
      <w:r w:rsidRPr="00BC6576">
        <w:t>Miguel</w:t>
      </w:r>
      <w:proofErr w:type="spellEnd"/>
      <w:r w:rsidRPr="00BC6576">
        <w:t xml:space="preserve">, </w:t>
      </w:r>
      <w:proofErr w:type="spellStart"/>
      <w:r w:rsidRPr="00BC6576">
        <w:t>Arquevaux</w:t>
      </w:r>
      <w:proofErr w:type="spellEnd"/>
      <w:r w:rsidRPr="00BC6576">
        <w:t xml:space="preserve"> </w:t>
      </w:r>
      <w:proofErr w:type="spellStart"/>
      <w:r w:rsidRPr="00BC6576">
        <w:t>Remi</w:t>
      </w:r>
      <w:proofErr w:type="spellEnd"/>
      <w:r w:rsidRPr="00BC6576">
        <w:t xml:space="preserve">, </w:t>
      </w:r>
      <w:proofErr w:type="spellStart"/>
      <w:r w:rsidRPr="00BC6576">
        <w:t>Chapman</w:t>
      </w:r>
      <w:proofErr w:type="spellEnd"/>
      <w:r w:rsidRPr="00BC6576">
        <w:t xml:space="preserve"> Martin, </w:t>
      </w:r>
      <w:proofErr w:type="spellStart"/>
      <w:r w:rsidRPr="00BC6576">
        <w:t>Cosgrove-Sacks</w:t>
      </w:r>
      <w:proofErr w:type="spellEnd"/>
      <w:r w:rsidRPr="00BC6576">
        <w:t xml:space="preserve"> </w:t>
      </w:r>
      <w:proofErr w:type="spellStart"/>
      <w:r w:rsidRPr="00BC6576">
        <w:t>Carol</w:t>
      </w:r>
      <w:proofErr w:type="spellEnd"/>
      <w:r w:rsidRPr="00BC6576">
        <w:t xml:space="preserve">, </w:t>
      </w:r>
      <w:proofErr w:type="spellStart"/>
      <w:r w:rsidRPr="00BC6576">
        <w:t>Craik</w:t>
      </w:r>
      <w:proofErr w:type="spellEnd"/>
      <w:r w:rsidRPr="00BC6576">
        <w:t xml:space="preserve"> </w:t>
      </w:r>
      <w:proofErr w:type="spellStart"/>
      <w:r w:rsidRPr="00BC6576">
        <w:t>Gavin</w:t>
      </w:r>
      <w:proofErr w:type="spellEnd"/>
      <w:r w:rsidRPr="00BC6576">
        <w:t xml:space="preserve">, </w:t>
      </w:r>
      <w:proofErr w:type="spellStart"/>
      <w:r w:rsidRPr="00BC6576">
        <w:t>Encarnação</w:t>
      </w:r>
      <w:proofErr w:type="spellEnd"/>
      <w:r w:rsidRPr="00BC6576">
        <w:t xml:space="preserve"> </w:t>
      </w:r>
      <w:proofErr w:type="spellStart"/>
      <w:r w:rsidRPr="00BC6576">
        <w:t>Nuno</w:t>
      </w:r>
      <w:proofErr w:type="spellEnd"/>
      <w:r w:rsidRPr="00BC6576">
        <w:t xml:space="preserve">, </w:t>
      </w:r>
      <w:proofErr w:type="spellStart"/>
      <w:r w:rsidRPr="00BC6576">
        <w:t>Ferrazza</w:t>
      </w:r>
      <w:proofErr w:type="spellEnd"/>
      <w:r w:rsidRPr="00BC6576">
        <w:t xml:space="preserve"> </w:t>
      </w:r>
      <w:proofErr w:type="spellStart"/>
      <w:r w:rsidRPr="00BC6576">
        <w:t>Marcellino</w:t>
      </w:r>
      <w:proofErr w:type="spellEnd"/>
      <w:r w:rsidRPr="00BC6576">
        <w:t xml:space="preserve">, </w:t>
      </w:r>
      <w:proofErr w:type="spellStart"/>
      <w:r w:rsidRPr="00BC6576">
        <w:t>Forge</w:t>
      </w:r>
      <w:proofErr w:type="spellEnd"/>
      <w:r w:rsidRPr="00BC6576">
        <w:t xml:space="preserve"> </w:t>
      </w:r>
      <w:proofErr w:type="spellStart"/>
      <w:r w:rsidRPr="00BC6576">
        <w:t>Simon</w:t>
      </w:r>
      <w:proofErr w:type="spellEnd"/>
      <w:r w:rsidRPr="00BC6576">
        <w:t xml:space="preserve">, </w:t>
      </w:r>
      <w:proofErr w:type="spellStart"/>
      <w:r w:rsidRPr="00BC6576">
        <w:t>Gioavannini</w:t>
      </w:r>
      <w:proofErr w:type="spellEnd"/>
      <w:r w:rsidRPr="00BC6576">
        <w:t xml:space="preserve"> </w:t>
      </w:r>
      <w:proofErr w:type="spellStart"/>
      <w:r w:rsidRPr="00BC6576">
        <w:t>Chiara</w:t>
      </w:r>
      <w:proofErr w:type="spellEnd"/>
      <w:r w:rsidRPr="00BC6576">
        <w:t xml:space="preserve">, </w:t>
      </w:r>
      <w:proofErr w:type="spellStart"/>
      <w:r w:rsidRPr="00BC6576">
        <w:t>Hanahoe</w:t>
      </w:r>
      <w:proofErr w:type="spellEnd"/>
      <w:r w:rsidRPr="00BC6576">
        <w:t xml:space="preserve"> </w:t>
      </w:r>
      <w:proofErr w:type="spellStart"/>
      <w:r w:rsidRPr="00BC6576">
        <w:t>Hilary</w:t>
      </w:r>
      <w:proofErr w:type="spellEnd"/>
      <w:r w:rsidRPr="00BC6576">
        <w:t xml:space="preserve">, </w:t>
      </w:r>
      <w:proofErr w:type="spellStart"/>
      <w:r w:rsidRPr="00BC6576">
        <w:t>Hanssens</w:t>
      </w:r>
      <w:proofErr w:type="spellEnd"/>
      <w:r w:rsidRPr="00BC6576">
        <w:t xml:space="preserve"> </w:t>
      </w:r>
      <w:proofErr w:type="spellStart"/>
      <w:r w:rsidRPr="00BC6576">
        <w:t>Bart</w:t>
      </w:r>
      <w:proofErr w:type="spellEnd"/>
      <w:r w:rsidRPr="00BC6576">
        <w:t xml:space="preserve">, </w:t>
      </w:r>
      <w:proofErr w:type="spellStart"/>
      <w:r w:rsidRPr="00BC6576">
        <w:t>Kuebler-Bork</w:t>
      </w:r>
      <w:proofErr w:type="spellEnd"/>
      <w:r w:rsidRPr="00BC6576">
        <w:t xml:space="preserve"> </w:t>
      </w:r>
      <w:proofErr w:type="spellStart"/>
      <w:r w:rsidRPr="00BC6576">
        <w:t>Annegret</w:t>
      </w:r>
      <w:proofErr w:type="spellEnd"/>
      <w:r w:rsidRPr="00BC6576">
        <w:t xml:space="preserve">, </w:t>
      </w:r>
      <w:proofErr w:type="spellStart"/>
      <w:r w:rsidRPr="00BC6576">
        <w:t>Law</w:t>
      </w:r>
      <w:proofErr w:type="spellEnd"/>
      <w:r w:rsidRPr="00BC6576">
        <w:t xml:space="preserve"> </w:t>
      </w:r>
      <w:proofErr w:type="spellStart"/>
      <w:r w:rsidRPr="00BC6576">
        <w:t>David</w:t>
      </w:r>
      <w:proofErr w:type="spellEnd"/>
      <w:r w:rsidRPr="00BC6576">
        <w:t xml:space="preserve">, </w:t>
      </w:r>
      <w:proofErr w:type="spellStart"/>
      <w:r w:rsidRPr="00BC6576">
        <w:t>Maes</w:t>
      </w:r>
      <w:proofErr w:type="spellEnd"/>
      <w:r w:rsidRPr="00BC6576">
        <w:t xml:space="preserve"> </w:t>
      </w:r>
      <w:proofErr w:type="spellStart"/>
      <w:r w:rsidRPr="00BC6576">
        <w:t>geert</w:t>
      </w:r>
      <w:proofErr w:type="spellEnd"/>
      <w:r w:rsidRPr="00BC6576">
        <w:t xml:space="preserve">, </w:t>
      </w:r>
      <w:proofErr w:type="spellStart"/>
      <w:r w:rsidRPr="00BC6576">
        <w:t>McAuliffe</w:t>
      </w:r>
      <w:proofErr w:type="spellEnd"/>
      <w:r w:rsidRPr="00BC6576">
        <w:t xml:space="preserve"> </w:t>
      </w:r>
      <w:proofErr w:type="spellStart"/>
      <w:r w:rsidRPr="00BC6576">
        <w:t>Brian</w:t>
      </w:r>
      <w:proofErr w:type="spellEnd"/>
      <w:r w:rsidRPr="00BC6576">
        <w:t xml:space="preserve">, </w:t>
      </w:r>
      <w:proofErr w:type="spellStart"/>
      <w:r w:rsidRPr="00BC6576">
        <w:t>Moledo</w:t>
      </w:r>
      <w:proofErr w:type="spellEnd"/>
      <w:r w:rsidRPr="00BC6576">
        <w:t xml:space="preserve"> </w:t>
      </w:r>
      <w:proofErr w:type="spellStart"/>
      <w:r w:rsidRPr="00BC6576">
        <w:t>Alejandro</w:t>
      </w:r>
      <w:proofErr w:type="spellEnd"/>
      <w:r w:rsidRPr="00BC6576">
        <w:t xml:space="preserve">, </w:t>
      </w:r>
      <w:proofErr w:type="spellStart"/>
      <w:r w:rsidRPr="00BC6576">
        <w:t>Munk</w:t>
      </w:r>
      <w:proofErr w:type="spellEnd"/>
      <w:r w:rsidRPr="00BC6576">
        <w:t xml:space="preserve"> </w:t>
      </w:r>
      <w:proofErr w:type="spellStart"/>
      <w:r w:rsidRPr="00BC6576">
        <w:t>Kirsten</w:t>
      </w:r>
      <w:proofErr w:type="spellEnd"/>
      <w:r w:rsidRPr="00BC6576">
        <w:t xml:space="preserve">, </w:t>
      </w:r>
      <w:proofErr w:type="spellStart"/>
      <w:r w:rsidRPr="00BC6576">
        <w:t>Muto</w:t>
      </w:r>
      <w:proofErr w:type="spellEnd"/>
      <w:r w:rsidRPr="00BC6576">
        <w:t xml:space="preserve"> </w:t>
      </w:r>
      <w:proofErr w:type="spellStart"/>
      <w:r w:rsidRPr="00BC6576">
        <w:t>Sachiko</w:t>
      </w:r>
      <w:proofErr w:type="spellEnd"/>
      <w:r w:rsidRPr="00BC6576">
        <w:t xml:space="preserve">, </w:t>
      </w:r>
      <w:proofErr w:type="spellStart"/>
      <w:r w:rsidRPr="00BC6576">
        <w:t>Myhre</w:t>
      </w:r>
      <w:proofErr w:type="spellEnd"/>
      <w:r w:rsidRPr="00BC6576">
        <w:t xml:space="preserve"> </w:t>
      </w:r>
      <w:proofErr w:type="spellStart"/>
      <w:r w:rsidRPr="00BC6576">
        <w:t>Lars</w:t>
      </w:r>
      <w:proofErr w:type="spellEnd"/>
      <w:r w:rsidRPr="00BC6576">
        <w:t xml:space="preserve"> </w:t>
      </w:r>
      <w:proofErr w:type="spellStart"/>
      <w:r w:rsidRPr="00BC6576">
        <w:t>Erik</w:t>
      </w:r>
      <w:proofErr w:type="spellEnd"/>
      <w:r w:rsidRPr="00BC6576">
        <w:t xml:space="preserve">, </w:t>
      </w:r>
      <w:proofErr w:type="spellStart"/>
      <w:r w:rsidRPr="00BC6576">
        <w:t>Ojala</w:t>
      </w:r>
      <w:proofErr w:type="spellEnd"/>
      <w:r w:rsidRPr="00BC6576">
        <w:t xml:space="preserve"> </w:t>
      </w:r>
      <w:proofErr w:type="spellStart"/>
      <w:r w:rsidRPr="00BC6576">
        <w:t>Hannu</w:t>
      </w:r>
      <w:proofErr w:type="spellEnd"/>
      <w:r w:rsidRPr="00BC6576">
        <w:t xml:space="preserve">, </w:t>
      </w:r>
      <w:proofErr w:type="spellStart"/>
      <w:r w:rsidRPr="00BC6576">
        <w:t>Pantos</w:t>
      </w:r>
      <w:proofErr w:type="spellEnd"/>
      <w:r w:rsidRPr="00BC6576">
        <w:t xml:space="preserve"> </w:t>
      </w:r>
      <w:proofErr w:type="spellStart"/>
      <w:r w:rsidRPr="00BC6576">
        <w:t>Georgios</w:t>
      </w:r>
      <w:proofErr w:type="spellEnd"/>
      <w:r w:rsidRPr="00BC6576">
        <w:t xml:space="preserve">, Pesheva Daniela, </w:t>
      </w:r>
      <w:proofErr w:type="spellStart"/>
      <w:r w:rsidRPr="00BC6576">
        <w:t>Poggiali</w:t>
      </w:r>
      <w:proofErr w:type="spellEnd"/>
      <w:r w:rsidRPr="00BC6576">
        <w:t xml:space="preserve"> </w:t>
      </w:r>
      <w:proofErr w:type="spellStart"/>
      <w:r w:rsidRPr="00BC6576">
        <w:t>Francesca</w:t>
      </w:r>
      <w:proofErr w:type="spellEnd"/>
      <w:r w:rsidRPr="00BC6576">
        <w:t xml:space="preserve">, </w:t>
      </w:r>
      <w:proofErr w:type="spellStart"/>
      <w:r w:rsidRPr="00BC6576">
        <w:t>Polidori</w:t>
      </w:r>
      <w:proofErr w:type="spellEnd"/>
      <w:r w:rsidRPr="00BC6576">
        <w:t xml:space="preserve"> </w:t>
      </w:r>
      <w:proofErr w:type="spellStart"/>
      <w:r w:rsidRPr="00BC6576">
        <w:t>Stefano</w:t>
      </w:r>
      <w:proofErr w:type="spellEnd"/>
      <w:r w:rsidRPr="00BC6576">
        <w:t xml:space="preserve">, </w:t>
      </w:r>
      <w:proofErr w:type="spellStart"/>
      <w:r w:rsidRPr="00BC6576">
        <w:t>Porath</w:t>
      </w:r>
      <w:proofErr w:type="spellEnd"/>
      <w:r w:rsidRPr="00BC6576">
        <w:t xml:space="preserve"> </w:t>
      </w:r>
      <w:proofErr w:type="spellStart"/>
      <w:r w:rsidRPr="00BC6576">
        <w:t>Rebekka</w:t>
      </w:r>
      <w:proofErr w:type="spellEnd"/>
      <w:r w:rsidRPr="00BC6576">
        <w:t xml:space="preserve">, </w:t>
      </w:r>
      <w:proofErr w:type="spellStart"/>
      <w:r w:rsidRPr="00BC6576">
        <w:t>Robachevsky</w:t>
      </w:r>
      <w:proofErr w:type="spellEnd"/>
      <w:r w:rsidRPr="00BC6576">
        <w:t xml:space="preserve"> </w:t>
      </w:r>
      <w:proofErr w:type="spellStart"/>
      <w:r w:rsidRPr="00BC6576">
        <w:t>Andrey</w:t>
      </w:r>
      <w:proofErr w:type="spellEnd"/>
      <w:r w:rsidRPr="00BC6576">
        <w:t xml:space="preserve">, </w:t>
      </w:r>
      <w:proofErr w:type="spellStart"/>
      <w:r w:rsidRPr="00BC6576">
        <w:t>Rögnvaldardóttir</w:t>
      </w:r>
      <w:proofErr w:type="spellEnd"/>
      <w:r w:rsidRPr="00BC6576">
        <w:t xml:space="preserve"> </w:t>
      </w:r>
      <w:proofErr w:type="spellStart"/>
      <w:r w:rsidRPr="00BC6576">
        <w:t>Gudrún</w:t>
      </w:r>
      <w:proofErr w:type="spellEnd"/>
      <w:r w:rsidRPr="00BC6576">
        <w:t xml:space="preserve">, </w:t>
      </w:r>
      <w:proofErr w:type="spellStart"/>
      <w:r w:rsidRPr="00BC6576">
        <w:t>Santos</w:t>
      </w:r>
      <w:proofErr w:type="spellEnd"/>
      <w:r w:rsidRPr="00BC6576">
        <w:t xml:space="preserve"> </w:t>
      </w:r>
      <w:proofErr w:type="spellStart"/>
      <w:r w:rsidRPr="00BC6576">
        <w:t>Jorge</w:t>
      </w:r>
      <w:proofErr w:type="spellEnd"/>
      <w:r w:rsidRPr="00BC6576">
        <w:t xml:space="preserve">, </w:t>
      </w:r>
      <w:proofErr w:type="spellStart"/>
      <w:r w:rsidRPr="00BC6576">
        <w:t>Sebestyén</w:t>
      </w:r>
      <w:proofErr w:type="spellEnd"/>
      <w:r w:rsidRPr="00BC6576">
        <w:t xml:space="preserve"> </w:t>
      </w:r>
      <w:proofErr w:type="spellStart"/>
      <w:r w:rsidRPr="00BC6576">
        <w:t>István</w:t>
      </w:r>
      <w:proofErr w:type="spellEnd"/>
      <w:r w:rsidRPr="00BC6576">
        <w:t xml:space="preserve">, </w:t>
      </w:r>
      <w:proofErr w:type="spellStart"/>
      <w:r w:rsidRPr="00BC6576">
        <w:t>Skip</w:t>
      </w:r>
      <w:proofErr w:type="spellEnd"/>
      <w:r w:rsidRPr="00BC6576">
        <w:t xml:space="preserve"> Miroslav, </w:t>
      </w:r>
      <w:proofErr w:type="spellStart"/>
      <w:r w:rsidRPr="00BC6576">
        <w:t>Szilva</w:t>
      </w:r>
      <w:proofErr w:type="spellEnd"/>
      <w:r w:rsidRPr="00BC6576">
        <w:t xml:space="preserve"> </w:t>
      </w:r>
      <w:proofErr w:type="spellStart"/>
      <w:r w:rsidRPr="00BC6576">
        <w:t>Stefan</w:t>
      </w:r>
      <w:proofErr w:type="spellEnd"/>
      <w:r w:rsidRPr="00BC6576">
        <w:t xml:space="preserve">, </w:t>
      </w:r>
      <w:proofErr w:type="spellStart"/>
      <w:r w:rsidRPr="00BC6576">
        <w:t>Tziapouras</w:t>
      </w:r>
      <w:proofErr w:type="spellEnd"/>
      <w:r w:rsidRPr="00BC6576">
        <w:t xml:space="preserve"> </w:t>
      </w:r>
      <w:proofErr w:type="spellStart"/>
      <w:r w:rsidRPr="00BC6576">
        <w:t>Marios</w:t>
      </w:r>
      <w:proofErr w:type="spellEnd"/>
      <w:r w:rsidRPr="00BC6576">
        <w:t xml:space="preserve"> van </w:t>
      </w:r>
      <w:proofErr w:type="spellStart"/>
      <w:r w:rsidRPr="00BC6576">
        <w:t>Burg</w:t>
      </w:r>
      <w:proofErr w:type="spellEnd"/>
      <w:r w:rsidRPr="00BC6576">
        <w:t xml:space="preserve"> </w:t>
      </w:r>
      <w:proofErr w:type="spellStart"/>
      <w:r w:rsidRPr="00BC6576">
        <w:t>Harm</w:t>
      </w:r>
      <w:proofErr w:type="spellEnd"/>
      <w:r w:rsidRPr="00BC6576">
        <w:t xml:space="preserve"> </w:t>
      </w:r>
      <w:proofErr w:type="spellStart"/>
      <w:r w:rsidRPr="00BC6576">
        <w:t>Jan</w:t>
      </w:r>
      <w:proofErr w:type="spellEnd"/>
      <w:r w:rsidRPr="00BC6576">
        <w:t xml:space="preserve">, </w:t>
      </w:r>
      <w:proofErr w:type="spellStart"/>
      <w:r w:rsidRPr="00BC6576">
        <w:t>Wadoux</w:t>
      </w:r>
      <w:proofErr w:type="spellEnd"/>
      <w:r w:rsidRPr="00BC6576">
        <w:t xml:space="preserve"> Julia, </w:t>
      </w:r>
      <w:proofErr w:type="spellStart"/>
      <w:r w:rsidRPr="00BC6576">
        <w:t>Walshe</w:t>
      </w:r>
      <w:proofErr w:type="spellEnd"/>
      <w:r w:rsidRPr="00BC6576">
        <w:t xml:space="preserve"> </w:t>
      </w:r>
      <w:proofErr w:type="spellStart"/>
      <w:r w:rsidRPr="00BC6576">
        <w:t>Ray</w:t>
      </w:r>
      <w:proofErr w:type="spellEnd"/>
      <w:r w:rsidRPr="00BC6576">
        <w:t xml:space="preserve">, </w:t>
      </w:r>
      <w:proofErr w:type="spellStart"/>
      <w:r w:rsidRPr="00BC6576">
        <w:t>Weiler</w:t>
      </w:r>
      <w:proofErr w:type="spellEnd"/>
      <w:r w:rsidRPr="00BC6576">
        <w:t xml:space="preserve"> </w:t>
      </w:r>
      <w:proofErr w:type="spellStart"/>
      <w:r w:rsidRPr="00BC6576">
        <w:t>Dirk</w:t>
      </w:r>
      <w:proofErr w:type="spellEnd"/>
      <w:r w:rsidRPr="00BC6576">
        <w:t xml:space="preserve">, </w:t>
      </w:r>
      <w:proofErr w:type="spellStart"/>
      <w:r w:rsidRPr="00BC6576">
        <w:t>Weisgerber</w:t>
      </w:r>
      <w:proofErr w:type="spellEnd"/>
      <w:r w:rsidRPr="00BC6576">
        <w:t xml:space="preserve"> </w:t>
      </w:r>
      <w:proofErr w:type="spellStart"/>
      <w:r w:rsidRPr="00BC6576">
        <w:t>Stefan</w:t>
      </w:r>
      <w:proofErr w:type="spellEnd"/>
      <w:r w:rsidRPr="00BC6576">
        <w:t xml:space="preserve">, </w:t>
      </w:r>
      <w:proofErr w:type="spellStart"/>
      <w:r w:rsidRPr="00BC6576">
        <w:t>Wenning</w:t>
      </w:r>
      <w:proofErr w:type="spellEnd"/>
      <w:r w:rsidRPr="00BC6576">
        <w:t xml:space="preserve"> </w:t>
      </w:r>
      <w:proofErr w:type="spellStart"/>
      <w:r w:rsidRPr="00BC6576">
        <w:t>Rigo</w:t>
      </w:r>
      <w:proofErr w:type="spellEnd"/>
      <w:r w:rsidRPr="00BC6576">
        <w:t xml:space="preserve">, </w:t>
      </w:r>
      <w:proofErr w:type="spellStart"/>
      <w:r w:rsidRPr="00BC6576">
        <w:t>Willson</w:t>
      </w:r>
      <w:proofErr w:type="spellEnd"/>
      <w:r w:rsidRPr="00BC6576">
        <w:t xml:space="preserve"> </w:t>
      </w:r>
      <w:proofErr w:type="spellStart"/>
      <w:r w:rsidRPr="00BC6576">
        <w:t>Thomas</w:t>
      </w:r>
      <w:proofErr w:type="spellEnd"/>
      <w:r w:rsidRPr="00BC6576">
        <w:t xml:space="preserve">, </w:t>
      </w:r>
      <w:proofErr w:type="spellStart"/>
      <w:r w:rsidRPr="00BC6576">
        <w:t>Wirths</w:t>
      </w:r>
      <w:proofErr w:type="spellEnd"/>
      <w:r w:rsidRPr="00BC6576">
        <w:t xml:space="preserve"> </w:t>
      </w:r>
      <w:proofErr w:type="spellStart"/>
      <w:r w:rsidRPr="00BC6576">
        <w:t>Franziska</w:t>
      </w:r>
      <w:proofErr w:type="spellEnd"/>
      <w:r w:rsidRPr="00BC6576">
        <w:t xml:space="preserve">, </w:t>
      </w:r>
      <w:proofErr w:type="spellStart"/>
      <w:r w:rsidRPr="00BC6576">
        <w:t>Wurges</w:t>
      </w:r>
      <w:proofErr w:type="spellEnd"/>
      <w:r w:rsidRPr="00BC6576">
        <w:t xml:space="preserve"> </w:t>
      </w:r>
      <w:proofErr w:type="spellStart"/>
      <w:r w:rsidRPr="00BC6576">
        <w:t>Dominique</w:t>
      </w:r>
      <w:proofErr w:type="spellEnd"/>
      <w:r w:rsidRPr="00BC6576">
        <w:t xml:space="preserve">, </w:t>
      </w:r>
      <w:proofErr w:type="spellStart"/>
      <w:r w:rsidRPr="00BC6576">
        <w:t>Zibell</w:t>
      </w:r>
      <w:proofErr w:type="spellEnd"/>
      <w:r w:rsidRPr="00BC6576">
        <w:t xml:space="preserve"> </w:t>
      </w:r>
      <w:proofErr w:type="spellStart"/>
      <w:r w:rsidRPr="00BC6576">
        <w:t>Laurent</w:t>
      </w:r>
      <w:proofErr w:type="spellEnd"/>
      <w:r w:rsidRPr="00BC6576">
        <w:t xml:space="preserve">, </w:t>
      </w:r>
      <w:proofErr w:type="spellStart"/>
      <w:r w:rsidRPr="00BC6576">
        <w:t>Zorc</w:t>
      </w:r>
      <w:proofErr w:type="spellEnd"/>
      <w:r w:rsidRPr="00BC6576">
        <w:t xml:space="preserve"> </w:t>
      </w:r>
      <w:proofErr w:type="spellStart"/>
      <w:r w:rsidRPr="00BC6576">
        <w:t>Samo</w:t>
      </w:r>
      <w:proofErr w:type="spellEnd"/>
      <w:r w:rsidRPr="00BC6576">
        <w:t xml:space="preserve">, </w:t>
      </w:r>
      <w:r>
        <w:t>екипът на ЕК</w:t>
      </w:r>
      <w:r w:rsidRPr="00BC6576">
        <w:t>.</w:t>
      </w:r>
    </w:p>
    <w:sectPr w:rsidR="004A132F" w:rsidRPr="00885C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0" w:right="1133" w:bottom="1020" w:left="1587" w:header="601" w:footer="533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9E" w:rsidRDefault="0061479E">
      <w:pPr>
        <w:spacing w:after="0"/>
      </w:pPr>
      <w:r>
        <w:separator/>
      </w:r>
    </w:p>
  </w:endnote>
  <w:endnote w:type="continuationSeparator" w:id="0">
    <w:p w:rsidR="0061479E" w:rsidRDefault="00614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42" w:rsidRDefault="00295E4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BC6576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42" w:rsidRDefault="00295E42">
    <w:pPr>
      <w:pStyle w:val="Footer"/>
      <w:rPr>
        <w:sz w:val="24"/>
        <w:szCs w:val="24"/>
        <w:lang w:val="en-US"/>
      </w:rPr>
    </w:pPr>
  </w:p>
  <w:p w:rsidR="00295E42" w:rsidRDefault="00295E42">
    <w:pPr>
      <w:pStyle w:val="Footer"/>
      <w:rPr>
        <w:lang w:val="en-US"/>
      </w:rPr>
    </w:pPr>
    <w:proofErr w:type="spellStart"/>
    <w:r>
      <w:rPr>
        <w:lang w:val="fr-BE"/>
      </w:rPr>
      <w:t>Европейска</w:t>
    </w:r>
    <w:proofErr w:type="spellEnd"/>
    <w:r>
      <w:rPr>
        <w:lang w:val="fr-BE"/>
      </w:rPr>
      <w:t xml:space="preserve"> </w:t>
    </w:r>
    <w:proofErr w:type="spellStart"/>
    <w:r>
      <w:rPr>
        <w:lang w:val="fr-BE"/>
      </w:rPr>
      <w:t>комисия</w:t>
    </w:r>
    <w:proofErr w:type="spellEnd"/>
    <w:r>
      <w:rPr>
        <w:lang w:val="fr-BE"/>
      </w:rPr>
      <w:t>/</w:t>
    </w:r>
    <w:proofErr w:type="spellStart"/>
    <w:r>
      <w:rPr>
        <w:lang w:val="fr-BE"/>
      </w:rPr>
      <w:t>Europese</w:t>
    </w:r>
    <w:proofErr w:type="spellEnd"/>
    <w:r>
      <w:rPr>
        <w:lang w:val="fr-BE"/>
      </w:rPr>
      <w:t xml:space="preserve"> </w:t>
    </w:r>
    <w:proofErr w:type="spellStart"/>
    <w:r>
      <w:rPr>
        <w:lang w:val="fr-BE"/>
      </w:rPr>
      <w:t>Commissie</w:t>
    </w:r>
    <w:proofErr w:type="spellEnd"/>
    <w:r>
      <w:rPr>
        <w:lang w:val="fr-BE"/>
      </w:rPr>
      <w:t xml:space="preserve">, 1049 Bruxelles/Brussel, BELGIQUE/BELGIË — </w:t>
    </w:r>
    <w:proofErr w:type="spellStart"/>
    <w:r>
      <w:rPr>
        <w:lang w:val="fr-BE"/>
      </w:rPr>
      <w:t>Тел</w:t>
    </w:r>
    <w:proofErr w:type="spellEnd"/>
    <w:r>
      <w:rPr>
        <w:lang w:val="fr-BE"/>
      </w:rPr>
      <w:t>. + 32 22991111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9E" w:rsidRDefault="0061479E">
      <w:r>
        <w:separator/>
      </w:r>
    </w:p>
  </w:footnote>
  <w:footnote w:type="continuationSeparator" w:id="0">
    <w:p w:rsidR="0061479E" w:rsidRDefault="0061479E">
      <w:r>
        <w:continuationSeparator/>
      </w:r>
    </w:p>
  </w:footnote>
  <w:footnote w:id="1">
    <w:p w:rsidR="00295E42" w:rsidRDefault="00295E42">
      <w:pPr>
        <w:pStyle w:val="FootnoteText"/>
        <w:spacing w:after="0"/>
      </w:pPr>
      <w:r>
        <w:footnoteRef/>
      </w:r>
      <w:r>
        <w:tab/>
        <w:t>Публикувано в Регистъра на експертните групи към Комисията и други подобни органи, код номер E02758</w:t>
      </w:r>
    </w:p>
  </w:footnote>
  <w:footnote w:id="2">
    <w:p w:rsidR="00295E42" w:rsidRDefault="00295E42">
      <w:pPr>
        <w:pStyle w:val="FootnoteText"/>
        <w:spacing w:after="0"/>
        <w:ind w:left="0" w:firstLine="0"/>
      </w:pPr>
      <w:r>
        <w:footnoteRef/>
      </w:r>
      <w:r>
        <w:tab/>
      </w:r>
      <w:r>
        <w:t>Платформата се състои от представители от държавите членки и страните от ЕАСТ, както и на европейските и международните органи за стандартизация и други организации с нестопанска цел, действащи в Европа при разработването на стандарти в областта на ИКТ и организации, представляващи отрасъла, малките и средните предприятия, потребителите и други заинтересовани обществени групи, назначени от Комисията.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42" w:rsidRDefault="00295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42" w:rsidRDefault="00295E4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4B96"/>
    <w:multiLevelType w:val="multilevel"/>
    <w:tmpl w:val="05FC0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72B6888"/>
    <w:multiLevelType w:val="multilevel"/>
    <w:tmpl w:val="0AFE13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291261B4"/>
    <w:multiLevelType w:val="multilevel"/>
    <w:tmpl w:val="FAB23D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C910445"/>
    <w:multiLevelType w:val="multilevel"/>
    <w:tmpl w:val="12CEE1D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8EC0C2E"/>
    <w:multiLevelType w:val="multilevel"/>
    <w:tmpl w:val="09A8BA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0C1F73"/>
    <w:multiLevelType w:val="multilevel"/>
    <w:tmpl w:val="6C16E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B6E02"/>
    <w:multiLevelType w:val="multilevel"/>
    <w:tmpl w:val="05D86A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2F"/>
    <w:rsid w:val="000518F8"/>
    <w:rsid w:val="00173D13"/>
    <w:rsid w:val="001E1423"/>
    <w:rsid w:val="002716B9"/>
    <w:rsid w:val="00295E42"/>
    <w:rsid w:val="00352189"/>
    <w:rsid w:val="00377732"/>
    <w:rsid w:val="00385117"/>
    <w:rsid w:val="003F6CA4"/>
    <w:rsid w:val="004A132F"/>
    <w:rsid w:val="0061479E"/>
    <w:rsid w:val="00885CCF"/>
    <w:rsid w:val="008C0951"/>
    <w:rsid w:val="008D7619"/>
    <w:rsid w:val="00982DCD"/>
    <w:rsid w:val="009C4782"/>
    <w:rsid w:val="00AF3001"/>
    <w:rsid w:val="00B12A30"/>
    <w:rsid w:val="00B169BB"/>
    <w:rsid w:val="00BC6576"/>
    <w:rsid w:val="00C074E2"/>
    <w:rsid w:val="00C76A30"/>
    <w:rsid w:val="00CB7BBE"/>
    <w:rsid w:val="00E65A24"/>
    <w:rsid w:val="00F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56214-BC01-4F30-9516-FB27CAA2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bg-BG" w:eastAsia="en-US"/>
    </w:rPr>
  </w:style>
  <w:style w:type="paragraph" w:styleId="Heading1">
    <w:name w:val="heading 1"/>
    <w:basedOn w:val="Normal"/>
    <w:qFormat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qFormat/>
    <w:pPr>
      <w:keepNext/>
      <w:spacing w:before="240" w:after="360"/>
      <w:outlineLvl w:val="1"/>
    </w:pPr>
    <w:rPr>
      <w:b/>
    </w:rPr>
  </w:style>
  <w:style w:type="paragraph" w:styleId="Heading3">
    <w:name w:val="heading 3"/>
    <w:basedOn w:val="Normal"/>
    <w:qFormat/>
    <w:pPr>
      <w:keepNext/>
      <w:numPr>
        <w:ilvl w:val="2"/>
        <w:numId w:val="1"/>
      </w:numPr>
      <w:spacing w:before="120" w:after="360"/>
      <w:outlineLvl w:val="2"/>
    </w:pPr>
    <w:rPr>
      <w:b/>
      <w:i/>
    </w:rPr>
  </w:style>
  <w:style w:type="paragraph" w:styleId="Heading4">
    <w:name w:val="heading 4"/>
    <w:basedOn w:val="Normal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FooterChar">
    <w:name w:val="Footer Char"/>
    <w:basedOn w:val="DefaultParagraphFont"/>
    <w:qFormat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qFormat/>
    <w:rPr>
      <w:sz w:val="24"/>
      <w:lang w:eastAsia="en-US"/>
    </w:rPr>
  </w:style>
  <w:style w:type="character" w:customStyle="1" w:styleId="SignatureChar">
    <w:name w:val="Signature Char"/>
    <w:basedOn w:val="DefaultParagraphFont"/>
    <w:qFormat/>
    <w:rPr>
      <w:sz w:val="24"/>
      <w:lang w:eastAsia="en-US"/>
    </w:rPr>
  </w:style>
  <w:style w:type="character" w:customStyle="1" w:styleId="HeaderChar">
    <w:name w:val="Header Char"/>
    <w:basedOn w:val="DefaultParagraphFont"/>
    <w:qFormat/>
    <w:rPr>
      <w:sz w:val="24"/>
      <w:lang w:eastAsia="en-US"/>
    </w:rPr>
  </w:style>
  <w:style w:type="character" w:customStyle="1" w:styleId="FootnoteTextChar">
    <w:name w:val="Footnote Text Char"/>
    <w:basedOn w:val="DefaultParagraphFont"/>
    <w:qFormat/>
    <w:rPr>
      <w:lang w:eastAsia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lang w:eastAsia="en-US"/>
    </w:rPr>
  </w:style>
  <w:style w:type="character" w:customStyle="1" w:styleId="CommentSubjectChar">
    <w:name w:val="Comment Subject Char"/>
    <w:basedOn w:val="CommentTextChar"/>
    <w:qFormat/>
    <w:rPr>
      <w:b/>
      <w:bCs/>
      <w:lang w:eastAsia="en-US"/>
    </w:rPr>
  </w:style>
  <w:style w:type="character" w:customStyle="1" w:styleId="ListLabel1">
    <w:name w:val="ListLabel 1"/>
    <w:qFormat/>
    <w:rPr>
      <w:rFonts w:eastAsia="MS Mincho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qFormat/>
    <w:pPr>
      <w:tabs>
        <w:tab w:val="left" w:pos="2160"/>
      </w:tabs>
      <w:ind w:left="1077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916"/>
    </w:pPr>
  </w:style>
  <w:style w:type="paragraph" w:customStyle="1" w:styleId="Text4">
    <w:name w:val="Text 4"/>
    <w:basedOn w:val="Normal"/>
    <w:qFormat/>
    <w:pPr>
      <w:ind w:left="2880"/>
    </w:p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qFormat/>
    <w:pPr>
      <w:spacing w:after="720"/>
      <w:jc w:val="left"/>
    </w:p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</w:rPr>
  </w:style>
  <w:style w:type="paragraph" w:styleId="BodyTextIndent">
    <w:name w:val="Body Text Indent"/>
    <w:basedOn w:val="TextBody"/>
    <w:qFormat/>
    <w:pPr>
      <w:ind w:firstLine="210"/>
    </w:pPr>
  </w:style>
  <w:style w:type="paragraph" w:customStyle="1" w:styleId="TextBodyIndent">
    <w:name w:val="Text Body Indent"/>
    <w:basedOn w:val="Normal"/>
    <w:pPr>
      <w:spacing w:after="120"/>
      <w:ind w:left="283"/>
    </w:pPr>
  </w:style>
  <w:style w:type="paragraph" w:styleId="BodyTextFirstIndent2">
    <w:name w:val="Body Text First Indent 2"/>
    <w:basedOn w:val="TextBodyIndent"/>
    <w:qFormat/>
    <w:pPr>
      <w:ind w:firstLine="210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</w:rPr>
  </w:style>
  <w:style w:type="paragraph" w:styleId="Closing">
    <w:name w:val="Closing"/>
    <w:basedOn w:val="Normal"/>
    <w:next w:val="Signature"/>
    <w:qFormat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qFormat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qFormat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qFormat/>
    <w:rPr>
      <w:sz w:val="20"/>
    </w:rPr>
  </w:style>
  <w:style w:type="paragraph" w:styleId="Date">
    <w:name w:val="Date"/>
    <w:basedOn w:val="Normal"/>
    <w:qFormat/>
    <w:pPr>
      <w:spacing w:after="0"/>
      <w:ind w:left="5103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qFormat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qFormat/>
    <w:rPr>
      <w:sz w:val="20"/>
    </w:rPr>
  </w:style>
  <w:style w:type="paragraph" w:styleId="EnvelopeAddress">
    <w:name w:val="envelope address"/>
    <w:basedOn w:val="Normal"/>
    <w:qFormat/>
    <w:pPr>
      <w:spacing w:after="0"/>
    </w:pPr>
  </w:style>
  <w:style w:type="paragraph" w:styleId="EnvelopeReturn">
    <w:name w:val="envelope return"/>
    <w:basedOn w:val="Normal"/>
    <w:qFormat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qFormat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qFormat/>
    <w:pPr>
      <w:ind w:left="240" w:hanging="240"/>
    </w:pPr>
  </w:style>
  <w:style w:type="paragraph" w:styleId="Index2">
    <w:name w:val="index 2"/>
    <w:basedOn w:val="Normal"/>
    <w:next w:val="Normal"/>
    <w:autoRedefine/>
    <w:qFormat/>
    <w:pPr>
      <w:ind w:left="480" w:hanging="240"/>
    </w:pPr>
  </w:style>
  <w:style w:type="paragraph" w:styleId="Index3">
    <w:name w:val="index 3"/>
    <w:basedOn w:val="Normal"/>
    <w:next w:val="Normal"/>
    <w:autoRedefine/>
    <w:qFormat/>
    <w:pPr>
      <w:ind w:left="720" w:hanging="240"/>
    </w:pPr>
  </w:style>
  <w:style w:type="paragraph" w:styleId="Index4">
    <w:name w:val="index 4"/>
    <w:basedOn w:val="Normal"/>
    <w:next w:val="Normal"/>
    <w:autoRedefine/>
    <w:qFormat/>
    <w:pPr>
      <w:ind w:left="960" w:hanging="240"/>
    </w:pPr>
  </w:style>
  <w:style w:type="paragraph" w:styleId="Index5">
    <w:name w:val="index 5"/>
    <w:basedOn w:val="Normal"/>
    <w:next w:val="Normal"/>
    <w:autoRedefine/>
    <w:qFormat/>
    <w:pPr>
      <w:ind w:left="1200" w:hanging="240"/>
    </w:pPr>
  </w:style>
  <w:style w:type="paragraph" w:styleId="Index6">
    <w:name w:val="index 6"/>
    <w:basedOn w:val="Normal"/>
    <w:next w:val="Normal"/>
    <w:autoRedefine/>
    <w:qFormat/>
    <w:pPr>
      <w:ind w:left="1440" w:hanging="240"/>
    </w:pPr>
  </w:style>
  <w:style w:type="paragraph" w:styleId="Index7">
    <w:name w:val="index 7"/>
    <w:basedOn w:val="Normal"/>
    <w:next w:val="Normal"/>
    <w:autoRedefine/>
    <w:qFormat/>
    <w:pPr>
      <w:ind w:left="1680" w:hanging="240"/>
    </w:pPr>
  </w:style>
  <w:style w:type="paragraph" w:styleId="Index8">
    <w:name w:val="index 8"/>
    <w:basedOn w:val="Normal"/>
    <w:next w:val="Normal"/>
    <w:autoRedefine/>
    <w:qFormat/>
    <w:pPr>
      <w:ind w:left="1920" w:hanging="240"/>
    </w:pPr>
  </w:style>
  <w:style w:type="paragraph" w:styleId="Index9">
    <w:name w:val="index 9"/>
    <w:basedOn w:val="Normal"/>
    <w:next w:val="Normal"/>
    <w:autoRedefine/>
    <w:qFormat/>
    <w:pPr>
      <w:ind w:left="2160" w:hanging="240"/>
    </w:pPr>
  </w:style>
  <w:style w:type="paragraph" w:styleId="IndexHeading">
    <w:name w:val="index heading"/>
    <w:basedOn w:val="Normal"/>
    <w:qFormat/>
    <w:rPr>
      <w:rFonts w:ascii="Arial" w:hAnsi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qFormat/>
  </w:style>
  <w:style w:type="paragraph" w:styleId="ListBullet2">
    <w:name w:val="List Bullet 2"/>
    <w:basedOn w:val="Text2"/>
    <w:qFormat/>
  </w:style>
  <w:style w:type="paragraph" w:styleId="ListBullet3">
    <w:name w:val="List Bullet 3"/>
    <w:basedOn w:val="Text3"/>
    <w:qFormat/>
  </w:style>
  <w:style w:type="paragraph" w:styleId="ListBullet4">
    <w:name w:val="List Bullet 4"/>
    <w:basedOn w:val="Text4"/>
    <w:qFormat/>
  </w:style>
  <w:style w:type="paragraph" w:styleId="ListBullet5">
    <w:name w:val="List Bullet 5"/>
    <w:basedOn w:val="Normal"/>
    <w:autoRedefine/>
    <w:qFormat/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Number">
    <w:name w:val="List Number"/>
    <w:basedOn w:val="Normal"/>
    <w:qFormat/>
  </w:style>
  <w:style w:type="paragraph" w:styleId="ListNumber2">
    <w:name w:val="List Number 2"/>
    <w:basedOn w:val="Text2"/>
    <w:qFormat/>
  </w:style>
  <w:style w:type="paragraph" w:styleId="ListNumber3">
    <w:name w:val="List Number 3"/>
    <w:basedOn w:val="Text3"/>
    <w:qFormat/>
  </w:style>
  <w:style w:type="paragraph" w:styleId="ListNumber4">
    <w:name w:val="List Number 4"/>
    <w:basedOn w:val="Text4"/>
    <w:qFormat/>
  </w:style>
  <w:style w:type="paragraph" w:styleId="ListNumber5">
    <w:name w:val="List Number 5"/>
    <w:basedOn w:val="Normal"/>
    <w:qFormat/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MessageHeader">
    <w:name w:val="Message Header"/>
    <w:basedOn w:val="Normal"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qFormat/>
    <w:pPr>
      <w:ind w:left="720"/>
    </w:pPr>
  </w:style>
  <w:style w:type="paragraph" w:styleId="NoteHeading">
    <w:name w:val="Note Heading"/>
    <w:basedOn w:val="Normal"/>
    <w:next w:val="Normal"/>
    <w:qFormat/>
  </w:style>
  <w:style w:type="paragraph" w:customStyle="1" w:styleId="NoteHead">
    <w:name w:val="NoteHead"/>
    <w:basedOn w:val="Normal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qFormat/>
    <w:pPr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Heading2"/>
    <w:qFormat/>
    <w:rPr>
      <w:b w:val="0"/>
    </w:rPr>
  </w:style>
  <w:style w:type="paragraph" w:customStyle="1" w:styleId="NumPar3">
    <w:name w:val="NumPar 3"/>
    <w:basedOn w:val="Heading3"/>
    <w:qFormat/>
    <w:pPr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Heading4"/>
    <w:qFormat/>
    <w:pPr>
      <w:numPr>
        <w:ilvl w:val="0"/>
        <w:numId w:val="0"/>
      </w:numPr>
    </w:p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customStyle="1" w:styleId="ComplimentaryClose">
    <w:name w:val="Complimentary Close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</w:style>
  <w:style w:type="paragraph" w:styleId="TableofFigures">
    <w:name w:val="table of figures"/>
    <w:basedOn w:val="Normal"/>
    <w:next w:val="Normal"/>
    <w:qFormat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/>
      <w:b/>
    </w:rPr>
  </w:style>
  <w:style w:type="paragraph" w:customStyle="1" w:styleId="Contents1">
    <w:name w:val="Contents 1"/>
    <w:basedOn w:val="Normal"/>
    <w:next w:val="Normal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customStyle="1" w:styleId="Contents2">
    <w:name w:val="Contents 2"/>
    <w:basedOn w:val="Normal"/>
    <w:next w:val="Normal"/>
    <w:pPr>
      <w:tabs>
        <w:tab w:val="right" w:leader="dot" w:pos="8640"/>
      </w:tabs>
      <w:spacing w:before="60" w:after="60"/>
      <w:ind w:left="1077" w:right="720" w:hanging="595"/>
    </w:pPr>
  </w:style>
  <w:style w:type="paragraph" w:customStyle="1" w:styleId="Contents3">
    <w:name w:val="Contents 3"/>
    <w:basedOn w:val="Normal"/>
    <w:next w:val="Normal"/>
    <w:pPr>
      <w:tabs>
        <w:tab w:val="right" w:leader="dot" w:pos="8640"/>
      </w:tabs>
      <w:spacing w:before="60" w:after="60"/>
      <w:ind w:left="1916" w:right="720" w:hanging="839"/>
    </w:pPr>
  </w:style>
  <w:style w:type="paragraph" w:customStyle="1" w:styleId="Contents4">
    <w:name w:val="Contents 4"/>
    <w:basedOn w:val="Normal"/>
    <w:next w:val="Normal"/>
    <w:pPr>
      <w:tabs>
        <w:tab w:val="right" w:leader="dot" w:pos="8641"/>
      </w:tabs>
      <w:spacing w:before="60" w:after="60"/>
      <w:ind w:left="2880" w:right="720" w:hanging="964"/>
    </w:pPr>
  </w:style>
  <w:style w:type="paragraph" w:customStyle="1" w:styleId="Contents5">
    <w:name w:val="Contents 5"/>
    <w:basedOn w:val="Normal"/>
    <w:next w:val="Normal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customStyle="1" w:styleId="Contents6">
    <w:name w:val="Contents 6"/>
    <w:basedOn w:val="Normal"/>
    <w:next w:val="Normal"/>
    <w:autoRedefine/>
    <w:pPr>
      <w:ind w:left="1200"/>
    </w:pPr>
  </w:style>
  <w:style w:type="paragraph" w:customStyle="1" w:styleId="Contents7">
    <w:name w:val="Contents 7"/>
    <w:basedOn w:val="Normal"/>
    <w:next w:val="Normal"/>
    <w:autoRedefine/>
    <w:pPr>
      <w:ind w:left="1440"/>
    </w:pPr>
  </w:style>
  <w:style w:type="paragraph" w:customStyle="1" w:styleId="Contents8">
    <w:name w:val="Contents 8"/>
    <w:basedOn w:val="Normal"/>
    <w:next w:val="Normal"/>
    <w:autoRedefine/>
    <w:pPr>
      <w:ind w:left="1680"/>
    </w:pPr>
  </w:style>
  <w:style w:type="paragraph" w:customStyle="1" w:styleId="Contents9">
    <w:name w:val="Contents 9"/>
    <w:basedOn w:val="Normal"/>
    <w:next w:val="Normal"/>
    <w:autoRedefine/>
    <w:pPr>
      <w:ind w:left="1920"/>
    </w:pPr>
  </w:style>
  <w:style w:type="paragraph" w:customStyle="1" w:styleId="YReferences">
    <w:name w:val="YReferences"/>
    <w:basedOn w:val="Normal"/>
    <w:next w:val="Normal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</w:style>
  <w:style w:type="paragraph" w:customStyle="1" w:styleId="ListDash3">
    <w:name w:val="List Dash 3"/>
    <w:basedOn w:val="Text3"/>
    <w:qFormat/>
  </w:style>
  <w:style w:type="paragraph" w:customStyle="1" w:styleId="ListDash4">
    <w:name w:val="List Dash 4"/>
    <w:basedOn w:val="Text4"/>
    <w:qFormat/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  <w:qFormat/>
  </w:style>
  <w:style w:type="paragraph" w:customStyle="1" w:styleId="ListNumberLevel4">
    <w:name w:val="List Number (Level 4)"/>
    <w:basedOn w:val="Normal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</w:style>
  <w:style w:type="paragraph" w:customStyle="1" w:styleId="ListNumber2Level3">
    <w:name w:val="List Number 2 (Level 3)"/>
    <w:basedOn w:val="Text2"/>
    <w:qFormat/>
  </w:style>
  <w:style w:type="paragraph" w:customStyle="1" w:styleId="ListNumber2Level4">
    <w:name w:val="List Number 2 (Level 4)"/>
    <w:basedOn w:val="Text2"/>
    <w:qFormat/>
    <w:pPr>
      <w:ind w:left="3901" w:hanging="703"/>
    </w:pPr>
  </w:style>
  <w:style w:type="paragraph" w:customStyle="1" w:styleId="ListNumber3Level2">
    <w:name w:val="List Number 3 (Level 2)"/>
    <w:basedOn w:val="Text3"/>
    <w:qFormat/>
  </w:style>
  <w:style w:type="paragraph" w:customStyle="1" w:styleId="ListNumber3Level3">
    <w:name w:val="List Number 3 (Level 3)"/>
    <w:basedOn w:val="Text3"/>
    <w:qFormat/>
  </w:style>
  <w:style w:type="paragraph" w:customStyle="1" w:styleId="ListNumber3Level4">
    <w:name w:val="List Number 3 (Level 4)"/>
    <w:basedOn w:val="Text3"/>
    <w:qFormat/>
  </w:style>
  <w:style w:type="paragraph" w:customStyle="1" w:styleId="ListNumber4Level2">
    <w:name w:val="List Number 4 (Level 2)"/>
    <w:basedOn w:val="Text4"/>
    <w:qFormat/>
  </w:style>
  <w:style w:type="paragraph" w:customStyle="1" w:styleId="ListNumber4Level3">
    <w:name w:val="List Number 4 (Level 3)"/>
    <w:basedOn w:val="Text4"/>
    <w:qFormat/>
  </w:style>
  <w:style w:type="paragraph" w:customStyle="1" w:styleId="ListNumber4Level4">
    <w:name w:val="List Number 4 (Level 4)"/>
    <w:basedOn w:val="Text4"/>
    <w:qFormat/>
  </w:style>
  <w:style w:type="paragraph" w:customStyle="1" w:styleId="ContentsHeading">
    <w:name w:val="Contents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qFormat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qFormat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qFormat/>
    <w:pPr>
      <w:keepLines/>
      <w:pBdr>
        <w:top w:val="single" w:sz="4" w:space="1" w:color="00000A"/>
      </w:pBdr>
      <w:spacing w:before="480" w:after="0"/>
    </w:pPr>
    <w:rPr>
      <w:i/>
    </w:rPr>
  </w:style>
  <w:style w:type="paragraph" w:customStyle="1" w:styleId="DisclaimerSJ">
    <w:name w:val="Disclaimer_SJ"/>
    <w:basedOn w:val="Normal"/>
    <w:next w:val="Normal"/>
    <w:qFormat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qFormat/>
    <w:pPr>
      <w:spacing w:after="0"/>
      <w:jc w:val="center"/>
    </w:pPr>
    <w:rPr>
      <w:b/>
      <w:caps/>
      <w:sz w:val="32"/>
      <w:bdr w:val="single" w:sz="18" w:space="0" w:color="00000A"/>
      <w:lang w:val="de-DE"/>
    </w:rPr>
  </w:style>
  <w:style w:type="paragraph" w:customStyle="1" w:styleId="ConfidentialUE">
    <w:name w:val="Confidential UE"/>
    <w:basedOn w:val="Normal"/>
    <w:qFormat/>
    <w:pPr>
      <w:spacing w:after="0"/>
      <w:jc w:val="center"/>
    </w:pPr>
    <w:rPr>
      <w:b/>
      <w:caps/>
      <w:sz w:val="32"/>
      <w:bdr w:val="single" w:sz="18" w:space="0" w:color="00000A"/>
    </w:rPr>
  </w:style>
  <w:style w:type="paragraph" w:customStyle="1" w:styleId="TrsSecretUE">
    <w:name w:val="Très Secret UE"/>
    <w:basedOn w:val="Normal"/>
    <w:qFormat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qFormat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qFormat/>
    <w:pPr>
      <w:spacing w:line="360" w:lineRule="auto"/>
      <w:jc w:val="left"/>
    </w:pPr>
    <w:rPr>
      <w:rFonts w:eastAsia="Calibri"/>
      <w:szCs w:val="22"/>
    </w:rPr>
  </w:style>
  <w:style w:type="paragraph" w:customStyle="1" w:styleId="LegalNumPar2">
    <w:name w:val="LegalNumPar2"/>
    <w:basedOn w:val="Normal"/>
    <w:qFormat/>
    <w:pPr>
      <w:spacing w:line="360" w:lineRule="auto"/>
      <w:jc w:val="left"/>
    </w:pPr>
    <w:rPr>
      <w:rFonts w:eastAsia="Calibri"/>
      <w:szCs w:val="22"/>
    </w:rPr>
  </w:style>
  <w:style w:type="paragraph" w:customStyle="1" w:styleId="LegalNumPar3">
    <w:name w:val="LegalNumPar3"/>
    <w:basedOn w:val="Normal"/>
    <w:qFormat/>
    <w:pPr>
      <w:spacing w:line="360" w:lineRule="auto"/>
      <w:jc w:val="left"/>
    </w:pPr>
    <w:rPr>
      <w:rFonts w:eastAsia="Calibri"/>
      <w:szCs w:val="22"/>
    </w:rPr>
  </w:style>
  <w:style w:type="paragraph" w:customStyle="1" w:styleId="ZCom">
    <w:name w:val="Z_Com"/>
    <w:basedOn w:val="Normal"/>
    <w:qFormat/>
    <w:pPr>
      <w:widowControl w:val="0"/>
      <w:spacing w:after="0"/>
      <w:ind w:right="85"/>
    </w:pPr>
    <w:rPr>
      <w:rFonts w:ascii="Arial" w:eastAsia="MS Mincho" w:hAnsi="Arial" w:cs="Arial"/>
      <w:szCs w:val="24"/>
      <w:lang w:eastAsia="en-GB"/>
    </w:rPr>
  </w:style>
  <w:style w:type="paragraph" w:customStyle="1" w:styleId="ZDGName">
    <w:name w:val="Z_DGName"/>
    <w:basedOn w:val="Normal"/>
    <w:qFormat/>
    <w:pPr>
      <w:widowControl w:val="0"/>
      <w:spacing w:after="0"/>
      <w:ind w:right="85"/>
      <w:jc w:val="left"/>
    </w:pPr>
    <w:rPr>
      <w:rFonts w:ascii="Arial" w:eastAsia="MS Mincho" w:hAnsi="Arial" w:cs="Arial"/>
      <w:sz w:val="16"/>
      <w:szCs w:val="16"/>
      <w:lang w:eastAsia="en-GB"/>
    </w:rPr>
  </w:style>
  <w:style w:type="paragraph" w:styleId="ListParagraph">
    <w:name w:val="List Paragraph"/>
    <w:basedOn w:val="Normal"/>
    <w:qFormat/>
    <w:pPr>
      <w:spacing w:after="0"/>
      <w:ind w:left="720"/>
      <w:contextualSpacing/>
      <w:jc w:val="left"/>
    </w:pPr>
    <w:rPr>
      <w:szCs w:val="24"/>
      <w:lang w:eastAsia="en-GB"/>
    </w:rPr>
  </w:style>
  <w:style w:type="paragraph" w:styleId="BalloonText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rPr>
      <w:sz w:val="24"/>
      <w:lang w:eastAsia="en-US"/>
    </w:rPr>
  </w:style>
  <w:style w:type="paragraph" w:customStyle="1" w:styleId="Footnote">
    <w:name w:val="Footnote"/>
    <w:basedOn w:val="Normal"/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85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98;&#1074;%20&#1074;&#1088;&#1098;&#1079;&#1082;&#1072;%20&#1089;%20&#1076;&#1077;&#1081;&#1089;&#1090;&#1074;&#1080;&#1103;%2018.3%20&amp;%204%20CEN%20&#1086;&#1073;&#1103;&#1089;&#1085;&#1080;,%20&#1095;&#1077;%20MSP%20&#1095;&#1083;&#1077;&#1085;&#1086;&#1074;&#1077;&#1090;&#1077;%20&#1085;&#1077;%20&#1089;&#1072;%20&#1080;&#1079;&#1087;&#1088;&#1072;&#1090;&#1080;&#1083;&#1080;%20&#1080;&#1085;&#1092;&#1086;&#1088;&#1084;&#1072;&#1094;&#1080;&#1103;%20&#1076;&#1086;%20&#1084;&#1086;&#1084;&#1077;&#1085;&#1090;&#1072;.%20W3C%20&#1074;&#1098;&#1079;&#1085;&#1072;&#1084;&#1077;&#1088;&#1103;&#1074;&#1072;%20&#1076;&#1072;%20&#1076;&#1072;&#1076;&#1077;%20&#1089;&#1074;&#1086;&#1103;%20&#1087;&#1088;&#1080;&#1085;&#1086;&#1089;.%20ETSI%20&#1080;%20ECMA,%20&#1089;&#1072;%20&#1087;&#1086;&#1090;&#1074;&#1098;&#1088;&#1076;&#1080;&#1083;&#1080;,%20&#1095;&#1077;%20&#1089;&#1098;&#1097;&#1086;%20&#1097;&#1077;%20&#1076;&#1086;&#1087;&#1088;&#1080;&#1085;&#1077;&#1089;&#1072;&#1090;.%20&#1042;&#1093;&#1086;&#1076;&#1103;&#1097;&#1080;&#1090;&#1077;%20&#1076;&#1072;&#1085;&#1085;&#1080;%20&#1089;&#1083;&#1077;&#1076;&#1074;&#1072;%20&#1076;&#1072;%20&#1073;&#1098;&#1076;&#1072;&#1090;%20&#1080;&#1079;&#1087;&#1088;&#1072;&#1090;&#1077;&#1085;&#1080;%20&#1076;&#1080;&#1088;&#1077;&#1082;&#1090;&#1085;&#1086;%20&#1085;&#1072;%20CEN%20&#8212;%20Stefan%20Weisgerber,%20stefan.weisgerber@din.de,%20&#1082;&#1086;&#1081;&#1090;&#1086;%20&#1097;&#1077;%20&#1076;&#1086;&#1082;&#1083;&#1072;&#1076;&#1074;&#1072;%20&#1079;&#1072;%20&#1089;&#1098;&#1089;&#1090;&#1086;&#1103;&#1085;&#1080;&#1077;&#1090;&#1086;%20&#1085;&#1072;%20&#1090;&#1086;&#1074;&#1072;%20&#1076;&#1077;&#1081;&#1089;&#1090;&#1074;&#1080;&#1077;%20&#1085;&#1072;%20&#1089;&#1083;&#1077;&#1076;&#1074;&#1072;&#1097;&#1086;&#1090;&#1086;%20&#1079;&#1072;&#1089;&#1077;&#1076;&#1072;&#1085;&#1080;&#1077;%20&#1085;&#1072;%20MSP.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transparency/regcomitology/index.cfm?do=Search.Search&amp;NewSearch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16</Pages>
  <Words>6702</Words>
  <Characters>38204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на протокола от заседанията на експертната група</vt:lpstr>
    </vt:vector>
  </TitlesOfParts>
  <Company>Европейска комисия</Company>
  <LinksUpToDate>false</LinksUpToDate>
  <CharactersWithSpaces>44817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протокола от заседанията на експертната група</dc:title>
  <dc:creator>SecGen</dc:creator>
  <dc:description>ГД „Вътрешен пазар, промишленост, предприемачество и от продължаващото и дистанционното обучение, адаптирано към ДВ, приложени към бележка Ares(2016)6398359 от 14/11/2016</dc:description>
  <cp:lastModifiedBy>Daniela Pesheva</cp:lastModifiedBy>
  <cp:revision>3</cp:revision>
  <dcterms:created xsi:type="dcterms:W3CDTF">2018-01-22T09:05:00Z</dcterms:created>
  <dcterms:modified xsi:type="dcterms:W3CDTF">2018-01-23T13:22:00Z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Европейска комисия</vt:lpwstr>
  </property>
  <property fmtid="{D5CDD505-2E9C-101B-9397-08002B2CF9AE}" pid="4" name="ContentTypeId">
    <vt:lpwstr>0x010100258AA79CEB83498886A3A0868112325000C6C456EBC8A5D64996177CA34E5B3D7C</vt:lpwstr>
  </property>
  <property fmtid="{D5CDD505-2E9C-101B-9397-08002B2CF9AE}" pid="5" name="Created using">
    <vt:lpwstr>EL 4.6 Build 50000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not.dot</vt:lpwstr>
  </property>
  <property fmtid="{D5CDD505-2E9C-101B-9397-08002B2CF9AE}" pid="9" name="EL_Author">
    <vt:lpwstr>Pedro Ortún</vt:lpwstr>
  </property>
  <property fmtid="{D5CDD505-2E9C-101B-9397-08002B2CF9AE}" pid="10" name="EL_Language">
    <vt:lpwstr>EN</vt:lpwstr>
  </property>
  <property fmtid="{D5CDD505-2E9C-101B-9397-08002B2CF9AE}" pid="11" name="EurolookVersion">
    <vt:lpwstr>4.6</vt:lpwstr>
  </property>
  <property fmtid="{D5CDD505-2E9C-101B-9397-08002B2CF9AE}" pid="12" name="Formatting">
    <vt:lpwstr>4.1</vt:lpwstr>
  </property>
  <property fmtid="{D5CDD505-2E9C-101B-9397-08002B2CF9AE}" pid="13" name="Language">
    <vt:lpwstr>EN</vt:lpwstr>
  </property>
  <property fmtid="{D5CDD505-2E9C-101B-9397-08002B2CF9AE}" pid="14" name="Last edited using">
    <vt:lpwstr>EL 4.6 Build 50000</vt:lpwstr>
  </property>
  <property fmtid="{D5CDD505-2E9C-101B-9397-08002B2CF9AE}" pid="15" name="PresentationFormat">
    <vt:lpwstr>Microsoft Word 14.0</vt:lpwstr>
  </property>
  <property fmtid="{D5CDD505-2E9C-101B-9397-08002B2CF9AE}" pid="16" name="TemplateVersion">
    <vt:lpwstr>4.6.5.0000</vt:lpwstr>
  </property>
  <property fmtid="{D5CDD505-2E9C-101B-9397-08002B2CF9AE}" pid="17" name="Type">
    <vt:lpwstr>Бележка Eurolook &amp; писмо</vt:lpwstr>
  </property>
  <property fmtid="{D5CDD505-2E9C-101B-9397-08002B2CF9AE}" pid="18" name="_DocHome">
    <vt:i4>0</vt:i4>
  </property>
</Properties>
</file>