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97" w:rsidRPr="00852B77" w:rsidRDefault="008B6D97" w:rsidP="008B6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B77">
        <w:rPr>
          <w:rFonts w:ascii="Times New Roman" w:hAnsi="Times New Roman"/>
          <w:b/>
          <w:sz w:val="24"/>
          <w:szCs w:val="24"/>
        </w:rPr>
        <w:t>СПРАВКА</w:t>
      </w:r>
    </w:p>
    <w:p w:rsidR="008B6D97" w:rsidRPr="00852B77" w:rsidRDefault="008B6D97" w:rsidP="008B6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B77">
        <w:rPr>
          <w:rFonts w:ascii="Times New Roman" w:hAnsi="Times New Roman"/>
          <w:b/>
          <w:sz w:val="24"/>
          <w:szCs w:val="24"/>
        </w:rPr>
        <w:t>НА</w:t>
      </w:r>
    </w:p>
    <w:p w:rsidR="008B6D97" w:rsidRPr="00852B77" w:rsidRDefault="008B6D97" w:rsidP="008B6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B77">
        <w:rPr>
          <w:rFonts w:ascii="Times New Roman" w:hAnsi="Times New Roman"/>
          <w:b/>
          <w:sz w:val="24"/>
          <w:szCs w:val="24"/>
        </w:rPr>
        <w:t>ПОСТЪПИЛИТЕ СТАНОВИЩА В СРОКА НА ОБЩЕСТВЕНОТО ОБСЪЖДАНЕ НА ПРОЕКТА НА НАРЕДБА ЗА ИЗМЕНЕНИЕ И ДОПЪЛНЕНИЕ НА НАРЕДБА № 1 ОТ 16.01.2003 Г. ЗА СВИДЕТЕЛСТВАТА ЗА ПРАВОСПОСОБНОСТ НА АВИАЦИОННИЯ ПЕРСОНАЛ</w:t>
      </w:r>
    </w:p>
    <w:p w:rsidR="008B6D97" w:rsidRPr="00852B77" w:rsidRDefault="008B6D97" w:rsidP="008B6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"/>
        <w:gridCol w:w="595"/>
        <w:gridCol w:w="5512"/>
        <w:gridCol w:w="10"/>
        <w:gridCol w:w="1167"/>
        <w:gridCol w:w="10"/>
        <w:gridCol w:w="4882"/>
      </w:tblGrid>
      <w:tr w:rsidR="008B6D97" w:rsidRPr="00852B77" w:rsidTr="006258A9">
        <w:trPr>
          <w:gridBefore w:val="1"/>
          <w:wBefore w:w="10" w:type="dxa"/>
          <w:tblHeader/>
          <w:jc w:val="center"/>
        </w:trPr>
        <w:tc>
          <w:tcPr>
            <w:tcW w:w="595" w:type="dxa"/>
            <w:shd w:val="clear" w:color="auto" w:fill="ACB9CA" w:themeFill="text2" w:themeFillTint="66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77">
              <w:rPr>
                <w:rFonts w:ascii="Times New Roman" w:hAnsi="Times New Roman"/>
                <w:i/>
                <w:iCs/>
                <w:sz w:val="24"/>
                <w:szCs w:val="24"/>
              </w:rPr>
              <w:t>№ по ред</w:t>
            </w:r>
          </w:p>
        </w:tc>
        <w:tc>
          <w:tcPr>
            <w:tcW w:w="5522" w:type="dxa"/>
            <w:gridSpan w:val="2"/>
            <w:shd w:val="clear" w:color="auto" w:fill="ACB9CA" w:themeFill="text2" w:themeFillTint="66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77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1177" w:type="dxa"/>
            <w:gridSpan w:val="2"/>
            <w:shd w:val="clear" w:color="auto" w:fill="ACB9CA" w:themeFill="text2" w:themeFillTint="66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Приема се/ не се приема </w:t>
            </w:r>
          </w:p>
        </w:tc>
        <w:tc>
          <w:tcPr>
            <w:tcW w:w="4882" w:type="dxa"/>
            <w:shd w:val="clear" w:color="auto" w:fill="ACB9CA" w:themeFill="text2" w:themeFillTint="66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B77">
              <w:rPr>
                <w:rFonts w:ascii="Times New Roman" w:hAnsi="Times New Roman"/>
                <w:b/>
                <w:bCs/>
                <w:sz w:val="24"/>
                <w:szCs w:val="24"/>
              </w:rPr>
              <w:t>Мотиви за не/ приемане на предложението</w:t>
            </w:r>
          </w:p>
        </w:tc>
      </w:tr>
      <w:tr w:rsidR="008B6D97" w:rsidRPr="00852B77" w:rsidTr="006258A9">
        <w:trPr>
          <w:gridBefore w:val="1"/>
          <w:wBefore w:w="10" w:type="dxa"/>
          <w:tblHeader/>
          <w:jc w:val="center"/>
        </w:trPr>
        <w:tc>
          <w:tcPr>
            <w:tcW w:w="595" w:type="dxa"/>
            <w:shd w:val="clear" w:color="auto" w:fill="ACB9CA" w:themeFill="text2" w:themeFillTint="66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B77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22" w:type="dxa"/>
            <w:gridSpan w:val="2"/>
            <w:shd w:val="clear" w:color="auto" w:fill="ACB9CA" w:themeFill="text2" w:themeFillTint="66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B77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2"/>
            <w:shd w:val="clear" w:color="auto" w:fill="ACB9CA" w:themeFill="text2" w:themeFillTint="66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B77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882" w:type="dxa"/>
            <w:shd w:val="clear" w:color="auto" w:fill="ACB9CA" w:themeFill="text2" w:themeFillTint="66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2B77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8B6D97" w:rsidRPr="00852B77" w:rsidTr="006258A9">
        <w:trPr>
          <w:jc w:val="center"/>
        </w:trPr>
        <w:tc>
          <w:tcPr>
            <w:tcW w:w="12186" w:type="dxa"/>
            <w:gridSpan w:val="7"/>
            <w:shd w:val="clear" w:color="auto" w:fill="0070C0"/>
          </w:tcPr>
          <w:p w:rsidR="008B6D97" w:rsidRPr="00852B77" w:rsidRDefault="008B6D97" w:rsidP="00852B7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Предложения постъпили от </w:t>
            </w:r>
            <w:r w:rsidR="00F4348D">
              <w:rPr>
                <w:rFonts w:ascii="Times New Roman" w:hAnsi="Times New Roman"/>
                <w:b/>
                <w:bCs/>
                <w:sz w:val="24"/>
                <w:szCs w:val="24"/>
              </w:rPr>
              <w:t>ДП „Ръководство на въздушното движение“</w:t>
            </w:r>
          </w:p>
        </w:tc>
      </w:tr>
      <w:tr w:rsidR="004F45A7" w:rsidRPr="008B6D97" w:rsidTr="006258A9">
        <w:trPr>
          <w:jc w:val="center"/>
        </w:trPr>
        <w:tc>
          <w:tcPr>
            <w:tcW w:w="605" w:type="dxa"/>
            <w:gridSpan w:val="2"/>
            <w:shd w:val="clear" w:color="auto" w:fill="auto"/>
          </w:tcPr>
          <w:p w:rsidR="008B6D97" w:rsidRPr="008B6D97" w:rsidRDefault="008B6D97" w:rsidP="008B6D9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2" w:type="dxa"/>
            <w:shd w:val="clear" w:color="auto" w:fill="auto"/>
          </w:tcPr>
          <w:p w:rsidR="008B6D97" w:rsidRDefault="00243570" w:rsidP="008B6D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Предлага се в</w:t>
            </w:r>
            <w:r w:rsidR="00E55C48" w:rsidRPr="00E55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чл. 12, ал. 1 след думите „за 45 дни“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  <w:r w:rsidR="00E55C48" w:rsidRPr="00E55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 добав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E55C48" w:rsidRPr="00E55C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„за срока на валидност на свидетелството за медицинска годност“</w:t>
            </w:r>
            <w:r w:rsidRPr="00243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C0E37" w:rsidRPr="00E55C48" w:rsidRDefault="00FC0E37" w:rsidP="008B6D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Мотиви за предложението: </w:t>
            </w:r>
            <w:r w:rsidRPr="00FC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Целта е да се уточни, че това продължаване може да е само веднъж в рамките на срока на валидност на свидетелството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медицинска годност.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8B6D97" w:rsidRPr="008B6D97" w:rsidRDefault="0057782C" w:rsidP="008B6D9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82C">
              <w:rPr>
                <w:rFonts w:ascii="Times New Roman" w:hAnsi="Times New Roman"/>
                <w:b/>
                <w:bCs/>
                <w:sz w:val="24"/>
                <w:szCs w:val="24"/>
              </w:rPr>
              <w:t>Приема се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8B6D97" w:rsidRPr="00386FC9" w:rsidRDefault="00207104" w:rsidP="008B6D9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Внася се повече яснота в текста, като се у</w:t>
            </w:r>
            <w:r w:rsidR="00FD37E4">
              <w:rPr>
                <w:rFonts w:ascii="Times New Roman" w:hAnsi="Times New Roman"/>
                <w:sz w:val="24"/>
                <w:szCs w:val="24"/>
              </w:rPr>
              <w:t>точн</w:t>
            </w:r>
            <w:r>
              <w:rPr>
                <w:rFonts w:ascii="Times New Roman" w:hAnsi="Times New Roman"/>
                <w:sz w:val="24"/>
                <w:szCs w:val="24"/>
              </w:rPr>
              <w:t>ява</w:t>
            </w:r>
            <w:r w:rsidR="00FD37E4">
              <w:rPr>
                <w:rFonts w:ascii="Times New Roman" w:hAnsi="Times New Roman"/>
                <w:sz w:val="24"/>
                <w:szCs w:val="24"/>
              </w:rPr>
              <w:t xml:space="preserve">, че става въпрос за </w:t>
            </w:r>
            <w:r w:rsidR="00DF14E8">
              <w:rPr>
                <w:rFonts w:ascii="Times New Roman" w:hAnsi="Times New Roman"/>
                <w:sz w:val="24"/>
                <w:szCs w:val="24"/>
              </w:rPr>
              <w:t xml:space="preserve">продължаване срока на валидност на </w:t>
            </w:r>
            <w:r w:rsidR="00FD37E4">
              <w:rPr>
                <w:rFonts w:ascii="Times New Roman" w:hAnsi="Times New Roman"/>
                <w:sz w:val="24"/>
                <w:szCs w:val="24"/>
              </w:rPr>
              <w:t>свидетелството за медицинска годност</w:t>
            </w:r>
            <w:r w:rsidR="0032788A" w:rsidRPr="00386F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B6D97" w:rsidRPr="00852B77" w:rsidTr="006258A9">
        <w:trPr>
          <w:jc w:val="center"/>
        </w:trPr>
        <w:tc>
          <w:tcPr>
            <w:tcW w:w="605" w:type="dxa"/>
            <w:gridSpan w:val="2"/>
            <w:shd w:val="clear" w:color="auto" w:fill="auto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50456001"/>
            <w:r w:rsidRPr="00852B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12" w:type="dxa"/>
            <w:shd w:val="clear" w:color="auto" w:fill="auto"/>
          </w:tcPr>
          <w:p w:rsidR="008B6D97" w:rsidRPr="00386FC9" w:rsidRDefault="00FA7FE0" w:rsidP="008B6D9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7FE0">
              <w:rPr>
                <w:rFonts w:ascii="Times New Roman" w:hAnsi="Times New Roman"/>
                <w:sz w:val="24"/>
                <w:szCs w:val="24"/>
              </w:rPr>
              <w:t>В чл. 394, ал.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 се отмени </w:t>
            </w:r>
            <w:r w:rsidRPr="00FA7FE0">
              <w:rPr>
                <w:rFonts w:ascii="Times New Roman" w:hAnsi="Times New Roman"/>
                <w:sz w:val="24"/>
                <w:szCs w:val="24"/>
              </w:rPr>
              <w:t>т.</w:t>
            </w:r>
            <w:r w:rsidR="00F72D76" w:rsidRPr="00C478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A7FE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86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72D76">
              <w:rPr>
                <w:rFonts w:ascii="Times New Roman" w:hAnsi="Times New Roman"/>
                <w:sz w:val="24"/>
                <w:szCs w:val="24"/>
              </w:rPr>
              <w:t>„</w:t>
            </w:r>
            <w:r w:rsidRPr="00FA7FE0">
              <w:rPr>
                <w:rFonts w:ascii="Times New Roman" w:hAnsi="Times New Roman"/>
                <w:sz w:val="24"/>
                <w:szCs w:val="24"/>
              </w:rPr>
              <w:t>14. квалификационен клас F – светотехнически средства (AGL).</w:t>
            </w:r>
            <w:r w:rsidRPr="00386FC9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2A131C" w:rsidRPr="00386FC9" w:rsidRDefault="002A131C" w:rsidP="008B6D9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788A">
              <w:rPr>
                <w:rFonts w:ascii="Times New Roman" w:hAnsi="Times New Roman"/>
                <w:sz w:val="24"/>
                <w:szCs w:val="24"/>
              </w:rPr>
              <w:t>Мотиви за предложението: светотехническа</w:t>
            </w:r>
            <w:r w:rsidR="00F72D76">
              <w:rPr>
                <w:rFonts w:ascii="Times New Roman" w:hAnsi="Times New Roman"/>
                <w:sz w:val="24"/>
                <w:szCs w:val="24"/>
              </w:rPr>
              <w:t>та</w:t>
            </w:r>
            <w:r w:rsidRPr="0032788A">
              <w:rPr>
                <w:rFonts w:ascii="Times New Roman" w:hAnsi="Times New Roman"/>
                <w:sz w:val="24"/>
                <w:szCs w:val="24"/>
              </w:rPr>
              <w:t xml:space="preserve"> система не е част от системите, които поддържа инженерно-техническия персонал в смисъла на ATSEP (системи за комуникации, навигация, обзор и CNS/ATM), съгласно Регламент за изпълнение (ЕС) 2017/373 на Комисията за определяне на общи изисквания за доставчиците на услуги и надзора при управлението на въздушното движение/аеронавигационното обслужване.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8B6D97" w:rsidRPr="00852B77" w:rsidRDefault="004928E9" w:rsidP="008B6D9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се приема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8B6D97" w:rsidRPr="00804EA6" w:rsidRDefault="00804EA6" w:rsidP="004928E9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Светотехническите системи, които са класифицирани като навигационни съоръжения съгласно чл. 1</w:t>
            </w:r>
            <w:r w:rsidR="002D41BA">
              <w:rPr>
                <w:rFonts w:ascii="Times New Roman" w:hAnsi="Times New Roman"/>
                <w:sz w:val="24"/>
                <w:szCs w:val="24"/>
              </w:rPr>
              <w:t xml:space="preserve">, ал. </w:t>
            </w:r>
            <w:r>
              <w:rPr>
                <w:rFonts w:ascii="Times New Roman" w:hAnsi="Times New Roman"/>
                <w:sz w:val="24"/>
                <w:szCs w:val="24"/>
              </w:rPr>
              <w:t>2, т. 13 от Наредба № 141  от 27.03.2002 г.  за удостоверяване на експлоатационната годност на навигационни съоръжения за въздушна навигация и кацане, са системи за осигуряване на безопасност при УВД и в тази връзка персоналът, който ги поддържа</w:t>
            </w:r>
            <w:r w:rsidR="00F72D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следва да притежава свидетелство за правоспособност със съответната степен (А, В, С), с вписан квалификационен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52A00">
              <w:rPr>
                <w:rFonts w:ascii="Times New Roman" w:hAnsi="Times New Roman"/>
                <w:sz w:val="24"/>
                <w:szCs w:val="24"/>
              </w:rPr>
              <w:t xml:space="preserve">Съгласно чл. 4, ал. 3, т. 2 от Наредба № 141, касаещо едно от условията, на които трябва да отговаря организацията, която кандидатства за удостоверение </w:t>
            </w:r>
            <w:r w:rsidR="009C5A4E">
              <w:rPr>
                <w:rFonts w:ascii="Times New Roman" w:hAnsi="Times New Roman"/>
                <w:sz w:val="24"/>
                <w:szCs w:val="24"/>
              </w:rPr>
              <w:t xml:space="preserve">за одобрение за поддръжка на светотехнически системи, а именно: да разполага с квалифициран и сертифициран персонал в съответствие със специфичните изисквания за съоръженията, за които се одобрява организацията. Премахването на квалификационния клас (респективно свидетелствата за правоспособност) ще доведе до несъответствие с изискванията на чл. 4, ал. 3, т. 2 от Наредба № 141 и до невалидност на издадените удостоверения за одобрения на организациите: ДП </w:t>
            </w:r>
            <w:r w:rsidR="00F72D76">
              <w:rPr>
                <w:rFonts w:ascii="Times New Roman" w:hAnsi="Times New Roman"/>
                <w:sz w:val="24"/>
                <w:szCs w:val="24"/>
              </w:rPr>
              <w:t>„</w:t>
            </w:r>
            <w:r w:rsidR="009C5A4E">
              <w:rPr>
                <w:rFonts w:ascii="Times New Roman" w:hAnsi="Times New Roman"/>
                <w:sz w:val="24"/>
                <w:szCs w:val="24"/>
              </w:rPr>
              <w:t>РВД</w:t>
            </w:r>
            <w:r w:rsidR="00F72D76">
              <w:rPr>
                <w:rFonts w:ascii="Times New Roman" w:hAnsi="Times New Roman"/>
                <w:sz w:val="24"/>
                <w:szCs w:val="24"/>
              </w:rPr>
              <w:t>“</w:t>
            </w:r>
            <w:r w:rsidR="009C5A4E">
              <w:rPr>
                <w:rFonts w:ascii="Times New Roman" w:hAnsi="Times New Roman"/>
                <w:sz w:val="24"/>
                <w:szCs w:val="24"/>
              </w:rPr>
              <w:t xml:space="preserve"> – одобрена за поддръжката на светотехническите системи на Летище Пловдив и летище Горна Оряховица; „Летище София“ ЕАД – за летище София; „Фрапорт Туин Стар Еърпорт Мениджмънт“ АД – одобрена за поддръжката на светотехническите системи на летище Варна и летище Бургас.</w:t>
            </w:r>
            <w:r w:rsidR="002D41BA">
              <w:rPr>
                <w:rFonts w:ascii="Times New Roman" w:hAnsi="Times New Roman"/>
                <w:sz w:val="24"/>
                <w:szCs w:val="24"/>
              </w:rPr>
              <w:t xml:space="preserve"> Чрез запазване на квалификационния клас </w:t>
            </w:r>
            <w:r w:rsidR="002D41BA" w:rsidRPr="002D41BA">
              <w:rPr>
                <w:rFonts w:ascii="Times New Roman" w:hAnsi="Times New Roman"/>
                <w:sz w:val="24"/>
                <w:szCs w:val="24"/>
              </w:rPr>
              <w:t>(респективно свидетелствата за правоспособност)</w:t>
            </w:r>
            <w:r w:rsidR="002D41BA">
              <w:rPr>
                <w:rFonts w:ascii="Times New Roman" w:hAnsi="Times New Roman"/>
                <w:sz w:val="24"/>
                <w:szCs w:val="24"/>
              </w:rPr>
              <w:t xml:space="preserve"> ще бъде гарантирана безопасността на полетите</w:t>
            </w:r>
            <w:r w:rsidR="00E779CD">
              <w:rPr>
                <w:rFonts w:ascii="Times New Roman" w:hAnsi="Times New Roman"/>
                <w:sz w:val="24"/>
                <w:szCs w:val="24"/>
              </w:rPr>
              <w:t>, тъй като обслужването на светотехническите системи ще се извършва от лица, притежаващи необходимата квалификация</w:t>
            </w:r>
            <w:r w:rsidR="002D41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D41BA" w:rsidRPr="002D4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A4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bookmarkEnd w:id="0"/>
      <w:tr w:rsidR="008B6D97" w:rsidRPr="00852B77" w:rsidTr="006258A9">
        <w:trPr>
          <w:jc w:val="center"/>
        </w:trPr>
        <w:tc>
          <w:tcPr>
            <w:tcW w:w="605" w:type="dxa"/>
            <w:gridSpan w:val="2"/>
            <w:shd w:val="clear" w:color="auto" w:fill="auto"/>
          </w:tcPr>
          <w:p w:rsidR="008B6D97" w:rsidRPr="00852B77" w:rsidRDefault="008B6D97" w:rsidP="008B6D9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12" w:type="dxa"/>
            <w:shd w:val="clear" w:color="auto" w:fill="auto"/>
          </w:tcPr>
          <w:p w:rsidR="008B6D97" w:rsidRPr="00386FC9" w:rsidRDefault="004C313E" w:rsidP="00F72D7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313E">
              <w:rPr>
                <w:rFonts w:ascii="Times New Roman" w:hAnsi="Times New Roman"/>
                <w:sz w:val="24"/>
                <w:szCs w:val="24"/>
              </w:rPr>
              <w:t>В чл. 414, ал. 1</w:t>
            </w:r>
            <w:r w:rsidR="00F72D76">
              <w:rPr>
                <w:rFonts w:ascii="Times New Roman" w:hAnsi="Times New Roman"/>
                <w:sz w:val="24"/>
                <w:szCs w:val="24"/>
              </w:rPr>
              <w:t>,</w:t>
            </w:r>
            <w:r w:rsidRPr="004C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3 </w:t>
            </w:r>
            <w:r w:rsidRPr="004C313E">
              <w:rPr>
                <w:rFonts w:ascii="Times New Roman" w:hAnsi="Times New Roman"/>
                <w:sz w:val="24"/>
                <w:szCs w:val="24"/>
              </w:rPr>
              <w:t xml:space="preserve">думата „координатор“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4C313E">
              <w:rPr>
                <w:rFonts w:ascii="Times New Roman" w:hAnsi="Times New Roman"/>
                <w:sz w:val="24"/>
                <w:szCs w:val="24"/>
              </w:rPr>
              <w:t>се замен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C313E">
              <w:rPr>
                <w:rFonts w:ascii="Times New Roman" w:hAnsi="Times New Roman"/>
                <w:sz w:val="24"/>
                <w:szCs w:val="24"/>
              </w:rPr>
              <w:t xml:space="preserve"> с „инструктор на координатор“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8B6D97" w:rsidRPr="00852B77" w:rsidRDefault="0057782C" w:rsidP="008B6D9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82C">
              <w:rPr>
                <w:rFonts w:ascii="Times New Roman" w:hAnsi="Times New Roman"/>
                <w:b/>
                <w:bCs/>
                <w:sz w:val="24"/>
                <w:szCs w:val="24"/>
              </w:rPr>
              <w:t>Приема се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8B6D97" w:rsidRPr="00293AC2" w:rsidRDefault="00F72D76" w:rsidP="00293AC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Предложението щ</w:t>
            </w:r>
            <w:r w:rsidR="001B5865">
              <w:rPr>
                <w:rFonts w:ascii="Times New Roman" w:hAnsi="Times New Roman"/>
                <w:sz w:val="24"/>
                <w:szCs w:val="24"/>
              </w:rPr>
              <w:t xml:space="preserve">е допринесе </w:t>
            </w:r>
            <w:r w:rsidR="00FD37E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B5865">
              <w:rPr>
                <w:rFonts w:ascii="Times New Roman" w:hAnsi="Times New Roman"/>
                <w:sz w:val="24"/>
                <w:szCs w:val="24"/>
              </w:rPr>
              <w:t>повече ясно</w:t>
            </w:r>
            <w:r w:rsidR="00A16098">
              <w:rPr>
                <w:rFonts w:ascii="Times New Roman" w:hAnsi="Times New Roman"/>
                <w:sz w:val="24"/>
                <w:szCs w:val="24"/>
              </w:rPr>
              <w:t>та</w:t>
            </w:r>
            <w:r w:rsidR="001B5865">
              <w:rPr>
                <w:rFonts w:ascii="Times New Roman" w:hAnsi="Times New Roman"/>
                <w:sz w:val="24"/>
                <w:szCs w:val="24"/>
              </w:rPr>
              <w:t xml:space="preserve"> като </w:t>
            </w:r>
            <w:r w:rsidR="00FD37E4">
              <w:rPr>
                <w:rFonts w:ascii="Times New Roman" w:hAnsi="Times New Roman"/>
                <w:sz w:val="24"/>
                <w:szCs w:val="24"/>
              </w:rPr>
              <w:t xml:space="preserve">се избегне тълкуването по отношение на </w:t>
            </w:r>
            <w:r w:rsidR="00C64868">
              <w:rPr>
                <w:rFonts w:ascii="Times New Roman" w:hAnsi="Times New Roman"/>
                <w:sz w:val="24"/>
                <w:szCs w:val="24"/>
              </w:rPr>
              <w:t xml:space="preserve">това за какъв вид инструкторска квалификация се отнася </w:t>
            </w:r>
            <w:r w:rsidR="00F9757F">
              <w:rPr>
                <w:rFonts w:ascii="Times New Roman" w:hAnsi="Times New Roman"/>
                <w:sz w:val="24"/>
                <w:szCs w:val="24"/>
              </w:rPr>
              <w:t xml:space="preserve">разпоредбата </w:t>
            </w:r>
            <w:r w:rsidR="00C64868">
              <w:rPr>
                <w:rFonts w:ascii="Times New Roman" w:hAnsi="Times New Roman"/>
                <w:sz w:val="24"/>
                <w:szCs w:val="24"/>
              </w:rPr>
              <w:t xml:space="preserve">на наредбата </w:t>
            </w:r>
            <w:r w:rsidR="00FD37E4">
              <w:rPr>
                <w:rFonts w:ascii="Times New Roman" w:hAnsi="Times New Roman"/>
                <w:sz w:val="24"/>
                <w:szCs w:val="24"/>
              </w:rPr>
              <w:t>(инструктор на работно място</w:t>
            </w:r>
            <w:r w:rsidR="00C64868">
              <w:rPr>
                <w:rFonts w:ascii="Times New Roman" w:hAnsi="Times New Roman"/>
                <w:sz w:val="24"/>
                <w:szCs w:val="24"/>
              </w:rPr>
              <w:t xml:space="preserve"> на координатор</w:t>
            </w:r>
            <w:r w:rsidR="001B5865">
              <w:rPr>
                <w:rFonts w:ascii="Times New Roman" w:hAnsi="Times New Roman"/>
                <w:sz w:val="24"/>
                <w:szCs w:val="24"/>
              </w:rPr>
              <w:t>, инструктор</w:t>
            </w:r>
            <w:r w:rsidR="00FD3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868" w:rsidRPr="00C64868">
              <w:rPr>
                <w:rFonts w:ascii="Times New Roman" w:hAnsi="Times New Roman"/>
                <w:sz w:val="24"/>
                <w:szCs w:val="24"/>
              </w:rPr>
              <w:t xml:space="preserve">на работно място </w:t>
            </w:r>
            <w:r w:rsidR="00FD37E4">
              <w:rPr>
                <w:rFonts w:ascii="Times New Roman" w:hAnsi="Times New Roman"/>
                <w:sz w:val="24"/>
                <w:szCs w:val="24"/>
              </w:rPr>
              <w:t xml:space="preserve">на ръководител полети, </w:t>
            </w:r>
            <w:r w:rsidR="001B5865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r w:rsidR="00FD37E4">
              <w:rPr>
                <w:rFonts w:ascii="Times New Roman" w:hAnsi="Times New Roman"/>
                <w:sz w:val="24"/>
                <w:szCs w:val="24"/>
              </w:rPr>
              <w:t>на тренажор и т.н.)</w:t>
            </w:r>
          </w:p>
        </w:tc>
      </w:tr>
      <w:tr w:rsidR="00852B77" w:rsidRPr="00852B77" w:rsidTr="006258A9">
        <w:trPr>
          <w:jc w:val="center"/>
        </w:trPr>
        <w:tc>
          <w:tcPr>
            <w:tcW w:w="12186" w:type="dxa"/>
            <w:gridSpan w:val="7"/>
            <w:shd w:val="clear" w:color="auto" w:fill="0070C0"/>
          </w:tcPr>
          <w:p w:rsidR="00852B77" w:rsidRPr="00852B77" w:rsidRDefault="00852B77" w:rsidP="00852B7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Предложения постъпили от </w:t>
            </w:r>
            <w:r w:rsidR="00F00E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авиокомпании, членове на </w:t>
            </w:r>
            <w:r w:rsidR="00491DF5">
              <w:rPr>
                <w:rFonts w:ascii="Times New Roman" w:hAnsi="Times New Roman"/>
                <w:b/>
                <w:bCs/>
                <w:sz w:val="24"/>
                <w:szCs w:val="24"/>
              </w:rPr>
              <w:t>АБА</w:t>
            </w:r>
          </w:p>
        </w:tc>
      </w:tr>
      <w:tr w:rsidR="008B6D97" w:rsidRPr="00852B77" w:rsidTr="006258A9">
        <w:trPr>
          <w:jc w:val="center"/>
        </w:trPr>
        <w:tc>
          <w:tcPr>
            <w:tcW w:w="605" w:type="dxa"/>
            <w:gridSpan w:val="2"/>
            <w:shd w:val="clear" w:color="auto" w:fill="auto"/>
          </w:tcPr>
          <w:p w:rsidR="008B6D97" w:rsidRPr="004F45A7" w:rsidRDefault="00C83936" w:rsidP="008B6D9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12" w:type="dxa"/>
            <w:shd w:val="clear" w:color="auto" w:fill="auto"/>
          </w:tcPr>
          <w:p w:rsidR="00491DF5" w:rsidRDefault="00F2609F" w:rsidP="00491D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609F">
              <w:rPr>
                <w:rFonts w:ascii="Times New Roman" w:hAnsi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60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чл. 25а</w:t>
            </w:r>
            <w:r w:rsidRPr="00F2609F">
              <w:rPr>
                <w:rFonts w:ascii="Times New Roman" w:hAnsi="Times New Roman"/>
                <w:sz w:val="24"/>
                <w:szCs w:val="24"/>
              </w:rPr>
              <w:t xml:space="preserve"> , след думите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F2609F">
              <w:rPr>
                <w:rFonts w:ascii="Times New Roman" w:hAnsi="Times New Roman"/>
                <w:sz w:val="24"/>
                <w:szCs w:val="24"/>
              </w:rPr>
              <w:t>сертифицирани от ГД ГВА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F2609F">
              <w:rPr>
                <w:rFonts w:ascii="Times New Roman" w:hAnsi="Times New Roman"/>
                <w:sz w:val="24"/>
                <w:szCs w:val="24"/>
              </w:rPr>
              <w:t>, да се добави: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D76">
              <w:rPr>
                <w:rFonts w:ascii="Times New Roman" w:hAnsi="Times New Roman"/>
                <w:sz w:val="24"/>
                <w:szCs w:val="24"/>
              </w:rPr>
              <w:t>„</w:t>
            </w:r>
            <w:r w:rsidRPr="00F2609F">
              <w:rPr>
                <w:rFonts w:ascii="Times New Roman" w:hAnsi="Times New Roman"/>
                <w:sz w:val="24"/>
                <w:szCs w:val="24"/>
              </w:rPr>
              <w:t>или от надзорните органи на друга страна членка на EASA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491D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6D97" w:rsidRPr="005D2371" w:rsidRDefault="00491DF5" w:rsidP="00491D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F5">
              <w:rPr>
                <w:rFonts w:ascii="Times New Roman" w:hAnsi="Times New Roman"/>
                <w:sz w:val="24"/>
                <w:szCs w:val="24"/>
              </w:rPr>
              <w:t>Мотиви за предложението:</w:t>
            </w:r>
            <w:r>
              <w:t xml:space="preserve"> </w:t>
            </w:r>
            <w:r w:rsidRPr="00491DF5">
              <w:rPr>
                <w:rFonts w:ascii="Times New Roman" w:hAnsi="Times New Roman"/>
                <w:sz w:val="24"/>
                <w:szCs w:val="24"/>
              </w:rPr>
              <w:t>Това е задължение на държавата като страна-членка на EASA. Г</w:t>
            </w:r>
            <w:r w:rsidR="00F72D76">
              <w:rPr>
                <w:rFonts w:ascii="Times New Roman" w:hAnsi="Times New Roman"/>
                <w:sz w:val="24"/>
                <w:szCs w:val="24"/>
              </w:rPr>
              <w:t>лавна дирекция</w:t>
            </w:r>
            <w:r w:rsidRPr="00491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D76">
              <w:rPr>
                <w:rFonts w:ascii="Times New Roman" w:hAnsi="Times New Roman"/>
                <w:sz w:val="24"/>
                <w:szCs w:val="24"/>
              </w:rPr>
              <w:t>„</w:t>
            </w:r>
            <w:r w:rsidRPr="00491DF5">
              <w:rPr>
                <w:rFonts w:ascii="Times New Roman" w:hAnsi="Times New Roman"/>
                <w:sz w:val="24"/>
                <w:szCs w:val="24"/>
              </w:rPr>
              <w:t>Г</w:t>
            </w:r>
            <w:r w:rsidR="00F72D76">
              <w:rPr>
                <w:rFonts w:ascii="Times New Roman" w:hAnsi="Times New Roman"/>
                <w:sz w:val="24"/>
                <w:szCs w:val="24"/>
              </w:rPr>
              <w:t>ражданска въздухоплавателна администрация“</w:t>
            </w:r>
            <w:r w:rsidRPr="00491DF5">
              <w:rPr>
                <w:rFonts w:ascii="Times New Roman" w:hAnsi="Times New Roman"/>
                <w:sz w:val="24"/>
                <w:szCs w:val="24"/>
              </w:rPr>
              <w:t xml:space="preserve"> и сега признава оценки, извършени от центрове на други държави, но не би трябвало да има текст в наредбата, който изключва възможността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491DF5">
              <w:rPr>
                <w:rFonts w:ascii="Times New Roman" w:hAnsi="Times New Roman"/>
                <w:sz w:val="24"/>
                <w:szCs w:val="24"/>
              </w:rPr>
              <w:t>сертифициране от центрове, одобрени от други страни членки на EASA.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8B6D97" w:rsidRPr="00852B77" w:rsidRDefault="00FD37E4" w:rsidP="008B6D9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7E4">
              <w:rPr>
                <w:rFonts w:ascii="Times New Roman" w:hAnsi="Times New Roman"/>
                <w:b/>
                <w:bCs/>
                <w:sz w:val="24"/>
                <w:szCs w:val="24"/>
              </w:rPr>
              <w:t>Приема се</w:t>
            </w:r>
          </w:p>
        </w:tc>
        <w:tc>
          <w:tcPr>
            <w:tcW w:w="4892" w:type="dxa"/>
            <w:gridSpan w:val="2"/>
            <w:shd w:val="clear" w:color="auto" w:fill="auto"/>
          </w:tcPr>
          <w:p w:rsidR="00BE6304" w:rsidRPr="00C47874" w:rsidRDefault="002368EF" w:rsidP="002368EF">
            <w:pPr>
              <w:spacing w:before="240" w:after="0" w:line="240" w:lineRule="auto"/>
              <w:ind w:left="57" w:right="5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7874">
              <w:rPr>
                <w:rFonts w:ascii="Times New Roman" w:hAnsi="Times New Roman"/>
                <w:iCs/>
                <w:sz w:val="24"/>
                <w:szCs w:val="24"/>
              </w:rPr>
              <w:t xml:space="preserve">Регламент (ЕС) № 340/2015 и Регламент (ЕС) № 1178/2011 въвеждат единни изисквания за обучението, квалификацията и компетентността на лицата от авиационния персонал, попадащи в обхвата на съответния горецитиран регламент,  по отношение на владеенето на езика, за да се осигури най-високо равнище на безопасност. </w:t>
            </w:r>
            <w:r w:rsidR="00BE6304" w:rsidRPr="00C47874">
              <w:rPr>
                <w:rFonts w:ascii="Times New Roman" w:hAnsi="Times New Roman"/>
                <w:iCs/>
                <w:sz w:val="24"/>
                <w:szCs w:val="24"/>
              </w:rPr>
              <w:t>Това допринася</w:t>
            </w:r>
            <w:r w:rsidR="006326A9" w:rsidRPr="00C47874"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r w:rsidR="00BE6304" w:rsidRPr="00C47874">
              <w:rPr>
                <w:rFonts w:ascii="Times New Roman" w:hAnsi="Times New Roman"/>
                <w:iCs/>
                <w:sz w:val="24"/>
                <w:szCs w:val="24"/>
              </w:rPr>
              <w:t xml:space="preserve"> за признаването на свидетелствата за правоспособност навсякъде в </w:t>
            </w:r>
            <w:r w:rsidR="006326A9" w:rsidRPr="00C47874">
              <w:rPr>
                <w:rFonts w:ascii="Times New Roman" w:hAnsi="Times New Roman"/>
                <w:iCs/>
                <w:sz w:val="24"/>
                <w:szCs w:val="24"/>
              </w:rPr>
              <w:t xml:space="preserve">Европейския съюз и е основание за признаване от страна на ГД ГВА на извършеното </w:t>
            </w:r>
            <w:r w:rsidR="0006149A" w:rsidRPr="00C47874">
              <w:rPr>
                <w:rFonts w:ascii="Times New Roman" w:hAnsi="Times New Roman"/>
                <w:iCs/>
                <w:sz w:val="24"/>
                <w:szCs w:val="24"/>
              </w:rPr>
              <w:t xml:space="preserve">оценяване </w:t>
            </w:r>
            <w:r w:rsidR="006326A9" w:rsidRPr="00C47874">
              <w:rPr>
                <w:rFonts w:ascii="Times New Roman" w:hAnsi="Times New Roman"/>
                <w:iCs/>
                <w:sz w:val="24"/>
                <w:szCs w:val="24"/>
              </w:rPr>
              <w:t>от центрове</w:t>
            </w:r>
            <w:r w:rsidR="006326A9" w:rsidRPr="00C4787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6326A9" w:rsidRPr="00C47874">
              <w:rPr>
                <w:rFonts w:ascii="Times New Roman" w:hAnsi="Times New Roman"/>
                <w:iCs/>
                <w:sz w:val="24"/>
                <w:szCs w:val="24"/>
              </w:rPr>
              <w:t>(органи) за оценка на владеенето на език за нуждите на въздухоплаването</w:t>
            </w:r>
            <w:r w:rsidR="00DF022E" w:rsidRPr="00C47874">
              <w:rPr>
                <w:rFonts w:ascii="Times New Roman" w:hAnsi="Times New Roman"/>
                <w:iCs/>
                <w:sz w:val="24"/>
                <w:szCs w:val="24"/>
              </w:rPr>
              <w:t>, сертифицирани</w:t>
            </w:r>
            <w:r w:rsidR="006326A9" w:rsidRPr="00C47874">
              <w:rPr>
                <w:rFonts w:ascii="Times New Roman" w:hAnsi="Times New Roman"/>
                <w:iCs/>
                <w:sz w:val="24"/>
                <w:szCs w:val="24"/>
              </w:rPr>
              <w:t xml:space="preserve"> от надзорните органи на друга </w:t>
            </w:r>
            <w:r w:rsidR="00A16098" w:rsidRPr="00C47874">
              <w:rPr>
                <w:rFonts w:ascii="Times New Roman" w:hAnsi="Times New Roman"/>
                <w:iCs/>
                <w:sz w:val="24"/>
                <w:szCs w:val="24"/>
              </w:rPr>
              <w:t>държава</w:t>
            </w:r>
            <w:r w:rsidR="006326A9" w:rsidRPr="00C47874">
              <w:rPr>
                <w:rFonts w:ascii="Times New Roman" w:hAnsi="Times New Roman"/>
                <w:iCs/>
                <w:sz w:val="24"/>
                <w:szCs w:val="24"/>
              </w:rPr>
              <w:t xml:space="preserve"> членка на EASA</w:t>
            </w:r>
            <w:r w:rsidR="006326A9" w:rsidRPr="00C4787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8B6D97" w:rsidRPr="00852B77" w:rsidTr="006258A9">
        <w:trPr>
          <w:jc w:val="center"/>
        </w:trPr>
        <w:tc>
          <w:tcPr>
            <w:tcW w:w="605" w:type="dxa"/>
            <w:gridSpan w:val="2"/>
            <w:shd w:val="clear" w:color="auto" w:fill="auto"/>
          </w:tcPr>
          <w:p w:rsidR="008B6D97" w:rsidRPr="00386FC9" w:rsidRDefault="008B6D97" w:rsidP="008B6D9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12" w:type="dxa"/>
            <w:shd w:val="clear" w:color="auto" w:fill="auto"/>
          </w:tcPr>
          <w:p w:rsidR="008B6D97" w:rsidRPr="005D2371" w:rsidRDefault="008B6D97" w:rsidP="008B6D9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:rsidR="008B6D97" w:rsidRPr="00852B77" w:rsidRDefault="008B6D97" w:rsidP="008B6D97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92" w:type="dxa"/>
            <w:gridSpan w:val="2"/>
            <w:shd w:val="clear" w:color="auto" w:fill="auto"/>
          </w:tcPr>
          <w:p w:rsidR="00741A72" w:rsidRPr="005D2371" w:rsidRDefault="00741A72" w:rsidP="00E5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6D97" w:rsidRPr="00852B77" w:rsidRDefault="008B6D97" w:rsidP="007E54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B6D97" w:rsidRPr="00852B77" w:rsidSect="006C2F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E3" w:rsidRDefault="009146E3" w:rsidP="007E5464">
      <w:pPr>
        <w:spacing w:after="0" w:line="240" w:lineRule="auto"/>
      </w:pPr>
      <w:r>
        <w:separator/>
      </w:r>
    </w:p>
  </w:endnote>
  <w:endnote w:type="continuationSeparator" w:id="0">
    <w:p w:rsidR="009146E3" w:rsidRDefault="009146E3" w:rsidP="007E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E3" w:rsidRDefault="009146E3" w:rsidP="007E5464">
      <w:pPr>
        <w:spacing w:after="0" w:line="240" w:lineRule="auto"/>
      </w:pPr>
      <w:r>
        <w:separator/>
      </w:r>
    </w:p>
  </w:footnote>
  <w:footnote w:type="continuationSeparator" w:id="0">
    <w:p w:rsidR="009146E3" w:rsidRDefault="009146E3" w:rsidP="007E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65D"/>
    <w:multiLevelType w:val="hybridMultilevel"/>
    <w:tmpl w:val="06E833FA"/>
    <w:lvl w:ilvl="0" w:tplc="4D4E426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024E9"/>
    <w:multiLevelType w:val="hybridMultilevel"/>
    <w:tmpl w:val="4554F594"/>
    <w:lvl w:ilvl="0" w:tplc="95D6B8C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C1B"/>
    <w:multiLevelType w:val="hybridMultilevel"/>
    <w:tmpl w:val="22322928"/>
    <w:lvl w:ilvl="0" w:tplc="7F705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D5B42"/>
    <w:multiLevelType w:val="hybridMultilevel"/>
    <w:tmpl w:val="09A2054E"/>
    <w:lvl w:ilvl="0" w:tplc="6074A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9C16D3"/>
    <w:multiLevelType w:val="hybridMultilevel"/>
    <w:tmpl w:val="D66A482E"/>
    <w:lvl w:ilvl="0" w:tplc="C9AA0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DD76F6"/>
    <w:multiLevelType w:val="hybridMultilevel"/>
    <w:tmpl w:val="3D2AC7D6"/>
    <w:lvl w:ilvl="0" w:tplc="5B4AB4BC">
      <w:start w:val="2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511E11"/>
    <w:multiLevelType w:val="hybridMultilevel"/>
    <w:tmpl w:val="90242708"/>
    <w:lvl w:ilvl="0" w:tplc="3F4EFFDE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59EF687D"/>
    <w:multiLevelType w:val="hybridMultilevel"/>
    <w:tmpl w:val="5C268688"/>
    <w:lvl w:ilvl="0" w:tplc="FC6E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9D1A00"/>
    <w:multiLevelType w:val="hybridMultilevel"/>
    <w:tmpl w:val="6400D1C0"/>
    <w:lvl w:ilvl="0" w:tplc="02723E4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930C2"/>
    <w:multiLevelType w:val="hybridMultilevel"/>
    <w:tmpl w:val="AD3C5534"/>
    <w:lvl w:ilvl="0" w:tplc="E9786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6F1555"/>
    <w:multiLevelType w:val="hybridMultilevel"/>
    <w:tmpl w:val="3DFA0B38"/>
    <w:lvl w:ilvl="0" w:tplc="4F980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97"/>
    <w:rsid w:val="00010B8F"/>
    <w:rsid w:val="00025410"/>
    <w:rsid w:val="00057859"/>
    <w:rsid w:val="0006149A"/>
    <w:rsid w:val="00085DB8"/>
    <w:rsid w:val="00092B36"/>
    <w:rsid w:val="00094EFD"/>
    <w:rsid w:val="0009724E"/>
    <w:rsid w:val="000A4651"/>
    <w:rsid w:val="000E472D"/>
    <w:rsid w:val="000E7D6D"/>
    <w:rsid w:val="001261E8"/>
    <w:rsid w:val="00157436"/>
    <w:rsid w:val="00157B5D"/>
    <w:rsid w:val="001A4B60"/>
    <w:rsid w:val="001B5865"/>
    <w:rsid w:val="00201A62"/>
    <w:rsid w:val="00207104"/>
    <w:rsid w:val="00217E3A"/>
    <w:rsid w:val="00224893"/>
    <w:rsid w:val="002368EF"/>
    <w:rsid w:val="00243570"/>
    <w:rsid w:val="00250257"/>
    <w:rsid w:val="00293AC2"/>
    <w:rsid w:val="002A131C"/>
    <w:rsid w:val="002D323D"/>
    <w:rsid w:val="002D41BA"/>
    <w:rsid w:val="003133BB"/>
    <w:rsid w:val="00321A4D"/>
    <w:rsid w:val="0032788A"/>
    <w:rsid w:val="00354552"/>
    <w:rsid w:val="00366745"/>
    <w:rsid w:val="00386FC9"/>
    <w:rsid w:val="004501C3"/>
    <w:rsid w:val="0048459E"/>
    <w:rsid w:val="00486BEC"/>
    <w:rsid w:val="00491DF5"/>
    <w:rsid w:val="004928E9"/>
    <w:rsid w:val="004B3BE7"/>
    <w:rsid w:val="004C313E"/>
    <w:rsid w:val="004D2237"/>
    <w:rsid w:val="004F45A7"/>
    <w:rsid w:val="0057782C"/>
    <w:rsid w:val="005D2371"/>
    <w:rsid w:val="005D272B"/>
    <w:rsid w:val="005E1D7E"/>
    <w:rsid w:val="005E3C45"/>
    <w:rsid w:val="005E3F53"/>
    <w:rsid w:val="0061197E"/>
    <w:rsid w:val="00622D44"/>
    <w:rsid w:val="006258A9"/>
    <w:rsid w:val="006326A9"/>
    <w:rsid w:val="00641EE2"/>
    <w:rsid w:val="00642ACD"/>
    <w:rsid w:val="00660C89"/>
    <w:rsid w:val="006C2FAD"/>
    <w:rsid w:val="00741A72"/>
    <w:rsid w:val="00776E64"/>
    <w:rsid w:val="007E5464"/>
    <w:rsid w:val="007F7A21"/>
    <w:rsid w:val="00804EA6"/>
    <w:rsid w:val="008522AD"/>
    <w:rsid w:val="00852B77"/>
    <w:rsid w:val="0088045E"/>
    <w:rsid w:val="008B6D97"/>
    <w:rsid w:val="009113B1"/>
    <w:rsid w:val="00911C80"/>
    <w:rsid w:val="009146E3"/>
    <w:rsid w:val="009174E4"/>
    <w:rsid w:val="009C2637"/>
    <w:rsid w:val="009C5A4E"/>
    <w:rsid w:val="009D4E1B"/>
    <w:rsid w:val="009E66CF"/>
    <w:rsid w:val="00A02924"/>
    <w:rsid w:val="00A16098"/>
    <w:rsid w:val="00AB42A9"/>
    <w:rsid w:val="00AD1F80"/>
    <w:rsid w:val="00AD5CF5"/>
    <w:rsid w:val="00AE3C5D"/>
    <w:rsid w:val="00B407ED"/>
    <w:rsid w:val="00B609AB"/>
    <w:rsid w:val="00B95907"/>
    <w:rsid w:val="00BB3DF2"/>
    <w:rsid w:val="00BD71CC"/>
    <w:rsid w:val="00BE6304"/>
    <w:rsid w:val="00C309CE"/>
    <w:rsid w:val="00C3277C"/>
    <w:rsid w:val="00C47874"/>
    <w:rsid w:val="00C64868"/>
    <w:rsid w:val="00C76087"/>
    <w:rsid w:val="00C8357C"/>
    <w:rsid w:val="00C83936"/>
    <w:rsid w:val="00CC2054"/>
    <w:rsid w:val="00CC3511"/>
    <w:rsid w:val="00D27FDB"/>
    <w:rsid w:val="00D74BDD"/>
    <w:rsid w:val="00D951BE"/>
    <w:rsid w:val="00DA22EC"/>
    <w:rsid w:val="00DA7788"/>
    <w:rsid w:val="00DF022E"/>
    <w:rsid w:val="00DF14E8"/>
    <w:rsid w:val="00E005B6"/>
    <w:rsid w:val="00E55C48"/>
    <w:rsid w:val="00E779CD"/>
    <w:rsid w:val="00E83F00"/>
    <w:rsid w:val="00EC2C94"/>
    <w:rsid w:val="00F00E9D"/>
    <w:rsid w:val="00F2609F"/>
    <w:rsid w:val="00F2737F"/>
    <w:rsid w:val="00F30BEF"/>
    <w:rsid w:val="00F33FF3"/>
    <w:rsid w:val="00F4348D"/>
    <w:rsid w:val="00F50958"/>
    <w:rsid w:val="00F52A00"/>
    <w:rsid w:val="00F72D76"/>
    <w:rsid w:val="00F83FD1"/>
    <w:rsid w:val="00F9757F"/>
    <w:rsid w:val="00FA7FE0"/>
    <w:rsid w:val="00FC0E37"/>
    <w:rsid w:val="00FD37E4"/>
    <w:rsid w:val="00FF0385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CC76"/>
  <w15:docId w15:val="{F7B3BB2A-DED5-42A0-95E1-910F03F1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D97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97"/>
    <w:rPr>
      <w:rFonts w:ascii="Segoe UI" w:eastAsia="Calibri" w:hAnsi="Segoe UI" w:cs="Segoe UI"/>
      <w:sz w:val="18"/>
      <w:szCs w:val="18"/>
      <w:lang w:val="bg-BG"/>
    </w:rPr>
  </w:style>
  <w:style w:type="paragraph" w:customStyle="1" w:styleId="Body">
    <w:name w:val="Body"/>
    <w:basedOn w:val="Normal"/>
    <w:rsid w:val="00852B7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E3F53"/>
    <w:pPr>
      <w:spacing w:after="160" w:line="259" w:lineRule="auto"/>
      <w:ind w:left="720"/>
      <w:contextualSpacing/>
    </w:pPr>
  </w:style>
  <w:style w:type="paragraph" w:customStyle="1" w:styleId="Normal1">
    <w:name w:val="Normal1"/>
    <w:basedOn w:val="Normal"/>
    <w:rsid w:val="00622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ld">
    <w:name w:val="bold"/>
    <w:basedOn w:val="DefaultParagraphFont"/>
    <w:rsid w:val="00622D44"/>
  </w:style>
  <w:style w:type="paragraph" w:customStyle="1" w:styleId="Default">
    <w:name w:val="Default"/>
    <w:rsid w:val="00092B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464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464"/>
    <w:rPr>
      <w:rFonts w:ascii="Calibri" w:eastAsia="Calibri" w:hAnsi="Calibri" w:cs="Times New Roman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D4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1BA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BA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1B5865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ММаринов</dc:creator>
  <cp:lastModifiedBy>Ilia Jordanov</cp:lastModifiedBy>
  <cp:revision>4</cp:revision>
  <dcterms:created xsi:type="dcterms:W3CDTF">2023-01-24T08:59:00Z</dcterms:created>
  <dcterms:modified xsi:type="dcterms:W3CDTF">2023-01-24T09:00:00Z</dcterms:modified>
</cp:coreProperties>
</file>