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72" w:rsidRPr="005C2557" w:rsidRDefault="00344871" w:rsidP="0012066E">
      <w:pPr>
        <w:tabs>
          <w:tab w:val="left" w:pos="9214"/>
          <w:tab w:val="center" w:pos="11193"/>
        </w:tabs>
        <w:spacing w:after="0" w:line="240" w:lineRule="auto"/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85E72" w:rsidRPr="005C2557">
        <w:rPr>
          <w:rFonts w:ascii="Times New Roman" w:hAnsi="Times New Roman" w:cs="Times New Roman"/>
          <w:b/>
          <w:sz w:val="24"/>
          <w:szCs w:val="24"/>
        </w:rPr>
        <w:t>добрил:</w:t>
      </w:r>
      <w:r w:rsidR="00B5099F" w:rsidRPr="00B5099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</w:t>
      </w:r>
      <w:r w:rsidR="00B5099F" w:rsidRPr="00B5099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:……….(п)</w:t>
      </w:r>
      <w:bookmarkStart w:id="0" w:name="_GoBack"/>
      <w:bookmarkEnd w:id="0"/>
    </w:p>
    <w:p w:rsidR="00085E72" w:rsidRPr="00B5099F" w:rsidRDefault="00B5099F" w:rsidP="00B50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                </w:t>
      </w:r>
      <w:r w:rsidRPr="00B5099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Рег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.№ 10-03-303/13.02.2023</w:t>
      </w:r>
      <w:r w:rsidRPr="00B5099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г.</w:t>
      </w:r>
    </w:p>
    <w:p w:rsidR="00085E72" w:rsidRPr="005C2557" w:rsidRDefault="00085E72" w:rsidP="0012066E">
      <w:pPr>
        <w:tabs>
          <w:tab w:val="left" w:pos="9214"/>
          <w:tab w:val="center" w:pos="11193"/>
        </w:tabs>
        <w:spacing w:after="0" w:line="240" w:lineRule="auto"/>
        <w:ind w:left="9204" w:firstLine="708"/>
        <w:rPr>
          <w:rFonts w:ascii="Times New Roman" w:hAnsi="Times New Roman" w:cs="Times New Roman"/>
          <w:b/>
          <w:sz w:val="24"/>
          <w:szCs w:val="24"/>
        </w:rPr>
      </w:pPr>
    </w:p>
    <w:p w:rsidR="00085E72" w:rsidRPr="005C2557" w:rsidRDefault="00085E72" w:rsidP="0012066E">
      <w:pPr>
        <w:spacing w:after="0" w:line="240" w:lineRule="auto"/>
        <w:ind w:left="9912"/>
        <w:rPr>
          <w:rFonts w:ascii="Times New Roman" w:hAnsi="Times New Roman" w:cs="Times New Roman"/>
          <w:b/>
          <w:sz w:val="24"/>
          <w:szCs w:val="24"/>
        </w:rPr>
      </w:pPr>
      <w:r w:rsidRPr="005C2557">
        <w:rPr>
          <w:rFonts w:ascii="Times New Roman" w:hAnsi="Times New Roman" w:cs="Times New Roman"/>
          <w:b/>
          <w:sz w:val="24"/>
          <w:szCs w:val="24"/>
        </w:rPr>
        <w:t>Христо Алексиев</w:t>
      </w:r>
    </w:p>
    <w:p w:rsidR="00085E72" w:rsidRPr="005C2557" w:rsidRDefault="00085E72" w:rsidP="0012066E">
      <w:pPr>
        <w:spacing w:after="0" w:line="240" w:lineRule="auto"/>
        <w:ind w:left="9912" w:right="-142"/>
        <w:rPr>
          <w:rFonts w:ascii="Times New Roman" w:hAnsi="Times New Roman" w:cs="Times New Roman"/>
          <w:b/>
          <w:sz w:val="24"/>
          <w:szCs w:val="24"/>
        </w:rPr>
      </w:pPr>
      <w:r w:rsidRPr="005C2557">
        <w:rPr>
          <w:rFonts w:ascii="Times New Roman" w:hAnsi="Times New Roman" w:cs="Times New Roman"/>
          <w:b/>
          <w:sz w:val="24"/>
          <w:szCs w:val="24"/>
        </w:rPr>
        <w:t xml:space="preserve">Заместник министър-председател </w:t>
      </w:r>
    </w:p>
    <w:p w:rsidR="00085E72" w:rsidRPr="005C2557" w:rsidRDefault="00085E72" w:rsidP="0012066E">
      <w:pPr>
        <w:spacing w:after="0" w:line="240" w:lineRule="auto"/>
        <w:ind w:left="9912"/>
        <w:rPr>
          <w:rFonts w:ascii="Times New Roman" w:hAnsi="Times New Roman" w:cs="Times New Roman"/>
          <w:b/>
          <w:sz w:val="24"/>
          <w:szCs w:val="24"/>
        </w:rPr>
      </w:pPr>
      <w:r w:rsidRPr="005C2557">
        <w:rPr>
          <w:rFonts w:ascii="Times New Roman" w:hAnsi="Times New Roman" w:cs="Times New Roman"/>
          <w:b/>
          <w:sz w:val="24"/>
          <w:szCs w:val="24"/>
        </w:rPr>
        <w:t xml:space="preserve">по икономическите политики и </w:t>
      </w:r>
    </w:p>
    <w:p w:rsidR="00085E72" w:rsidRPr="005C2557" w:rsidRDefault="00085E72" w:rsidP="0012066E">
      <w:pPr>
        <w:spacing w:after="0" w:line="240" w:lineRule="auto"/>
        <w:ind w:left="9912"/>
        <w:rPr>
          <w:rFonts w:ascii="Times New Roman" w:hAnsi="Times New Roman" w:cs="Times New Roman"/>
          <w:b/>
          <w:sz w:val="24"/>
          <w:szCs w:val="24"/>
        </w:rPr>
      </w:pPr>
      <w:r w:rsidRPr="005C2557">
        <w:rPr>
          <w:rFonts w:ascii="Times New Roman" w:hAnsi="Times New Roman" w:cs="Times New Roman"/>
          <w:b/>
          <w:sz w:val="24"/>
          <w:szCs w:val="24"/>
        </w:rPr>
        <w:t>министър на транспорта и съобщенията</w:t>
      </w:r>
    </w:p>
    <w:p w:rsidR="00085E72" w:rsidRPr="005C2557" w:rsidRDefault="00085E72" w:rsidP="00085E72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1848"/>
        <w:gridCol w:w="1931"/>
        <w:gridCol w:w="1632"/>
        <w:gridCol w:w="1701"/>
        <w:gridCol w:w="1701"/>
        <w:gridCol w:w="3743"/>
      </w:tblGrid>
      <w:tr w:rsidR="00AB5F48" w:rsidRPr="005C2557" w:rsidTr="00C57043">
        <w:trPr>
          <w:trHeight w:val="264"/>
          <w:jc w:val="center"/>
        </w:trPr>
        <w:tc>
          <w:tcPr>
            <w:tcW w:w="15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ОТЧЕТ ЗА ИЗПЪЛНЕНИЕ</w:t>
            </w:r>
            <w:r w:rsidR="00EA16C0"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ТО НА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АНТИКОРУПЦИОНЕН ПЛАН - 2022 Г. </w:t>
            </w:r>
          </w:p>
          <w:p w:rsidR="00DF5956" w:rsidRPr="005C2557" w:rsidRDefault="00AB5F48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ЗА ИЗПЪЛНЕНИЕ В МИНИСТЕРСТВОТО НА ТРАНСПОРТА И СЪОБЩЕНИЯТА И </w:t>
            </w:r>
          </w:p>
          <w:p w:rsidR="00AB5F48" w:rsidRPr="005C2557" w:rsidRDefault="00AB5F48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ВТОРОСТЕПЕННИТЕ РАЗПОРЕДИТЕЛИ С БЮДЖЕТ КЪМ МИНИСТЪР</w:t>
            </w:r>
            <w:r w:rsidR="00DF5956"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НА ТРАНСПОРТА И СЪОБЩЕНИЯТА </w:t>
            </w:r>
          </w:p>
        </w:tc>
      </w:tr>
      <w:tr w:rsidR="00AB5F48" w:rsidRPr="005C2557" w:rsidTr="000A6A82">
        <w:trPr>
          <w:trHeight w:val="2640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5C2557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F62362" w:rsidRPr="005C2557" w:rsidTr="000A6A82">
        <w:trPr>
          <w:trHeight w:val="692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</w:t>
            </w: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1</w:t>
            </w:r>
          </w:p>
          <w:p w:rsidR="00AB5F48" w:rsidRPr="005C2557" w:rsidRDefault="00AB5F48" w:rsidP="0008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Периодично актуализиране на Вътрешните правила за управление цикъла на обществените поръчки в МТС, въз основа на дадени препоръки от външни и вътрешни контролни органи.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Организационна/промени в нормативната уредба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Създаване на регламентирана антикорупционна среда във ведомството като адекватен отговор на обществената нетърпимост към корупцията и за промяна на общественото мнение, което</w:t>
            </w:r>
            <w:r w:rsidRPr="005C2557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е най-критично по отношение на високи нива на корупционен риск и корупционни практики.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необходимост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Актуализирани </w:t>
            </w:r>
            <w:r w:rsidR="00FD2A5B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Вътрешни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правила за управление на цикъла на обществените поръчки в МТС.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 „Стопански дейности и управление на собствеността“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Мярката е изпълнена.</w:t>
            </w: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от 01.01.2022 г. до 31.12.2022 г. в Министерството на транспорта и съобщенията не са постъпвали препоръки от външни и вътрешни контролни органи за актуализиране на Вътрешните правила за управление цикъла на обществените поръчки.</w:t>
            </w:r>
          </w:p>
        </w:tc>
      </w:tr>
    </w:tbl>
    <w:p w:rsidR="004C0681" w:rsidRPr="005C2557" w:rsidRDefault="004C0681"/>
    <w:tbl>
      <w:tblPr>
        <w:tblW w:w="157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1559"/>
        <w:gridCol w:w="1843"/>
        <w:gridCol w:w="1701"/>
        <w:gridCol w:w="1701"/>
        <w:gridCol w:w="2054"/>
      </w:tblGrid>
      <w:tr w:rsidR="00AB5F48" w:rsidRPr="005C2557" w:rsidTr="00FD7DFF">
        <w:trPr>
          <w:trHeight w:val="264"/>
          <w:jc w:val="center"/>
        </w:trPr>
        <w:tc>
          <w:tcPr>
            <w:tcW w:w="1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II. Корупционен риск – извършване на контролни дейности </w:t>
            </w: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B5F48" w:rsidRPr="005C2557" w:rsidTr="00FD7DFF">
        <w:trPr>
          <w:trHeight w:val="237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5C2557" w:rsidRDefault="00AB5F48" w:rsidP="00C5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85E72" w:rsidRPr="005C2557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AB5F48" w:rsidRPr="005C2557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5F48" w:rsidRPr="005C2557" w:rsidTr="00FD7DFF">
        <w:trPr>
          <w:trHeight w:val="98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  <w:t xml:space="preserve">Мярка № 2 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Събиране и анализ на данни за администрираните сигнали за нередности, в т. ч. получените сигнали на електронните адреси, горещите телефони и др. за подаване на сигнали за нередности и измами по фондове и програми на ЕС.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Организационна насоченост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Оценка на риска от нередности и измами.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31.12.2022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получени и анализирани сигнали;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  <w:r w:rsidR="00E32409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нередности;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B5F48" w:rsidRPr="005C2557" w:rsidRDefault="00AB5F48" w:rsidP="00E7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Дирекция </w:t>
            </w:r>
            <w:r w:rsidR="00C90DD9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„Координация на програми и проекти“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5C2557" w:rsidRDefault="00E32409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</w:p>
          <w:p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  <w:r w:rsidR="00E32409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от 01.01.2022 г. до 31.12.2022 г.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</w:t>
            </w:r>
            <w:r w:rsidR="00367C92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ИСУН </w:t>
            </w:r>
            <w:r w:rsidR="00367C92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2020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 регистрирани общо 11 бр. сигнали, както следва:</w:t>
            </w:r>
          </w:p>
          <w:p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- УО – 7 бр.;</w:t>
            </w:r>
          </w:p>
          <w:p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 xml:space="preserve">- УО по сигнал на </w:t>
            </w:r>
            <w:r w:rsidR="00367C92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ИА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ОСЕС – 1 бр.;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ЕК – 1 бр.;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Външни сигнали - 2 бр.</w:t>
            </w:r>
          </w:p>
          <w:p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В основанията на сигналите са посочени следните нередности: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Ограничително изискване в критериите за подбор – 5 бр.;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Незаконосъобразно изменение на документацията за обществената поръчка – 1 бр.;</w:t>
            </w:r>
          </w:p>
          <w:p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- Липса на предоставяне/публикуване на разяснения – проверка на УО;</w:t>
            </w:r>
          </w:p>
          <w:p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- Незаконосъобразно разделяне на поръчка за услуги – проверка на УО;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  <w:r w:rsidR="00E32409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AB5F48" w:rsidRPr="005C2557" w:rsidRDefault="00AB5F48" w:rsidP="00C5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362" w:rsidRPr="005C2557" w:rsidTr="00FD7DFF">
        <w:trPr>
          <w:trHeight w:val="29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362" w:rsidRPr="005C2557" w:rsidRDefault="00F6236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62" w:rsidRPr="005C2557" w:rsidRDefault="00F6236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62" w:rsidRPr="005C2557" w:rsidRDefault="00F6236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62" w:rsidRPr="005C2557" w:rsidRDefault="00F6236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62" w:rsidRPr="005C2557" w:rsidRDefault="00F6236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362" w:rsidRPr="005C2557" w:rsidRDefault="00F6236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F2" w:rsidRPr="005C2557" w:rsidRDefault="006107F2" w:rsidP="00F6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Незаконосъобразно подписване на допълнително споразумение –проверка на УО;</w:t>
            </w:r>
          </w:p>
          <w:p w:rsidR="00F62362" w:rsidRPr="005C2557" w:rsidRDefault="00F62362" w:rsidP="00F6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Нарушение в Правилника за прилагане на </w:t>
            </w:r>
            <w:r w:rsidR="004235F5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Закона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обществените поръчки – външен сигнал;</w:t>
            </w:r>
          </w:p>
          <w:p w:rsidR="00F62362" w:rsidRPr="005C2557" w:rsidRDefault="00F62362" w:rsidP="00F6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- Недължимо платени командировъчни – външен сигнал.</w:t>
            </w:r>
          </w:p>
          <w:p w:rsidR="00F62362" w:rsidRPr="005C2557" w:rsidRDefault="00F62362" w:rsidP="00F6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Въз основа на тези сигнали през отчетния период са установени 7 бр. нередности, които са регистрирани в система ИСУН 2020. Три</w:t>
            </w:r>
            <w:r w:rsidR="001678BA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броя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сигналите са в процес на администриране. Един</w:t>
            </w:r>
            <w:r w:rsidR="001678BA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брой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сигналите е приключен поради липса на нередност.</w:t>
            </w:r>
          </w:p>
        </w:tc>
      </w:tr>
      <w:tr w:rsidR="00AB5F48" w:rsidRPr="005C2557" w:rsidTr="00FD7DFF">
        <w:trPr>
          <w:trHeight w:val="29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</w:t>
            </w: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3</w:t>
            </w: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Самооценка на риска от измами, в т. ч. от корупция на УО на ОП ТТИ.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Организационна насоченост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B5F48" w:rsidRPr="005C2557" w:rsidRDefault="00AB5F48" w:rsidP="000C7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Оценка на риска от измама.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Начало – четвърто тримесечие на 2022 г. </w:t>
            </w: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 – първо тримесечие на 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Одобрен от Ръководителя на УО доклад от извършената самооценка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на </w:t>
            </w:r>
            <w:r w:rsidR="00E715C3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дирекция „Координация на програми и проекти“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12A" w:rsidRPr="005C2557" w:rsidRDefault="0057712A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7712A" w:rsidRPr="005C2557" w:rsidRDefault="0057712A" w:rsidP="005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се изпълнява.</w:t>
            </w:r>
          </w:p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Извършва се актуализация на самооценката за 2022 г. на действието на вътрешните контроли за борба с риска от измама и актуализация на оценката на риска при изпълнение на проекти по Оперативна програма „Транспорт и транспортна инфраструктура“ 2014 – 2020 г.</w:t>
            </w:r>
          </w:p>
        </w:tc>
      </w:tr>
      <w:tr w:rsidR="009B7658" w:rsidRPr="005C2557" w:rsidTr="00FD7DFF">
        <w:trPr>
          <w:trHeight w:val="169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 и ВРБ</w:t>
            </w:r>
          </w:p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4 </w:t>
            </w:r>
          </w:p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Предоставяне на подробна информация и анализ в Инспектората в МТС от ВРБ за постъпилите сигнали, съдържащи данни за корупционни действия и конфликт на интереси,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предприети действия и резултати.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Организационна насоченост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Създаване на регламентирана антикорупционна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Ежемесечно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получени сигнали и предприети действия. Анализ на получени сигнали. Брой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съставени АУАН. </w:t>
            </w:r>
          </w:p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издадени НП.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Ръководители на ВРБ с бюджет към министъра на транспорта и съобщенията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87" w:rsidRPr="005C2557" w:rsidRDefault="00B93287" w:rsidP="00D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A77A9" w:rsidRPr="005C2557" w:rsidRDefault="000A77A9" w:rsidP="00D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</w:p>
          <w:p w:rsidR="00102EDA" w:rsidRPr="005C2557" w:rsidRDefault="00546E0B" w:rsidP="00D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Изпълнителна агенция „Автомобилна администрация”</w:t>
            </w:r>
          </w:p>
          <w:p w:rsidR="00D37A39" w:rsidRPr="005C2557" w:rsidRDefault="00D37A39" w:rsidP="00D3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За периода от 01.01.2022 г. до 30.12</w:t>
            </w:r>
            <w:r w:rsidR="0068445C" w:rsidRPr="005C2557">
              <w:rPr>
                <w:rFonts w:ascii="Times New Roman" w:hAnsi="Times New Roman" w:cs="Times New Roman"/>
                <w:sz w:val="24"/>
                <w:szCs w:val="24"/>
              </w:rPr>
              <w:t>.2022 г. са постъпили общо 8 броя</w:t>
            </w: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 xml:space="preserve"> сигнали за корупция и конфликт на интереси, както следва:</w:t>
            </w:r>
          </w:p>
          <w:p w:rsidR="00D37A39" w:rsidRPr="005C2557" w:rsidRDefault="00D37A39" w:rsidP="00D3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Три броя анонимни сигнали, съдържащи твърдения за корупционни действия и конфликт на интереси срещу инспектори от РДАА. На основание чл. 7 от НОРИПДУКИ не е извършвана проверка по тях.</w:t>
            </w:r>
          </w:p>
          <w:p w:rsidR="00D37A39" w:rsidRPr="005C2557" w:rsidRDefault="00D37A39" w:rsidP="00D3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- Три броя сигнали, съдържащи твърдения за корупционни действия срещу служители от РДАА. Извършени са проверки.</w:t>
            </w:r>
          </w:p>
          <w:p w:rsidR="009B7658" w:rsidRPr="005C2557" w:rsidRDefault="00D37A39" w:rsidP="00D3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- Два броя идентични сигнал</w:t>
            </w:r>
            <w:r w:rsidR="0068445C" w:rsidRPr="005C2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, съдържащи твърдения за конфликт на интереси срещу служител на РДАА, постъпили в МТС и препратени по компетентност в ИААА. Извършена е проверка от КПКОНПИ.</w:t>
            </w:r>
          </w:p>
          <w:p w:rsidR="001678BA" w:rsidRPr="005C2557" w:rsidRDefault="001678BA" w:rsidP="00D3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A" w:rsidRPr="005C2557" w:rsidRDefault="001678BA" w:rsidP="00D3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ИАЖА, ИАМА, ИАППД, ГД ГВА, МТБ – ПЛОВДИВ, НМТБ – „Цар Борис III“ – София, ДАО, НБРПВВЖТ </w:t>
            </w: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– За периода от 01.01.2022 г. до 31.12.2022 г.  не са постъпвали сигнали, съдържащи данни за корупционни действия и конфликт на интереси.</w:t>
            </w:r>
          </w:p>
        </w:tc>
      </w:tr>
      <w:tr w:rsidR="00CA2196" w:rsidRPr="005C2557" w:rsidTr="00FD7DFF">
        <w:trPr>
          <w:trHeight w:val="264"/>
          <w:jc w:val="center"/>
        </w:trPr>
        <w:tc>
          <w:tcPr>
            <w:tcW w:w="12044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noWrap/>
          </w:tcPr>
          <w:p w:rsidR="00CA2196" w:rsidRPr="005C2557" w:rsidRDefault="00CA2196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A2196" w:rsidRPr="005C2557" w:rsidRDefault="00CA2196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8445C" w:rsidRPr="005C2557" w:rsidRDefault="0068445C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B5F48" w:rsidRPr="005C2557" w:rsidTr="00FD7DFF">
        <w:trPr>
          <w:trHeight w:val="264"/>
          <w:jc w:val="center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III.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C2F02" w:rsidRPr="005C2557" w:rsidTr="00FD7DFF">
        <w:trPr>
          <w:trHeight w:val="6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02" w:rsidRPr="005C2557" w:rsidRDefault="003C2F0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ГД ГВА </w:t>
            </w:r>
          </w:p>
          <w:p w:rsidR="003C2F02" w:rsidRPr="005C2557" w:rsidRDefault="003C2F0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5</w:t>
            </w:r>
          </w:p>
          <w:p w:rsidR="003C2F02" w:rsidRPr="005C2557" w:rsidRDefault="003C2F0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Прилагане на принципа на ротация на инспекторския състав и на членовете на комисиите при извършване на проверки и други контролни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дейности на авиационните субекти.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Ограничаване на възможностите за прилагане на нерегламентирани действия от страна на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служителите при извършване на контролните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30.12.2022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съставени доклади от проверки и оценки на съответствието, заповеди, протоколи,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предписания, съставени АУАН, издадени 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Директори на дирекции „Летателни стандарти“ и „Оператори, авиационна сигурност,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въздушно пространство търсене и спасяване и правно осигуряване“ в ГД ГВА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D1F" w:rsidRPr="005C2557" w:rsidRDefault="00032D1F" w:rsidP="003C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3C2F02" w:rsidRPr="005C2557" w:rsidRDefault="003C2F02" w:rsidP="003C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</w:p>
          <w:p w:rsidR="003C2F02" w:rsidRPr="005C2557" w:rsidRDefault="003C2F02" w:rsidP="003C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периода от 01.01.2022 г. до 31.12.2022 г.:</w:t>
            </w:r>
          </w:p>
          <w:p w:rsidR="008D4879" w:rsidRPr="005C2557" w:rsidRDefault="008D4879" w:rsidP="008D48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 xml:space="preserve">- Отдел „Лицензиране на оператори“ (ЛО) – извършени 179 броя проверки и контролни </w:t>
            </w:r>
            <w:r w:rsidRPr="005C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дейности на авиационни субекти и дадени 58 броя предписания;</w:t>
            </w:r>
          </w:p>
          <w:p w:rsidR="008D4879" w:rsidRPr="005C2557" w:rsidRDefault="008D4879" w:rsidP="008D48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- Отдел „Летателна годност на ГВС“ (ЛГ ГВС) - извършени 422 броя проверки и контролни дейности на авиационни субекти и установени 110 бр. несъответствия;</w:t>
            </w:r>
          </w:p>
          <w:p w:rsidR="008D4879" w:rsidRPr="005C2557" w:rsidRDefault="008D4879" w:rsidP="008D48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- Отдел „Авиационна сигурност“ (АС) - извършени 41 броя проверки и контролни дейности на авиационни субекти, дадени 7 броя предписания, издадени 6 броя АУАН и 2 броя наказателни постановления;</w:t>
            </w:r>
          </w:p>
          <w:p w:rsidR="008D4879" w:rsidRPr="005C2557" w:rsidRDefault="008D4879" w:rsidP="008D48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- Отдел „Летателна експлоатация и ЛАП“ (ЛЕ и ЛАП) - извършени 594 броя проверки и контролни дейности на авиационни субекти, съставени са 249 броя оценки на съответствието, 84 броя заповеди, 128 броя протоколи и издадени 2 броя АУАН;</w:t>
            </w:r>
          </w:p>
          <w:p w:rsidR="008D4879" w:rsidRPr="005C2557" w:rsidRDefault="008D4879" w:rsidP="008D48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- Отдел „Въздушно пространство, търсене и спасяване“ (ВПТС) - съставени 4 бр. доклади от проверки и издадени 2 броя АУАН и 2 броя наказателни постановления.</w:t>
            </w:r>
          </w:p>
        </w:tc>
      </w:tr>
      <w:tr w:rsidR="0061607F" w:rsidRPr="005C2557" w:rsidTr="00FD7DFF">
        <w:trPr>
          <w:trHeight w:val="448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ИА АА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6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принципа на ротация на служителите от регионалните дирекции „Автомобилна администрация“, при осъществяване на контролните им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Отстраняване на субективния фактор.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възможността за прилагане на нерегламентирани действия при контрола.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на извършените ротации на екипите в отдел „Контрол“ при РД АА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Директори на Регионални дирекции „Автомобилна администрация“ в ИААА;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Началници на отдели „Контрол“ при РДАА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1F" w:rsidRPr="005C2557" w:rsidRDefault="00032D1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01.01.2022 г. до 31.12.2022 г., прилагайки принципа на ротация при изпълнение на контролните функции за констатирани нарушения са съставени актове за установяване на административни нарушения, както следва: 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съставени 15 954 бр. АУАН; 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издадени 15 209 НП , с които са наложени глоби в размер на 8 097 720 лв.</w:t>
            </w:r>
            <w:r w:rsidR="0068445C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връчени са 8 462 бр.  като са обжалвани по съдебен ред 644 бр.  (7,6 %) , в резултат на което са отменени 9 бр., потвърдени са 34 бр., изменени - 2 бр. и 599 бр. са в съдебна фаза. Приложени 4 661 бр. принудителни административни мерки, от които 141 бр. за „временно спиране на МПС от движение за срок от 1 година, чрез сваляне на регистрационната табела и отнемане на свидетелство за регистрация, а 4 520 бр. от тях за „временно спиране на МПС от движение“ и/или „временно отнемане на свидетелството за управление“.</w:t>
            </w:r>
          </w:p>
        </w:tc>
      </w:tr>
      <w:tr w:rsidR="0061607F" w:rsidRPr="005C2557" w:rsidTr="00FD7DFF">
        <w:trPr>
          <w:trHeight w:val="448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ИА АА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7 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61607F" w:rsidRPr="005C2557" w:rsidRDefault="0061607F" w:rsidP="000E2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Осъществяване на контрол и проследяване на местоположението на служебните автомобили, придвижването им по утвърдените маршрути, продължителността на проверките, както и броя на проверените ППС с помощта на тяхното GPS оборудване, с оглед повишаване на ефекта от вътрешния контрол, осъществяван от регионалните дирекции „Автомобилна администрация“ в ИААА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Повишаване ефективността на осъществявания контрол върху инспекционната дейност при извършване на пътен контрол.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наблюдения.</w:t>
            </w:r>
            <w:r w:rsidR="00586F02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  <w:t>Брой установени нарушения.</w:t>
            </w:r>
            <w:r w:rsidR="00586F02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  <w:t>Предприети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Директори на Регионални дирекции „Автомобилна администрация“ в ИААА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1F" w:rsidRPr="005C2557" w:rsidRDefault="00032D1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 w:type="page"/>
            </w:r>
          </w:p>
          <w:p w:rsidR="0061607F" w:rsidRPr="005C2557" w:rsidRDefault="0061607F" w:rsidP="006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01.01.2022 г. до 31.12. 2022 г. са извършени наблюдения чрез GPS системата за контрол на мобилните единици на </w:t>
            </w:r>
            <w:r w:rsidR="00B371FD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Регионални дирекции „Автомобилна администрация“ в ИААА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Мониторингът се извършва за съответствие между заложените в утвърдения седмичен график места за контрол (маршрути) и реалното местоположение на екипите. Изготвени са 88 бр. доклади от директорите на РДАА за извършен контрол на местонахождението на служебните автомобили за съответствие с утвърдените седмични графици, като са извършени 218 контролни проверки. При проверките са констатирани 11 бр. отклонения от утвърдените графици и маршрути на движение в дирекциите РДАА – София, РДАА – Русе и РДАА – Варна.</w:t>
            </w:r>
            <w:r w:rsidR="000E27F1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Изискани са справки от регионалните директори за причините за допуснатите отклонения от утвърдените със седмичните графици маршрути на инспекторските екипи.</w:t>
            </w:r>
          </w:p>
        </w:tc>
      </w:tr>
      <w:tr w:rsidR="0061607F" w:rsidRPr="005C2557" w:rsidTr="00FD7DFF">
        <w:trPr>
          <w:trHeight w:val="381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ИА АА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8 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Осъществяване на контрол от служители на Дирекция „Автомобилна инспекция“ веднъж месечно на инспекторските екипи от РД „Автомобилна инспекция“ в страната, извършващи проверки на пътя и в предприятията, чрез внезапни проверки, разпоредени от изпълнителния директор на ИА АА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възможностите за прилагане на нерегламентирани действия и намаляване на корупционния риск при извършване на проверките на пътя и в предприятията от проверяващите инспекторски екипи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Месечно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извършени внезапни проверки.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нарушения.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Предприети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 „Автомобилна инспекция“ в ИААА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1F" w:rsidRPr="005C2557" w:rsidRDefault="00032D1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</w:p>
          <w:p w:rsidR="0061607F" w:rsidRPr="005C2557" w:rsidRDefault="0061607F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периода от 01.01.2022 г. до 31.12.2022 г. са извършени проверки от служители на Дирекция „Автомобилна инспекция“ на инспекторските екипи от </w:t>
            </w:r>
            <w:r w:rsidR="00F96C6C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РДАА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страната, извършващи проверки на пътя и в предприятията, чрез внезапни проверки на територията на РДАА – София, РДАА – Плевен, РДАА – Пловдив и РДАА – Враца. Изготвени са 5 бр. доклади съдържащи конкретни констатации и препоръки. В изготвените доклади са дадени девет предложения към директорите на РДАА за предприемане на необходимите действия. Установени са две нарушения при извършване на крайпътни проверки от служители на РДАА – София, като са дадени предложения за налаган</w:t>
            </w:r>
            <w:r w:rsidR="00D56483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дисциплинарни наказания на трима служители. След разглеждане на доклада на заседание на дисциплинарния съвет при ИААА на служителите от РДАА – София </w:t>
            </w:r>
            <w:r w:rsidR="006C0F3C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наложен</w:t>
            </w:r>
            <w:r w:rsidR="006C0F3C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дисциплинарн</w:t>
            </w:r>
            <w:r w:rsidR="006C0F3C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наказани</w:t>
            </w:r>
            <w:r w:rsidR="006C0F3C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</w:t>
            </w:r>
            <w:r w:rsidR="00D41C9C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</w:tbl>
    <w:p w:rsidR="006B10EB" w:rsidRPr="005C2557" w:rsidRDefault="006B10EB"/>
    <w:tbl>
      <w:tblPr>
        <w:tblW w:w="157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26"/>
        <w:gridCol w:w="28"/>
        <w:gridCol w:w="1909"/>
        <w:gridCol w:w="8"/>
        <w:gridCol w:w="6"/>
        <w:gridCol w:w="71"/>
        <w:gridCol w:w="1699"/>
        <w:gridCol w:w="154"/>
        <w:gridCol w:w="1623"/>
        <w:gridCol w:w="112"/>
        <w:gridCol w:w="8"/>
        <w:gridCol w:w="1545"/>
        <w:gridCol w:w="22"/>
        <w:gridCol w:w="1888"/>
        <w:gridCol w:w="6"/>
        <w:gridCol w:w="17"/>
        <w:gridCol w:w="3620"/>
        <w:gridCol w:w="18"/>
      </w:tblGrid>
      <w:tr w:rsidR="0061607F" w:rsidRPr="005C2557" w:rsidTr="00032D1F">
        <w:trPr>
          <w:trHeight w:val="276"/>
          <w:jc w:val="center"/>
        </w:trPr>
        <w:tc>
          <w:tcPr>
            <w:tcW w:w="3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ИА АА 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9 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Осъществяване на системен мониторинг на крайпътни проверки и проверки в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предприятията, извършвани чрез система за контрол, включваща специализиран софтуер и специализирани мобилни устройства, камери за видеонаблюдение на работата на инспекторите; таблети;  мобилни термо принтери; специализирани работни станции и монитори за мобилни лаборатории, с която са оборудвани.</w:t>
            </w:r>
          </w:p>
        </w:tc>
        <w:tc>
          <w:tcPr>
            <w:tcW w:w="1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възможностите за прилагане на нерегламентиран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и действия и намаляване на корупционния риск при извършване на проверките на пътя със използване на специализирани мобилни устройства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58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извършени крайпътни проверки и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проверки в </w:t>
            </w:r>
            <w:proofErr w:type="spellStart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предприя</w:t>
            </w:r>
            <w:r w:rsidR="00586F02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тията</w:t>
            </w:r>
            <w:proofErr w:type="spellEnd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586F02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съставени АУАН. Брой съставени НП.</w:t>
            </w:r>
          </w:p>
        </w:tc>
        <w:tc>
          <w:tcPr>
            <w:tcW w:w="1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Директори на регионални дирекции "Автомобилна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администрация" в ИААА</w:t>
            </w:r>
          </w:p>
        </w:tc>
        <w:tc>
          <w:tcPr>
            <w:tcW w:w="3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1F" w:rsidRPr="005C2557" w:rsidRDefault="00032D1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01.01.2022 г. до 31.12.2022 г. от служителите на дирекция „Автомобилна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инспекция“ са извършени проверки на </w:t>
            </w:r>
            <w:r w:rsidR="00F96C6C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РДАА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Стара Загора, РДАА – Варна, РДАА – София, РДАА – Русе.</w:t>
            </w:r>
          </w:p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направените проверки на записите, съхранени в сървъра и при съпоставяне с наличните записи от памет карти от видеокамерите на служебните автомобили, предназначени за извършване на крайпътни проверки, не са установени нарушения.</w:t>
            </w:r>
          </w:p>
        </w:tc>
      </w:tr>
      <w:tr w:rsidR="0061607F" w:rsidRPr="005C2557" w:rsidTr="00032D1F">
        <w:trPr>
          <w:trHeight w:val="458"/>
          <w:jc w:val="center"/>
        </w:trPr>
        <w:tc>
          <w:tcPr>
            <w:tcW w:w="3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07F" w:rsidRPr="005C2557" w:rsidTr="00032D1F">
        <w:trPr>
          <w:trHeight w:val="264"/>
          <w:jc w:val="center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61607F" w:rsidRPr="005C2557" w:rsidTr="00032D1F">
        <w:trPr>
          <w:trHeight w:val="264"/>
          <w:jc w:val="center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III.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61607F" w:rsidRPr="005C2557" w:rsidTr="00032D1F">
        <w:trPr>
          <w:trHeight w:val="2640"/>
          <w:jc w:val="center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E20628" w:rsidRPr="005C2557" w:rsidTr="00032D1F">
        <w:trPr>
          <w:trHeight w:val="264"/>
          <w:jc w:val="center"/>
        </w:trPr>
        <w:tc>
          <w:tcPr>
            <w:tcW w:w="15734" w:type="dxa"/>
            <w:gridSpan w:val="19"/>
            <w:tcBorders>
              <w:bottom w:val="single" w:sz="4" w:space="0" w:color="auto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628" w:rsidRPr="005C2557" w:rsidTr="00032D1F">
        <w:trPr>
          <w:trHeight w:val="264"/>
          <w:jc w:val="center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IV. 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E20628" w:rsidRPr="005C2557" w:rsidTr="00032D1F">
        <w:trPr>
          <w:trHeight w:val="264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1F5E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E20628" w:rsidRPr="005C2557" w:rsidTr="00032D1F">
        <w:trPr>
          <w:trHeight w:val="264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41FA" w:rsidRPr="005C2557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 xml:space="preserve">МТС и ВРБ </w:t>
            </w:r>
          </w:p>
          <w:p w:rsidR="00E20628" w:rsidRPr="005C2557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Неприложим – не се провеждат състезателни процедури.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B247C" w:rsidRPr="005C2557" w:rsidTr="00032D1F">
        <w:trPr>
          <w:trHeight w:val="264"/>
          <w:jc w:val="center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47C" w:rsidRPr="005C2557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:rsidTr="00032D1F">
        <w:trPr>
          <w:trHeight w:val="264"/>
          <w:jc w:val="center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V. Корупционен риск - празноти в закона и/или неясна нормативна уредба, водещи до противоречиви тълкуване и/или прилагане на нормативните актове</w:t>
            </w:r>
          </w:p>
        </w:tc>
      </w:tr>
      <w:tr w:rsidR="00E20628" w:rsidRPr="005C2557" w:rsidTr="00032D1F">
        <w:trPr>
          <w:trHeight w:val="264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141FA" w:rsidRPr="005C2557" w:rsidRDefault="003141FA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:rsidR="00E20628" w:rsidRPr="005C2557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247C" w:rsidRPr="005C2557" w:rsidTr="00032D1F">
        <w:trPr>
          <w:trHeight w:val="264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5C2557" w:rsidRDefault="00AB247C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5C2557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5C2557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5C2557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5C2557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5C2557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5C2557" w:rsidRDefault="00AB247C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:rsidTr="00032D1F">
        <w:trPr>
          <w:gridAfter w:val="1"/>
          <w:wAfter w:w="18" w:type="dxa"/>
          <w:trHeight w:val="264"/>
          <w:jc w:val="center"/>
        </w:trPr>
        <w:tc>
          <w:tcPr>
            <w:tcW w:w="15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VI. Други мерки с оглед специфичните рискове в съответните ведомства</w:t>
            </w:r>
          </w:p>
        </w:tc>
      </w:tr>
      <w:tr w:rsidR="00C75D1C" w:rsidRPr="005C2557" w:rsidTr="00032D1F">
        <w:trPr>
          <w:gridAfter w:val="1"/>
          <w:wAfter w:w="18" w:type="dxa"/>
          <w:trHeight w:val="264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141FA" w:rsidRPr="005C2557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:rsidR="00E20628" w:rsidRPr="005C2557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C75D1C" w:rsidRPr="005C2557" w:rsidTr="00032D1F">
        <w:trPr>
          <w:gridAfter w:val="1"/>
          <w:wAfter w:w="18" w:type="dxa"/>
          <w:trHeight w:val="276"/>
          <w:jc w:val="center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ИА АА 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10 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Постоянен мониторинг на теоретичните и практически изпити на кандидат водачи за придобиване на правоспособност за управление на МПС, провеждани от ИА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„Автомобилна администрация“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Ограничаване на възможността за прилагане на нерегламентирани действия и намаляване на корупционния риск при провеждане на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теоретичните изпити на кандидат водачи за придобиване на правоспособност за управление на МПС</w:t>
            </w:r>
          </w:p>
          <w:p w:rsidR="00A918F8" w:rsidRPr="005C2557" w:rsidRDefault="00A918F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  <w:p w:rsidR="00A918F8" w:rsidRPr="005C2557" w:rsidRDefault="00A918F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проверени записи за теоретичните и практически изпити, проведени в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областните отдели: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теоретични; практически;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придобиване/удължаване срока на ADR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свидетел</w:t>
            </w:r>
            <w:r w:rsidR="0039614A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proofErr w:type="spellStart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ство</w:t>
            </w:r>
            <w:proofErr w:type="spellEnd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водач;</w:t>
            </w:r>
          </w:p>
          <w:p w:rsidR="00E20628" w:rsidRPr="005C2557" w:rsidRDefault="00E20628" w:rsidP="00AB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водач на лек таксиметров автомобил.</w:t>
            </w:r>
          </w:p>
        </w:tc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 „Автомобилна инспекция“ в ИААА</w:t>
            </w:r>
          </w:p>
        </w:tc>
        <w:tc>
          <w:tcPr>
            <w:tcW w:w="3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1F" w:rsidRPr="005C2557" w:rsidRDefault="00032D1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от 01.01.2022 г. до 31.12.2022 г. са проведени следните изпити: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теоретични изпити – 101</w:t>
            </w:r>
            <w:r w:rsidR="00B4765F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415;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практически изпити – 117</w:t>
            </w:r>
            <w:r w:rsidR="00B4765F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755;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- брой проведени изпити за придобиване/удължаване срока на ADR свидетелство на водач –</w:t>
            </w:r>
            <w:r w:rsidR="00B4765F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B4765F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756;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изпити за водач на лек таксиметров автомобил – 3</w:t>
            </w:r>
            <w:r w:rsidR="00B4765F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357;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Мониторингът на теоретичните изпити, изпитите придобиване/удължаване срока на ADR свидетелство на водач и изпитите за водач на лек таксиметров автомобил се извършва в реално време чрез интернет връзка с изпитните зали в областните отдели на </w:t>
            </w:r>
            <w:r w:rsidR="00F96C6C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ИААА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E20628" w:rsidRPr="005C2557" w:rsidRDefault="00E20628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изпълнение на </w:t>
            </w:r>
            <w:r w:rsidR="00C973CE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заповед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изпълнителния директор на </w:t>
            </w:r>
            <w:r w:rsidR="00F96C6C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ИААА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се извършва постоянен преглед на записите на изпитите за придобиване или удължаване на срока на удостоверение за консултант по безопасността при превоз на опасни товари и изпитите за придобиване на професионална компетентност за ръководител на транспортна дейност на предприятията за обществен превоз на пътници и товари. Мониторингът се извършва ежемесечно, като всеки месец се преглеждат не по-малко от 10 % от съответните изпити и до пето число на следващия месец се изготвя доклад с информация за прегледаните изпити до за</w:t>
            </w:r>
            <w:r w:rsidR="00531F5E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местник изпълнителния директор.</w:t>
            </w:r>
          </w:p>
        </w:tc>
      </w:tr>
      <w:tr w:rsidR="00C75D1C" w:rsidRPr="005C2557" w:rsidTr="00032D1F">
        <w:trPr>
          <w:gridAfter w:val="1"/>
          <w:wAfter w:w="18" w:type="dxa"/>
          <w:trHeight w:val="276"/>
          <w:jc w:val="center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75D1C" w:rsidRPr="005C2557" w:rsidTr="00032D1F">
        <w:trPr>
          <w:gridAfter w:val="1"/>
          <w:wAfter w:w="18" w:type="dxa"/>
          <w:trHeight w:val="458"/>
          <w:jc w:val="center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84B26" w:rsidRPr="005C2557" w:rsidTr="00032D1F">
        <w:trPr>
          <w:gridAfter w:val="1"/>
          <w:wAfter w:w="18" w:type="dxa"/>
          <w:trHeight w:val="264"/>
          <w:jc w:val="center"/>
        </w:trPr>
        <w:tc>
          <w:tcPr>
            <w:tcW w:w="15716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184B26" w:rsidRPr="005C2557" w:rsidRDefault="00184B2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:rsidTr="00032D1F">
        <w:trPr>
          <w:gridAfter w:val="1"/>
          <w:wAfter w:w="18" w:type="dxa"/>
          <w:trHeight w:val="264"/>
          <w:jc w:val="center"/>
        </w:trPr>
        <w:tc>
          <w:tcPr>
            <w:tcW w:w="15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VII. Мерки за публичност</w:t>
            </w:r>
          </w:p>
        </w:tc>
      </w:tr>
      <w:tr w:rsidR="00E20628" w:rsidRPr="005C2557" w:rsidTr="00032D1F">
        <w:trPr>
          <w:gridAfter w:val="1"/>
          <w:wAfter w:w="18" w:type="dxa"/>
          <w:trHeight w:val="2112"/>
          <w:jc w:val="center"/>
        </w:trPr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72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628" w:rsidRPr="005C2557" w:rsidRDefault="00E20628" w:rsidP="0035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 / Неизпълнение Причини при неизпълнение</w:t>
            </w:r>
          </w:p>
        </w:tc>
      </w:tr>
      <w:tr w:rsidR="00E20628" w:rsidRPr="005C2557" w:rsidTr="00032D1F">
        <w:trPr>
          <w:gridAfter w:val="1"/>
          <w:wAfter w:w="18" w:type="dxa"/>
          <w:trHeight w:val="264"/>
          <w:jc w:val="center"/>
        </w:trPr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41FA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 и ВРБ</w:t>
            </w:r>
          </w:p>
          <w:p w:rsidR="003141FA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11</w:t>
            </w:r>
          </w:p>
          <w:p w:rsidR="00E20628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Информиране на гражданите за начините за сигнализиране за нередност, изясняване и популяризиране на понятията „нередност“, „съмнение за измама“, „конфликт на интереси“ и „корупция“ в контекста на средствата на ЕС.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5C2557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необходимост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5C2557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141FA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МТС </w:t>
            </w:r>
          </w:p>
          <w:p w:rsidR="00E20628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 КПП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1F" w:rsidRPr="005C2557" w:rsidRDefault="00032D1F" w:rsidP="00B44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3318F3" w:rsidRPr="005C2557" w:rsidRDefault="003318F3" w:rsidP="00B44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</w:t>
            </w:r>
          </w:p>
          <w:p w:rsidR="00B44BCA" w:rsidRPr="005C2557" w:rsidRDefault="00B44BCA" w:rsidP="00B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официалната интернет страница на УО на ОПТТИ са налични дефинициите за понятията „нередност“, „съмнение за измама“, „конфликт на интереси“, „корупция“ в контекста на средствата от ЕС.</w:t>
            </w:r>
          </w:p>
          <w:p w:rsidR="00B44BCA" w:rsidRPr="005C2557" w:rsidRDefault="00B44BCA" w:rsidP="00B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същата рубрика е дадена възможност на гражданите да сигнализират при наличието на съмнение за нередности и измами.</w:t>
            </w:r>
          </w:p>
          <w:p w:rsidR="00E20628" w:rsidRPr="005C2557" w:rsidRDefault="00B44BCA" w:rsidP="00B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Информацията е налична на ел. адрес: https://www.eufunds.bg/bg/optti/node/698.</w:t>
            </w:r>
          </w:p>
        </w:tc>
      </w:tr>
      <w:tr w:rsidR="00E20628" w:rsidRPr="005C2557" w:rsidTr="00032D1F">
        <w:trPr>
          <w:gridAfter w:val="1"/>
          <w:wAfter w:w="18" w:type="dxa"/>
          <w:trHeight w:val="3102"/>
          <w:jc w:val="center"/>
        </w:trPr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и ВРБ </w:t>
            </w:r>
          </w:p>
          <w:p w:rsidR="003141FA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12</w:t>
            </w:r>
          </w:p>
          <w:p w:rsidR="00E20628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Актуализиране на рубриките </w:t>
            </w:r>
            <w:r w:rsidR="003141FA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proofErr w:type="spellStart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Антикорупция</w:t>
            </w:r>
            <w:proofErr w:type="spellEnd"/>
            <w:r w:rsidR="003141FA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официалните интернет страници на МТС и второстепенните разпоредители с бюджет към министъра на транспорта и съобщенията. Оповестяване в интернет страницата на информация за постъпилите сигнали за корупция, предприетите действия, извършените проверки, резултатите и взетите решения.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5C2557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5C2557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МТС и ВРБ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1F" w:rsidRPr="005C2557" w:rsidRDefault="00032D1F" w:rsidP="00331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3318F3" w:rsidRPr="005C2557" w:rsidRDefault="003318F3" w:rsidP="00331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</w:t>
            </w:r>
          </w:p>
          <w:p w:rsidR="003318F3" w:rsidRPr="005C2557" w:rsidRDefault="003318F3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Рубриките „</w:t>
            </w:r>
            <w:proofErr w:type="spellStart"/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Антикорупция</w:t>
            </w:r>
            <w:proofErr w:type="spellEnd"/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 в официалните интернет страници на МТС и второстепенните разпоредители с бюджет към министъра на транспорта и съобщенията се актуализират</w:t>
            </w:r>
            <w:r w:rsidR="00D41C9C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периодично.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20045" w:rsidRPr="005C2557" w:rsidTr="00032D1F">
        <w:trPr>
          <w:gridAfter w:val="1"/>
          <w:wAfter w:w="18" w:type="dxa"/>
          <w:trHeight w:val="40"/>
          <w:jc w:val="center"/>
        </w:trPr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DE7" w:rsidRPr="005C2557" w:rsidRDefault="00325DE7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 и ВРБ</w:t>
            </w:r>
          </w:p>
          <w:p w:rsidR="00325DE7" w:rsidRPr="005C2557" w:rsidRDefault="00325DE7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13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720045" w:rsidRPr="005C2557" w:rsidRDefault="00325DE7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за наличие на предпоставки за прояви на корупционни практики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МТС и ВРБ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1F" w:rsidRPr="005C2557" w:rsidRDefault="00032D1F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</w:t>
            </w:r>
          </w:p>
          <w:p w:rsidR="00171D94" w:rsidRPr="005C2557" w:rsidRDefault="00171D94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МТС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01.01.2022 г. до 31.12.2022 г. са постъпили 21 броя попълнени анкетни карти, анализът на които показва 100 % удовлетвореност от обслужването по административните услуги, както и по цялостното административно обслужване в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министерството. Анкетните карти съдържат само положителни оценки за коректно, професионално и бързо обслужване. Не е посочено наличие на корупционни практики в МТС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B0A04" w:rsidRPr="005C2557" w:rsidRDefault="008B0A04" w:rsidP="008B0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Изпълнителна агенция „Автомобилна администрация“</w:t>
            </w:r>
          </w:p>
          <w:p w:rsidR="008B0A04" w:rsidRPr="005C2557" w:rsidRDefault="008B0A04" w:rsidP="008B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01.01.2022 г. – 31.12.2022 г. в Изпълнителна агенция „Автомобилна администрация“ са постъпили 2 161 бр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анкетни карти. </w:t>
            </w:r>
          </w:p>
          <w:p w:rsidR="008B0A04" w:rsidRPr="005C2557" w:rsidRDefault="008B0A04" w:rsidP="008B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Анализът на отговорите от анкетната карта показва, че преобладаваща част 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CA1570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059</w:t>
            </w:r>
            <w:r w:rsidR="00CA1570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анкетираните посочват, че няма корупционни практики в агенцията. Според 51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бр.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анкетираните потребители в ИААА има корупционни практики, като 15</w:t>
            </w:r>
            <w:r w:rsidR="00CA1570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потребителите сочат, че са свидетели на такъв вид практики. Нито един потребител не посочва конкретно име на служител, както и не е описва вид на евентуално поискан подкуп или дейност, за извършването на която да е поискан такъв</w:t>
            </w:r>
          </w:p>
          <w:p w:rsidR="008B0A04" w:rsidRPr="005C2557" w:rsidRDefault="008B0A04" w:rsidP="008B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Според 132 </w:t>
            </w:r>
            <w:r w:rsidR="00CA1570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CA1570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потребителите, основната предпоставка за корупционни практики в ИААА са усложнените процедури за подаване на документи и спрямо предходния период се е увеличил броят анкетирани, според които се създават формални пречки от страна на служители.</w:t>
            </w:r>
          </w:p>
          <w:p w:rsidR="0067079A" w:rsidRPr="005C2557" w:rsidRDefault="0067079A" w:rsidP="008B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ИA „Железопътна администрация“</w:t>
            </w: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 w:type="page"/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интернет страницата на ИАЖА, в раздел „За ИАЖА“, подраздел „</w:t>
            </w:r>
            <w:proofErr w:type="spellStart"/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Антикорупция</w:t>
            </w:r>
            <w:proofErr w:type="spellEnd"/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“ - https://www.iaja.bg/bg/77 е налична анкетна карта за качеството на административното обслужване с включени въпроси, свързани с антикорупционната дейност.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 xml:space="preserve">През 2022 г. не са постъпвали попълвани анкетни карти от потребителите на административни услуги, предоставяни от ИАЖА.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B2072F" w:rsidRPr="005C2557" w:rsidRDefault="00B2072F" w:rsidP="00B20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ИА „Морска администрация“</w:t>
            </w: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 w:type="page"/>
            </w:r>
          </w:p>
          <w:p w:rsidR="00CA1570" w:rsidRPr="005C2557" w:rsidRDefault="00B2072F" w:rsidP="00B2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анкетната карта за качеството на административно обслужване в ИА „Морска администрация“ са включени въпроси, свързани с прояви на корупционни практики. В анализа на 106 бр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анкетни карти за периода 01.01.2022 г. до 31.12.2022 г. не се установяват данни за сигнали за корупция в агенцията. Изразено е мнението, че потребителите не са ставали свидетели на корупционни прояви от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страна на служителите на агенцията и не са били потърпевши на подобни практики. </w:t>
            </w:r>
          </w:p>
          <w:p w:rsidR="009D0B1D" w:rsidRPr="005C2557" w:rsidRDefault="009D0B1D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ИАППД</w:t>
            </w: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 w:type="page"/>
            </w:r>
          </w:p>
          <w:p w:rsidR="00D41C9C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Анкетната карта за качество на административното обслужване в ИАППД е публикувана на сайта на ИАППД. В нея са включени и въпроси, свързани с наличието на корупционни практики.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E0F6C" w:rsidRPr="005C2557" w:rsidRDefault="00EE0F6C" w:rsidP="00EE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ГД ГВА</w:t>
            </w:r>
          </w:p>
          <w:p w:rsidR="00DA2DD5" w:rsidRPr="005C2557" w:rsidRDefault="00EE0F6C" w:rsidP="00DA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  <w:r w:rsidR="00DA2DD5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2022 г. са постъпили 32 бр. попълнени анкетни карти, като над 80% от анкетираните изразяват мнение, че са удовлетворени от обслужването по административните услуги, както и по цялостното административно обслужване в ГД ГВА. В анкетните карти не е посочено наличие на корупционни практики.</w:t>
            </w:r>
          </w:p>
          <w:p w:rsidR="0067079A" w:rsidRPr="005C2557" w:rsidRDefault="0067079A" w:rsidP="00DA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E0F6C" w:rsidRPr="005C2557" w:rsidRDefault="00EE0F6C" w:rsidP="00EE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МТБ – Пловдив</w:t>
            </w:r>
          </w:p>
          <w:p w:rsidR="00EE0F6C" w:rsidRPr="005C2557" w:rsidRDefault="00EE0F6C" w:rsidP="00EE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2022 г. са проведени четири анонимни анкети на 80 пациенти от всички отделение на болницата.</w:t>
            </w:r>
          </w:p>
          <w:p w:rsidR="008B0A04" w:rsidRPr="005C2557" w:rsidRDefault="00EE0F6C" w:rsidP="0004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Данните показват 100% липса на прояви на корупционно поведение от страна на служителите на МТБ – Пловдив при предоставяне на медицинско обслужване и 90% удовлетвореност на пациентите от медицинските услуги.</w:t>
            </w:r>
          </w:p>
        </w:tc>
      </w:tr>
    </w:tbl>
    <w:p w:rsidR="00481847" w:rsidRPr="005C2557" w:rsidRDefault="00481847"/>
    <w:p w:rsidR="00032D1F" w:rsidRPr="005C2557" w:rsidRDefault="00032D1F"/>
    <w:tbl>
      <w:tblPr>
        <w:tblW w:w="155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78"/>
        <w:gridCol w:w="3542"/>
        <w:gridCol w:w="2270"/>
        <w:gridCol w:w="1705"/>
      </w:tblGrid>
      <w:tr w:rsidR="00720045" w:rsidRPr="005C2557" w:rsidTr="00E546FB">
        <w:trPr>
          <w:trHeight w:val="264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VIII. Обучения</w:t>
            </w:r>
          </w:p>
        </w:tc>
      </w:tr>
      <w:tr w:rsidR="00720045" w:rsidRPr="005C2557" w:rsidTr="00E546FB">
        <w:trPr>
          <w:trHeight w:val="264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и ВРБ 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Обучение с антикорупционна насоченост на служителите на МТС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корупцията.</w:t>
            </w:r>
          </w:p>
        </w:tc>
      </w:tr>
      <w:tr w:rsidR="00720045" w:rsidRPr="005C2557" w:rsidTr="00FD7DFF">
        <w:trPr>
          <w:trHeight w:val="528"/>
          <w:jc w:val="center"/>
        </w:trPr>
        <w:tc>
          <w:tcPr>
            <w:tcW w:w="1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20045" w:rsidRPr="005C2557" w:rsidRDefault="00720045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Брой на проведените обучения. Теми, по които са проведени обучения и брой на обучените по всяка тема служители с длъжността им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0045" w:rsidRPr="005C2557" w:rsidRDefault="00720045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</w:tr>
      <w:tr w:rsidR="000F7AE9" w:rsidRPr="005C2557" w:rsidTr="00032D1F">
        <w:trPr>
          <w:trHeight w:val="7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F7AE9" w:rsidRPr="005C2557" w:rsidRDefault="000F7AE9" w:rsidP="00E5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0F7AE9" w:rsidRPr="005C2557" w:rsidRDefault="000F7AE9" w:rsidP="00E5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Теми на проведените обучения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F7AE9" w:rsidRPr="005C2557" w:rsidRDefault="000F7AE9" w:rsidP="00E5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 на обучените служители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F7AE9" w:rsidRPr="005C2557" w:rsidRDefault="000F7AE9" w:rsidP="00E5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Структура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F7AE9" w:rsidRPr="005C2557" w:rsidRDefault="000F7AE9" w:rsidP="00E5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обучени служители</w:t>
            </w:r>
          </w:p>
        </w:tc>
      </w:tr>
      <w:tr w:rsidR="00ED6C59" w:rsidRPr="005C2557" w:rsidTr="00032D1F">
        <w:trPr>
          <w:trHeight w:val="2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59" w:rsidRPr="005C2557" w:rsidRDefault="00ED6C5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59" w:rsidRPr="005C2557" w:rsidRDefault="00ED6C5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„Стратегии и политики за противодействие на рисковете в държавната администрация"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59" w:rsidRPr="005C2557" w:rsidRDefault="00ED6C5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59" w:rsidRPr="005C2557" w:rsidRDefault="00ED6C5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59" w:rsidRPr="005C2557" w:rsidRDefault="00ED6C59" w:rsidP="002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</w:tr>
      <w:tr w:rsidR="00ED6C59" w:rsidRPr="005C2557" w:rsidTr="00032D1F">
        <w:trPr>
          <w:trHeight w:val="2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59" w:rsidRPr="005C2557" w:rsidRDefault="00ED6C5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59" w:rsidRPr="005C2557" w:rsidRDefault="00ED6C5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"Стратегии и политики за противодействие на рисковете в държавната администрация“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59" w:rsidRPr="005C2557" w:rsidRDefault="00ED6C5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на отдел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C59" w:rsidRPr="005C2557" w:rsidRDefault="00ED6C5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59" w:rsidRPr="005C2557" w:rsidRDefault="00ED6C5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EB565C" w:rsidRPr="005C2557" w:rsidRDefault="00EB565C"/>
    <w:tbl>
      <w:tblPr>
        <w:tblW w:w="155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78"/>
        <w:gridCol w:w="3542"/>
        <w:gridCol w:w="2270"/>
        <w:gridCol w:w="1705"/>
      </w:tblGrid>
      <w:tr w:rsidR="00EB565C" w:rsidRPr="005C2557" w:rsidTr="00344871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"Актуални промени в прилагането на Закона за обществени поръчки"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отдел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</w:tr>
      <w:tr w:rsidR="00EB565C" w:rsidRPr="005C2557" w:rsidTr="00344871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Държавен експерт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B565C" w:rsidRPr="005C2557" w:rsidTr="00344871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B565C" w:rsidRPr="005C2557" w:rsidTr="00344871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сътрудник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B565C" w:rsidRPr="005C2557" w:rsidTr="00344871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с Централизирана автоматизирана информационна система (ЦАИС) "Електронни обществени поръчки"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отдел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5C" w:rsidRPr="005C2557" w:rsidRDefault="00EB565C" w:rsidP="002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EB565C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B565C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сътрудник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C60D9" w:rsidRPr="005C2557" w:rsidTr="00FD7DFF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„Недопустими административни практики и контакти“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Инспектори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Главна дирекция „Гражданска въздухоплавателна администрация“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2C60D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Специализиран онлайн курс за Длъжностни лица по защитата на личните данни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C60D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Семинар "Актуални въпроси и практика по Закона за административните нарушения и наказания"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C60D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семинар „Нови моменти на приложението на правния режим на конфликта на интереси по ЗПКОНПИ“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D9" w:rsidRPr="005C2557" w:rsidRDefault="002C60D9" w:rsidP="0034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2C60D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“Какво е </w:t>
            </w:r>
            <w:proofErr w:type="spellStart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антикорупция</w:t>
            </w:r>
            <w:proofErr w:type="spellEnd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как се реагира в случай на установяване на корупция“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Ръководител, качество летателна експлоатация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F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Държавен авиационен оператор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3F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0F7AE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Ръководител, качество техническо обслужване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експерт, ръководител качество на сигурността.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Летец-пилот, ръководител летателно обучение.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Специалист логистика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Юрисконсулт, Длъжностно лице по ЗЗЛД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Финансов контрольор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Старша стюардеса, асистент кореспонденция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 по сигурността на информацията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Отговорник безопасност на полетите, ръководител на звено.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EB565C" w:rsidRPr="005C2557" w:rsidRDefault="00EB565C"/>
    <w:p w:rsidR="00EB565C" w:rsidRPr="005C2557" w:rsidRDefault="00EB565C"/>
    <w:tbl>
      <w:tblPr>
        <w:tblW w:w="155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78"/>
        <w:gridCol w:w="3542"/>
        <w:gridCol w:w="2270"/>
        <w:gridCol w:w="1705"/>
      </w:tblGrid>
      <w:tr w:rsidR="00ED6C59" w:rsidRPr="005C2557" w:rsidTr="00FD7DFF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546FB" w:rsidP="00E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"Централизирана автоматизирана информационна система „Електронни обществени поръчки"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„Морска администрация“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59" w:rsidRPr="005C2557" w:rsidRDefault="00ED6C59" w:rsidP="00E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</w:tr>
      <w:tr w:rsidR="00ED6C5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„Прилагане на Закона за обществените поръчки“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59" w:rsidRPr="005C2557" w:rsidRDefault="00ED6C59" w:rsidP="00E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D6C5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59" w:rsidRPr="005C2557" w:rsidRDefault="00ED6C59" w:rsidP="00E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D6C59" w:rsidRPr="005C2557" w:rsidTr="00184B26">
        <w:trPr>
          <w:trHeight w:val="26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специалист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59" w:rsidRPr="005C2557" w:rsidRDefault="00ED6C59" w:rsidP="00E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184B26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E546FB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"Подкуп на чужди длъжностни лица и сигнализиране на съмнение за извършено престъпление"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Изпълнителна агенция „Поддържане и проучване на река Дунав“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0F7AE9" w:rsidRPr="005C255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"Управление на риска"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"Стратегии и политики за противодействие на рисковете в държавната администрация"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"Кодекс за поведение на служителите - функции и основни акценти"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Младши експерт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юрисконсулт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"Кодекс за поведение на служителите в държавната администрация"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"Автомобилна администрация"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110</w:t>
            </w:r>
          </w:p>
        </w:tc>
      </w:tr>
      <w:tr w:rsidR="000F7AE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инспектор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Инспектор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276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3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AE9" w:rsidRPr="005C2557" w:rsidRDefault="00AB4C32" w:rsidP="00AB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Обучение </w:t>
            </w:r>
            <w:r w:rsidR="000F7AE9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повишаване на осведомеността на служителите, чрез запознаване с антикорупционните мерки и разясняване на антикорупционната политика на болницата на работещите в МТБ-Пловдив и пациентите за превенция и противодействие на корупцията.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AE9" w:rsidRPr="005C2557" w:rsidRDefault="000F7AE9" w:rsidP="00AB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Началници на структурни звена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AE9" w:rsidRPr="005C2557" w:rsidRDefault="000F7AE9" w:rsidP="003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МТБ - Пловдив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E9" w:rsidRPr="005C2557" w:rsidRDefault="000F7AE9" w:rsidP="003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56571E" w:rsidRPr="005C2557" w:rsidTr="00FD7DFF">
        <w:trPr>
          <w:trHeight w:val="276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1E" w:rsidRPr="005C2557" w:rsidRDefault="0056571E" w:rsidP="003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71E" w:rsidRPr="005C2557" w:rsidRDefault="0056571E" w:rsidP="00AB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71E" w:rsidRPr="005C2557" w:rsidRDefault="0056571E" w:rsidP="00AB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71E" w:rsidRPr="005C2557" w:rsidRDefault="0056571E" w:rsidP="003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1E" w:rsidRPr="005C2557" w:rsidRDefault="0056571E" w:rsidP="003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476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:rsidTr="00FD7DFF">
        <w:trPr>
          <w:trHeight w:val="476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184B26" w:rsidRPr="005C2557" w:rsidRDefault="00184B26">
      <w:r w:rsidRPr="005C2557">
        <w:br w:type="page"/>
      </w:r>
    </w:p>
    <w:p w:rsidR="005022B6" w:rsidRPr="005C2557" w:rsidRDefault="005022B6">
      <w:pPr>
        <w:rPr>
          <w:sz w:val="16"/>
        </w:rPr>
      </w:pPr>
    </w:p>
    <w:tbl>
      <w:tblPr>
        <w:tblW w:w="146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9938"/>
      </w:tblGrid>
      <w:tr w:rsidR="00720045" w:rsidRPr="005C2557" w:rsidTr="00E546FB">
        <w:trPr>
          <w:trHeight w:val="264"/>
          <w:jc w:val="center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6FB" w:rsidRPr="005C2557" w:rsidRDefault="00E546FB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546FB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Възможни начини за подаване на сигнали</w:t>
            </w:r>
          </w:p>
          <w:p w:rsidR="005022B6" w:rsidRPr="005C2557" w:rsidRDefault="005022B6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720045" w:rsidRPr="005C2557" w:rsidTr="00E546FB">
        <w:trPr>
          <w:trHeight w:val="276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Изпълнителна агенция "Автомобилна администрация" 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– в деловодството на ИА АА, адрес: гр. София - 1000, ул. „Ген. Йосиф Гурко“ № 5 и офисите на Областните отдели АА в страната.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Е-mail: avto_a@rta.government.bg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телефон за подаване на сигнали за корупция: 0700 19 990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телефон за нередности в транспорта: 02/940 94 00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Националния портал за сигнали за нередности в транспорта (www.transportinfo.bg)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пощата на адрес: гр. София - 1000, ул. „Ген. Йосиф Гурко“ № 5.</w:t>
            </w:r>
          </w:p>
          <w:p w:rsidR="00720045" w:rsidRPr="005C2557" w:rsidRDefault="00720045" w:rsidP="0048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Кутии за жалби и сигнали, поставени сградата на ИА АА в гр. София - 1000, ул. „Ген. Йосиф Гурко“ № 5 и в </w:t>
            </w:r>
            <w:r w:rsidR="004847C8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РД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АА </w:t>
            </w:r>
          </w:p>
        </w:tc>
      </w:tr>
      <w:tr w:rsidR="00720045" w:rsidRPr="005C255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:rsidTr="00E546FB">
        <w:trPr>
          <w:trHeight w:val="276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„Железопътна администрация“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 София 1000; ул. „Ген. Й. Гурко“ № 5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Тел.: (+359 2) 9 409 428 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Фронт-офис: (+359 2) 9 409 507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Е-mail: iaja@mtitc.government.bg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Е-mail: kabinet-IAJA@mtitc.government.bg  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Интернет страница: www.iaja.government.bg (рубрика „</w:t>
            </w:r>
            <w:proofErr w:type="spellStart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Антикорупция</w:t>
            </w:r>
            <w:proofErr w:type="spellEnd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“), чрез електронната форма към Министерския съвет</w:t>
            </w:r>
          </w:p>
        </w:tc>
      </w:tr>
      <w:tr w:rsidR="00720045" w:rsidRPr="005C255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:rsidTr="00E546FB">
        <w:trPr>
          <w:trHeight w:val="276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FF4752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"Морска администрация"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 София 1000, ул. „Дякон Игнатий“ № 9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0700 10 145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Е-mail: bma@marad.bg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Интернет страница: www.marad.bg (рубрика „</w:t>
            </w:r>
            <w:proofErr w:type="spellStart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Антикорупция</w:t>
            </w:r>
            <w:proofErr w:type="spellEnd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“), чрез електронната форма към Министерския съвет</w:t>
            </w:r>
          </w:p>
        </w:tc>
      </w:tr>
      <w:tr w:rsidR="00720045" w:rsidRPr="005C255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:rsidTr="00E546FB">
        <w:trPr>
          <w:trHeight w:val="276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„Проучване и поддържане на река Дунав“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гр. Русе </w:t>
            </w:r>
            <w:proofErr w:type="spellStart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п.к</w:t>
            </w:r>
            <w:proofErr w:type="spellEnd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7000, бул. „Славянска“ № 6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Е-mail: appd@appd-bg.org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Интернет страница: appd-bg.org (рубрика „За гражданите“)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Централа: (082) 823133, (082) 823134,(082) 823135, (082) 823136, 0889418458, 0889419182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Факс: 082/823131</w:t>
            </w:r>
          </w:p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Кутията за сигнали, намираща се на партерния етаж в сградата на агенцията</w:t>
            </w:r>
          </w:p>
        </w:tc>
      </w:tr>
      <w:tr w:rsidR="00720045" w:rsidRPr="005C255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:rsidTr="00E546FB">
        <w:trPr>
          <w:trHeight w:val="1283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:rsidTr="00E546FB">
        <w:trPr>
          <w:trHeight w:val="276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Главна дирекция „Гражданска въздухоплавателна администрация“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– в деловодството на ГД ГВА в гр. София 1000, ул. „Дякон Игнатий“ № 9 и бул. „Брюксел", № 1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Е-mail: caa@caa.bg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Тел: 02/ 937 10 94; 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Факс: 02/ 980 53 37</w:t>
            </w:r>
          </w:p>
          <w:p w:rsidR="005022B6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Интернет страница: www.caa.bg (рубрика „</w:t>
            </w:r>
            <w:proofErr w:type="spellStart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Антикорупция</w:t>
            </w:r>
            <w:proofErr w:type="spellEnd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“)</w:t>
            </w:r>
          </w:p>
        </w:tc>
      </w:tr>
      <w:tr w:rsidR="008C5D2E" w:rsidRPr="005C2557" w:rsidTr="00E546FB">
        <w:trPr>
          <w:trHeight w:val="276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8C5D2E" w:rsidRPr="005C2557" w:rsidRDefault="008C5D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:rsidTr="00E546FB">
        <w:trPr>
          <w:trHeight w:val="276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:rsidR="00FF4752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 xml:space="preserve">Национална </w:t>
            </w:r>
            <w:proofErr w:type="spellStart"/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многопрофилна</w:t>
            </w:r>
            <w:proofErr w:type="spellEnd"/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транспортна болница „Цар Борис III“ – София</w:t>
            </w:r>
          </w:p>
          <w:p w:rsidR="00FF4752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  <w:t>Гр. София 1233, бул. „Княгиня Мария Луиза“ № 108</w:t>
            </w:r>
          </w:p>
          <w:p w:rsidR="00FF4752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  <w:t xml:space="preserve">Тел: (02) 932 32 32 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  <w:t>E-mail: nmtb_sofia@abv.bg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</w:tc>
      </w:tr>
      <w:tr w:rsidR="00E20628" w:rsidRPr="005C255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:rsidTr="00E546FB">
        <w:trPr>
          <w:trHeight w:val="276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Многопрофилна</w:t>
            </w:r>
            <w:proofErr w:type="spellEnd"/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транспортна болница гр. Пловдив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 Пловдив 4004, ул. „</w:t>
            </w:r>
            <w:proofErr w:type="spellStart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Колхида</w:t>
            </w:r>
            <w:proofErr w:type="spellEnd"/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продължение”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Деловодство: тел. 032/ 674 659</w:t>
            </w:r>
          </w:p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Интернет страница: www.mtb-plovdiv.com (рубрика „Сигнал за корупция“)</w:t>
            </w:r>
          </w:p>
        </w:tc>
      </w:tr>
      <w:tr w:rsidR="00E20628" w:rsidRPr="005C255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:rsidTr="00E546FB">
        <w:trPr>
          <w:trHeight w:val="264"/>
          <w:jc w:val="center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Мерки за защита на лицата, подали сигнали</w:t>
            </w:r>
          </w:p>
        </w:tc>
      </w:tr>
      <w:tr w:rsidR="00E20628" w:rsidRPr="005C2557" w:rsidTr="00E546FB">
        <w:trPr>
          <w:trHeight w:val="264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Същност на мерките</w:t>
            </w:r>
          </w:p>
        </w:tc>
        <w:tc>
          <w:tcPr>
            <w:tcW w:w="9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0628" w:rsidRPr="005C2557" w:rsidRDefault="00E20628" w:rsidP="004A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Във връзка с прилагане на Закона за противодействие на корупцията и за отнемане на незаконно придобитото имущество, през 2018 г. в Министерството на транспорта и съобщенията и второстепенните разпоредители с бюджет към министър</w:t>
            </w:r>
            <w:r w:rsidR="004A7A61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транспорта и съобщенията са изготвени и утвърдени правила/процедури за защита на лицата, подали сигнали за корупция.</w:t>
            </w:r>
          </w:p>
        </w:tc>
      </w:tr>
    </w:tbl>
    <w:p w:rsidR="00AB5F48" w:rsidRPr="005C2557" w:rsidRDefault="00AB5F48" w:rsidP="003F1401"/>
    <w:sectPr w:rsidR="00AB5F48" w:rsidRPr="005C2557" w:rsidSect="00367775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48"/>
    <w:rsid w:val="00023129"/>
    <w:rsid w:val="00030B69"/>
    <w:rsid w:val="00032D1F"/>
    <w:rsid w:val="000373EB"/>
    <w:rsid w:val="00040B1A"/>
    <w:rsid w:val="000428B1"/>
    <w:rsid w:val="00056C08"/>
    <w:rsid w:val="00067345"/>
    <w:rsid w:val="00082E29"/>
    <w:rsid w:val="00085E72"/>
    <w:rsid w:val="000A5568"/>
    <w:rsid w:val="000A6A82"/>
    <w:rsid w:val="000A77A9"/>
    <w:rsid w:val="000B3217"/>
    <w:rsid w:val="000C728A"/>
    <w:rsid w:val="000D46E0"/>
    <w:rsid w:val="000E27F1"/>
    <w:rsid w:val="000F7AE9"/>
    <w:rsid w:val="00102EDA"/>
    <w:rsid w:val="00117EF2"/>
    <w:rsid w:val="0012066E"/>
    <w:rsid w:val="001678BA"/>
    <w:rsid w:val="00171D94"/>
    <w:rsid w:val="00184B26"/>
    <w:rsid w:val="001B2693"/>
    <w:rsid w:val="001E082E"/>
    <w:rsid w:val="00201AAC"/>
    <w:rsid w:val="00202945"/>
    <w:rsid w:val="00221FC7"/>
    <w:rsid w:val="00256D2B"/>
    <w:rsid w:val="002C60D9"/>
    <w:rsid w:val="002D17FA"/>
    <w:rsid w:val="002E07A6"/>
    <w:rsid w:val="0030578D"/>
    <w:rsid w:val="003141FA"/>
    <w:rsid w:val="00325DE7"/>
    <w:rsid w:val="003318F3"/>
    <w:rsid w:val="0033318B"/>
    <w:rsid w:val="00344871"/>
    <w:rsid w:val="00353FAA"/>
    <w:rsid w:val="00362776"/>
    <w:rsid w:val="00367775"/>
    <w:rsid w:val="00367C92"/>
    <w:rsid w:val="0039614A"/>
    <w:rsid w:val="003A0421"/>
    <w:rsid w:val="003A6992"/>
    <w:rsid w:val="003C2F02"/>
    <w:rsid w:val="003F1401"/>
    <w:rsid w:val="003F6740"/>
    <w:rsid w:val="0042267B"/>
    <w:rsid w:val="004235F5"/>
    <w:rsid w:val="004627B3"/>
    <w:rsid w:val="0047745C"/>
    <w:rsid w:val="00481847"/>
    <w:rsid w:val="004847C8"/>
    <w:rsid w:val="004A2FEF"/>
    <w:rsid w:val="004A4A13"/>
    <w:rsid w:val="004A7A61"/>
    <w:rsid w:val="004C0681"/>
    <w:rsid w:val="004C6685"/>
    <w:rsid w:val="004D2EB3"/>
    <w:rsid w:val="004F4276"/>
    <w:rsid w:val="005022B6"/>
    <w:rsid w:val="00531F5E"/>
    <w:rsid w:val="00546E0B"/>
    <w:rsid w:val="0056571E"/>
    <w:rsid w:val="0057712A"/>
    <w:rsid w:val="00586F02"/>
    <w:rsid w:val="005B42CF"/>
    <w:rsid w:val="005C2557"/>
    <w:rsid w:val="005E5FD1"/>
    <w:rsid w:val="00601084"/>
    <w:rsid w:val="006107F2"/>
    <w:rsid w:val="0061607F"/>
    <w:rsid w:val="00644CEF"/>
    <w:rsid w:val="0067079A"/>
    <w:rsid w:val="0068445C"/>
    <w:rsid w:val="00685CDB"/>
    <w:rsid w:val="006B10EB"/>
    <w:rsid w:val="006C0F3C"/>
    <w:rsid w:val="006C3BD4"/>
    <w:rsid w:val="006E7934"/>
    <w:rsid w:val="00713178"/>
    <w:rsid w:val="00720045"/>
    <w:rsid w:val="0072652D"/>
    <w:rsid w:val="00734978"/>
    <w:rsid w:val="007E59F4"/>
    <w:rsid w:val="007F57B8"/>
    <w:rsid w:val="008A025F"/>
    <w:rsid w:val="008B0A04"/>
    <w:rsid w:val="008C5D2E"/>
    <w:rsid w:val="008D4879"/>
    <w:rsid w:val="008F40A6"/>
    <w:rsid w:val="009263BA"/>
    <w:rsid w:val="00931254"/>
    <w:rsid w:val="00996315"/>
    <w:rsid w:val="009A0291"/>
    <w:rsid w:val="009B7658"/>
    <w:rsid w:val="009C0A99"/>
    <w:rsid w:val="009D0B1D"/>
    <w:rsid w:val="009F7204"/>
    <w:rsid w:val="00A918F8"/>
    <w:rsid w:val="00AB189C"/>
    <w:rsid w:val="00AB247C"/>
    <w:rsid w:val="00AB4C32"/>
    <w:rsid w:val="00AB5F48"/>
    <w:rsid w:val="00B00BD4"/>
    <w:rsid w:val="00B2072F"/>
    <w:rsid w:val="00B371FD"/>
    <w:rsid w:val="00B44BCA"/>
    <w:rsid w:val="00B4765F"/>
    <w:rsid w:val="00B5099F"/>
    <w:rsid w:val="00B82D95"/>
    <w:rsid w:val="00B93287"/>
    <w:rsid w:val="00BA7EE2"/>
    <w:rsid w:val="00BC0C31"/>
    <w:rsid w:val="00C36873"/>
    <w:rsid w:val="00C41DE4"/>
    <w:rsid w:val="00C5373E"/>
    <w:rsid w:val="00C57043"/>
    <w:rsid w:val="00C75D1C"/>
    <w:rsid w:val="00C90DD9"/>
    <w:rsid w:val="00C973CE"/>
    <w:rsid w:val="00CA1570"/>
    <w:rsid w:val="00CA2196"/>
    <w:rsid w:val="00CC222E"/>
    <w:rsid w:val="00D37A39"/>
    <w:rsid w:val="00D41C9C"/>
    <w:rsid w:val="00D5370A"/>
    <w:rsid w:val="00D54F20"/>
    <w:rsid w:val="00D56483"/>
    <w:rsid w:val="00D74FE6"/>
    <w:rsid w:val="00D956C0"/>
    <w:rsid w:val="00DA2DD5"/>
    <w:rsid w:val="00DA315B"/>
    <w:rsid w:val="00DE2897"/>
    <w:rsid w:val="00DF5956"/>
    <w:rsid w:val="00E20628"/>
    <w:rsid w:val="00E32409"/>
    <w:rsid w:val="00E546FB"/>
    <w:rsid w:val="00E715C3"/>
    <w:rsid w:val="00EA16C0"/>
    <w:rsid w:val="00EB565C"/>
    <w:rsid w:val="00ED6C59"/>
    <w:rsid w:val="00EE0F6C"/>
    <w:rsid w:val="00EF2E60"/>
    <w:rsid w:val="00F37666"/>
    <w:rsid w:val="00F37E11"/>
    <w:rsid w:val="00F62362"/>
    <w:rsid w:val="00F96C6C"/>
    <w:rsid w:val="00FB2C77"/>
    <w:rsid w:val="00FC0654"/>
    <w:rsid w:val="00FD2A5B"/>
    <w:rsid w:val="00FD7DFF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FF4B"/>
  <w15:chartTrackingRefBased/>
  <w15:docId w15:val="{0AF8311C-6751-4E09-A200-31FCE149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ED36-C32F-406A-A28E-A05929D3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Maya Nikolova</cp:lastModifiedBy>
  <cp:revision>14</cp:revision>
  <dcterms:created xsi:type="dcterms:W3CDTF">2023-02-07T14:38:00Z</dcterms:created>
  <dcterms:modified xsi:type="dcterms:W3CDTF">2023-02-13T15:00:00Z</dcterms:modified>
</cp:coreProperties>
</file>