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6DEF" w:rsidRPr="00BF30AE" w:rsidRDefault="00216DEF" w:rsidP="00216DE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0AE">
        <w:rPr>
          <w:rFonts w:ascii="Times New Roman" w:hAnsi="Times New Roman" w:cs="Times New Roman"/>
          <w:b/>
          <w:sz w:val="24"/>
          <w:szCs w:val="24"/>
        </w:rPr>
        <w:t>СПРАВКА</w:t>
      </w:r>
    </w:p>
    <w:p w:rsidR="00E76C3C" w:rsidRPr="0048460D" w:rsidRDefault="000029B2" w:rsidP="0048460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постъпилите предложения</w:t>
      </w:r>
      <w:r w:rsidR="00216DEF" w:rsidRPr="0048460D">
        <w:rPr>
          <w:rFonts w:ascii="Times New Roman" w:hAnsi="Times New Roman" w:cs="Times New Roman"/>
          <w:sz w:val="24"/>
          <w:szCs w:val="24"/>
        </w:rPr>
        <w:t xml:space="preserve"> при общественото обсъждане</w:t>
      </w:r>
      <w:r w:rsidR="001C0612" w:rsidRPr="0048460D">
        <w:rPr>
          <w:rFonts w:ascii="Times New Roman" w:hAnsi="Times New Roman" w:cs="Times New Roman"/>
          <w:sz w:val="24"/>
          <w:szCs w:val="24"/>
        </w:rPr>
        <w:t xml:space="preserve"> на</w:t>
      </w:r>
      <w:r w:rsidR="00216DEF" w:rsidRPr="0048460D">
        <w:rPr>
          <w:rFonts w:ascii="Times New Roman" w:hAnsi="Times New Roman" w:cs="Times New Roman"/>
          <w:sz w:val="24"/>
          <w:szCs w:val="24"/>
        </w:rPr>
        <w:t xml:space="preserve"> </w:t>
      </w:r>
      <w:r w:rsidR="001C0612" w:rsidRPr="0048460D">
        <w:rPr>
          <w:rFonts w:ascii="Times New Roman" w:hAnsi="Times New Roman" w:cs="Times New Roman"/>
          <w:sz w:val="24"/>
          <w:szCs w:val="24"/>
        </w:rPr>
        <w:t xml:space="preserve">проекта на </w:t>
      </w:r>
      <w:r w:rsidR="0048460D" w:rsidRPr="0048460D">
        <w:rPr>
          <w:rFonts w:ascii="Times New Roman" w:hAnsi="Times New Roman" w:cs="Times New Roman"/>
          <w:sz w:val="24"/>
          <w:szCs w:val="24"/>
        </w:rPr>
        <w:t xml:space="preserve">Наредба за изменение и допълнение на Наредба № Н-3 от 7.04.2009 г. за необходимите мерки за изпълнението и прилагането на Регламент (ЕС) № 165/2014 на Европейския парламент и на Съвета от 4 февруари 2014 г. относно тахографите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</w:t>
      </w:r>
      <w:bookmarkStart w:id="0" w:name="_GoBack"/>
      <w:r w:rsidR="0048460D" w:rsidRPr="0048460D">
        <w:rPr>
          <w:rFonts w:ascii="Times New Roman" w:hAnsi="Times New Roman" w:cs="Times New Roman"/>
          <w:sz w:val="24"/>
          <w:szCs w:val="24"/>
        </w:rPr>
        <w:t xml:space="preserve">транспорт и за необходимите мерки за изпълнението и прилагането на Регламент (ЕО) № 561/2006 на Европейския парламент и на Съвета </w:t>
      </w:r>
      <w:bookmarkEnd w:id="0"/>
      <w:r w:rsidR="0048460D" w:rsidRPr="0048460D">
        <w:rPr>
          <w:rFonts w:ascii="Times New Roman" w:hAnsi="Times New Roman" w:cs="Times New Roman"/>
          <w:sz w:val="24"/>
          <w:szCs w:val="24"/>
        </w:rPr>
        <w:t>от 15 март 2006 г. за хармонизиране на някои разпоредби от социалното законодателство, свързани с автомобилния транспорт, за изменение на Регламенти (ЕИО) № 3821/85 и (ЕО) № 2135/98 на Съвета и за отмяна на Регламент (ЕИО) № 3820/85 на Съвета</w:t>
      </w:r>
      <w:r w:rsidR="001C0612" w:rsidRPr="0048460D">
        <w:rPr>
          <w:rFonts w:ascii="Times New Roman" w:hAnsi="Times New Roman" w:cs="Times New Roman"/>
          <w:sz w:val="24"/>
          <w:szCs w:val="24"/>
        </w:rPr>
        <w:t xml:space="preserve">, проведено </w:t>
      </w:r>
      <w:r w:rsidR="00816308" w:rsidRPr="0048460D">
        <w:rPr>
          <w:rFonts w:ascii="Times New Roman" w:hAnsi="Times New Roman" w:cs="Times New Roman"/>
          <w:sz w:val="24"/>
          <w:szCs w:val="24"/>
        </w:rPr>
        <w:t xml:space="preserve">в периода </w:t>
      </w:r>
      <w:r w:rsidR="00F76246" w:rsidRPr="00FF7941">
        <w:rPr>
          <w:rFonts w:ascii="Times New Roman" w:hAnsi="Times New Roman" w:cs="Times New Roman"/>
          <w:b/>
          <w:sz w:val="24"/>
          <w:szCs w:val="24"/>
        </w:rPr>
        <w:t>1</w:t>
      </w:r>
      <w:r w:rsidR="0048460D" w:rsidRPr="00FF7941">
        <w:rPr>
          <w:rFonts w:ascii="Times New Roman" w:hAnsi="Times New Roman" w:cs="Times New Roman"/>
          <w:b/>
          <w:sz w:val="24"/>
          <w:szCs w:val="24"/>
        </w:rPr>
        <w:t>4</w:t>
      </w:r>
      <w:r w:rsidR="00816308" w:rsidRPr="00FF7941">
        <w:rPr>
          <w:rFonts w:ascii="Times New Roman" w:hAnsi="Times New Roman" w:cs="Times New Roman"/>
          <w:b/>
          <w:sz w:val="24"/>
          <w:szCs w:val="24"/>
        </w:rPr>
        <w:t>.</w:t>
      </w:r>
      <w:r w:rsidR="00F76246" w:rsidRPr="00FF7941">
        <w:rPr>
          <w:rFonts w:ascii="Times New Roman" w:hAnsi="Times New Roman" w:cs="Times New Roman"/>
          <w:b/>
          <w:sz w:val="24"/>
          <w:szCs w:val="24"/>
        </w:rPr>
        <w:t>0</w:t>
      </w:r>
      <w:r w:rsidR="0048460D" w:rsidRPr="00FF7941">
        <w:rPr>
          <w:rFonts w:ascii="Times New Roman" w:hAnsi="Times New Roman" w:cs="Times New Roman"/>
          <w:b/>
          <w:sz w:val="24"/>
          <w:szCs w:val="24"/>
        </w:rPr>
        <w:t>6</w:t>
      </w:r>
      <w:r w:rsidR="00816308" w:rsidRPr="00FF7941">
        <w:rPr>
          <w:rFonts w:ascii="Times New Roman" w:hAnsi="Times New Roman" w:cs="Times New Roman"/>
          <w:b/>
          <w:sz w:val="24"/>
          <w:szCs w:val="24"/>
        </w:rPr>
        <w:t>.20</w:t>
      </w:r>
      <w:r w:rsidR="0048460D" w:rsidRPr="00FF7941">
        <w:rPr>
          <w:rFonts w:ascii="Times New Roman" w:hAnsi="Times New Roman" w:cs="Times New Roman"/>
          <w:b/>
          <w:sz w:val="24"/>
          <w:szCs w:val="24"/>
        </w:rPr>
        <w:t>23</w:t>
      </w:r>
      <w:r w:rsidR="00816308" w:rsidRPr="00FF7941">
        <w:rPr>
          <w:rFonts w:ascii="Times New Roman" w:hAnsi="Times New Roman" w:cs="Times New Roman"/>
          <w:b/>
          <w:sz w:val="24"/>
          <w:szCs w:val="24"/>
        </w:rPr>
        <w:t xml:space="preserve"> г. – </w:t>
      </w:r>
      <w:r w:rsidR="0048460D" w:rsidRPr="00FF7941">
        <w:rPr>
          <w:rFonts w:ascii="Times New Roman" w:hAnsi="Times New Roman" w:cs="Times New Roman"/>
          <w:b/>
          <w:sz w:val="24"/>
          <w:szCs w:val="24"/>
        </w:rPr>
        <w:t>14</w:t>
      </w:r>
      <w:r w:rsidR="00816308" w:rsidRPr="00FF7941">
        <w:rPr>
          <w:rFonts w:ascii="Times New Roman" w:hAnsi="Times New Roman" w:cs="Times New Roman"/>
          <w:b/>
          <w:sz w:val="24"/>
          <w:szCs w:val="24"/>
        </w:rPr>
        <w:t>.0</w:t>
      </w:r>
      <w:r w:rsidR="0048460D" w:rsidRPr="00FF7941">
        <w:rPr>
          <w:rFonts w:ascii="Times New Roman" w:hAnsi="Times New Roman" w:cs="Times New Roman"/>
          <w:b/>
          <w:sz w:val="24"/>
          <w:szCs w:val="24"/>
        </w:rPr>
        <w:t>7</w:t>
      </w:r>
      <w:r w:rsidR="00816308" w:rsidRPr="00FF7941">
        <w:rPr>
          <w:rFonts w:ascii="Times New Roman" w:hAnsi="Times New Roman" w:cs="Times New Roman"/>
          <w:b/>
          <w:sz w:val="24"/>
          <w:szCs w:val="24"/>
        </w:rPr>
        <w:t>.202</w:t>
      </w:r>
      <w:r w:rsidR="0048460D" w:rsidRPr="00FF7941">
        <w:rPr>
          <w:rFonts w:ascii="Times New Roman" w:hAnsi="Times New Roman" w:cs="Times New Roman"/>
          <w:b/>
          <w:sz w:val="24"/>
          <w:szCs w:val="24"/>
        </w:rPr>
        <w:t>3</w:t>
      </w:r>
      <w:r w:rsidR="00816308" w:rsidRPr="0048460D">
        <w:rPr>
          <w:rFonts w:ascii="Times New Roman" w:hAnsi="Times New Roman" w:cs="Times New Roman"/>
          <w:sz w:val="24"/>
          <w:szCs w:val="24"/>
        </w:rPr>
        <w:t xml:space="preserve"> г. по реда на чл. 26, ал. 3 от Закона за нормативните актове </w:t>
      </w:r>
    </w:p>
    <w:tbl>
      <w:tblPr>
        <w:tblW w:w="15168" w:type="dxa"/>
        <w:tblInd w:w="-43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985"/>
        <w:gridCol w:w="6237"/>
        <w:gridCol w:w="2126"/>
        <w:gridCol w:w="4252"/>
      </w:tblGrid>
      <w:tr w:rsidR="00216DEF" w:rsidRPr="00AC1D0F" w:rsidTr="00252EB0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16DEF" w:rsidRPr="00816308" w:rsidRDefault="00216DEF" w:rsidP="008163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163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EF" w:rsidRPr="00AC1D0F" w:rsidRDefault="00216DEF" w:rsidP="00816308">
            <w:pPr>
              <w:keepNext/>
              <w:jc w:val="center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Подател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EF" w:rsidRPr="00AC1D0F" w:rsidRDefault="00216DEF" w:rsidP="003404B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C1D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Бележки/ Предложения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16DEF" w:rsidRPr="000D01AB" w:rsidRDefault="00216DEF" w:rsidP="002E6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Приети/</w:t>
            </w:r>
          </w:p>
          <w:p w:rsidR="00216DEF" w:rsidRPr="000D01AB" w:rsidRDefault="00216DEF" w:rsidP="002E6A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0D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неприети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6DEF" w:rsidRPr="000D01AB" w:rsidRDefault="00216DEF" w:rsidP="002E6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D01A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Мотиви</w:t>
            </w:r>
          </w:p>
        </w:tc>
      </w:tr>
      <w:tr w:rsidR="00F76246" w:rsidRPr="00AC1D0F" w:rsidTr="00252EB0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76246" w:rsidRPr="00816308" w:rsidRDefault="00F76246" w:rsidP="0022274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F76246" w:rsidRPr="0048460D" w:rsidRDefault="0048460D" w:rsidP="00222747">
            <w:pPr>
              <w:keepNext/>
              <w:jc w:val="left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D">
              <w:rPr>
                <w:rFonts w:ascii="Times New Roman" w:hAnsi="Times New Roman" w:cs="Times New Roman"/>
                <w:sz w:val="24"/>
                <w:szCs w:val="24"/>
              </w:rPr>
              <w:t>Светослав Васев,</w:t>
            </w:r>
          </w:p>
          <w:p w:rsidR="0048460D" w:rsidRPr="0048460D" w:rsidRDefault="0048460D" w:rsidP="00222747">
            <w:pPr>
              <w:keepNext/>
              <w:jc w:val="left"/>
              <w:outlineLvl w:val="5"/>
              <w:rPr>
                <w:rFonts w:ascii="Times New Roman" w:hAnsi="Times New Roman" w:cs="Times New Roman"/>
                <w:sz w:val="24"/>
                <w:szCs w:val="24"/>
              </w:rPr>
            </w:pPr>
            <w:r w:rsidRPr="0048460D">
              <w:rPr>
                <w:rFonts w:ascii="Times New Roman" w:hAnsi="Times New Roman" w:cs="Times New Roman"/>
                <w:sz w:val="24"/>
                <w:szCs w:val="24"/>
              </w:rPr>
              <w:t>Държавна агенция „Безопасност на движението по пътищата“</w:t>
            </w:r>
          </w:p>
          <w:p w:rsidR="0048460D" w:rsidRPr="0048460D" w:rsidRDefault="0048460D" w:rsidP="00222747">
            <w:pPr>
              <w:keepNext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846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(</w:t>
            </w:r>
            <w:r w:rsidRPr="0048460D">
              <w:rPr>
                <w:rFonts w:ascii="Times New Roman" w:hAnsi="Times New Roman" w:cs="Times New Roman"/>
                <w:sz w:val="24"/>
                <w:szCs w:val="24"/>
              </w:rPr>
              <w:t>рег № 04-01-00-439/4/20.06.2023 г.</w:t>
            </w:r>
            <w:r w:rsidRPr="0048460D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)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6246" w:rsidRPr="0048460D" w:rsidRDefault="0048460D" w:rsidP="00F76246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8460D">
              <w:rPr>
                <w:rStyle w:val="description"/>
                <w:rFonts w:ascii="Times New Roman" w:hAnsi="Times New Roman" w:cs="Times New Roman"/>
                <w:sz w:val="24"/>
                <w:szCs w:val="24"/>
              </w:rPr>
              <w:t xml:space="preserve">Относно проекта за изменение и допълнение на Наредба № Н-3, чиято основна цел е намаляването на административната тежест за гражданите и бизнеса, изразяваме положително становище, тъй като по този начин, посредством предвидените промени: - Се предвижда заявяването на услугата за издаване на карти за дигитални тахографи да става чрез информационна система на Изпълнителна агенция „Автомобилна администрация“ в центровете за административно обслужване на агенцията или по електронен път, с квалифициран електронен подпис, чрез електронния портал за заявяване на административни услуги на Изпълнителна агенция „Автомобилна администрация“. При подаване на заявлението в центровете за административно обслужване на агенцията отпада необходимостта от предоставяне на копия на лична карта и свидетелство за управление на МПС, като необходимата информация се получава автоматично от регистъра на българските документи за самоличност (БДС). Нанасянето на данните на заявителите в информационната система ще се извършва от обучени служители на Изпълнителна </w:t>
            </w:r>
            <w:r w:rsidRPr="0048460D">
              <w:rPr>
                <w:rStyle w:val="description"/>
                <w:rFonts w:ascii="Times New Roman" w:hAnsi="Times New Roman" w:cs="Times New Roman"/>
                <w:sz w:val="24"/>
                <w:szCs w:val="24"/>
              </w:rPr>
              <w:lastRenderedPageBreak/>
              <w:t>агенция „Автомобилна администрация“, като за заявителят остава единствено задължението да провери правилността на нанесените данни. С отпадането на изискването за подаването на заявления на хартиен носител значително ще бъдат улеснени потребителите и ще се подобри процедурата за административно обслужване. - С предложенията за отпадане на задължението на Изпълнителна агенция „Автомобилна администрация“ да поддържа хартиен регистър на издадените дигитални карти и списък с номерата на невалидните карти за дигитални тахографи. Компетентните органи могат да следят статуса на всяка карта чрез инфраструктурата за комуникация с европейските мрежи на TACHONET, която е част от регистъра за издадените карти за дигитални тахографи по чл. 34, ал. 1. - С промените, касаещи облекчаването на процедурата за издаването на карти за дигитални тахографи. Заявяването на услугата ще се извършва чрез попълване на данните в информационната система или чрез електронния портал за заявяване на административни услуги на Изпълнителна агенция „Автомобилна администрация“. В тази връзка, отпада необходимостта заявителите да използват заявления на хартиен носител по образец.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F76246" w:rsidRPr="002E6A52" w:rsidRDefault="0048460D" w:rsidP="002E6A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Приема се</w:t>
            </w:r>
            <w:r w:rsidR="008E372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246" w:rsidRPr="002E6A52" w:rsidRDefault="0048460D" w:rsidP="002E6A52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Становището е в подкрепа на предложения проект на наредба</w:t>
            </w:r>
            <w:r w:rsidR="00A955F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  <w:tr w:rsidR="002E6A52" w:rsidRPr="00AC1D0F" w:rsidTr="00252EB0">
        <w:trPr>
          <w:trHeight w:val="1695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6A52" w:rsidRPr="00816308" w:rsidRDefault="002E6A52" w:rsidP="002E6A5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927D06" w:rsidRPr="00633E24" w:rsidRDefault="00927D06" w:rsidP="00927D06">
            <w:pPr>
              <w:keepNext/>
              <w:jc w:val="left"/>
              <w:outlineLvl w:val="5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Бележки, постъпили на 2</w:t>
            </w:r>
            <w:r w:rsidR="00633E24" w:rsidRPr="00633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1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633E24" w:rsidRPr="00633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6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33E24" w:rsidRPr="00633E2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</w:t>
            </w:r>
            <w:r w:rsidRPr="00633E24">
              <w:rPr>
                <w:rFonts w:ascii="Times New Roman" w:hAnsi="Times New Roman" w:cs="Times New Roman"/>
                <w:sz w:val="24"/>
                <w:szCs w:val="24"/>
              </w:rPr>
              <w:t xml:space="preserve"> г. на Портала за обществени консултации от</w:t>
            </w:r>
          </w:p>
          <w:p w:rsidR="002E6A52" w:rsidRPr="0048460D" w:rsidRDefault="00633E24" w:rsidP="002E6A52">
            <w:pPr>
              <w:keepNext/>
              <w:jc w:val="left"/>
              <w:outlineLvl w:val="5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  <w:proofErr w:type="spellStart"/>
            <w:r w:rsidRPr="00633E24">
              <w:rPr>
                <w:rFonts w:ascii="Times New Roman" w:hAnsi="Times New Roman" w:cs="Times New Roman"/>
                <w:color w:val="1F4772"/>
                <w:sz w:val="24"/>
                <w:szCs w:val="24"/>
              </w:rPr>
              <w:t>binel</w:t>
            </w:r>
            <w:proofErr w:type="spellEnd"/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33E24" w:rsidRPr="00633E24" w:rsidRDefault="00633E24" w:rsidP="00753FEA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</w:rPr>
            </w:pPr>
            <w:r w:rsidRPr="00633E24">
              <w:rPr>
                <w:color w:val="333333"/>
              </w:rPr>
              <w:t>Удовлетворен съм, че огромна част от предложенията в предварителната кореспонденция с Министерство на транспорта и ИААА са отчетени. Предложените от Вас редакции са много по-издържани и в посока на облекчаване на административната тежест и премахване на остарели текстове.</w:t>
            </w:r>
          </w:p>
          <w:p w:rsidR="00633E24" w:rsidRPr="00633E24" w:rsidRDefault="00633E24" w:rsidP="00753FEA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</w:rPr>
            </w:pPr>
            <w:r w:rsidRPr="00633E24">
              <w:rPr>
                <w:color w:val="333333"/>
              </w:rPr>
              <w:lastRenderedPageBreak/>
              <w:t>Бих искал да направя малко допълнение в §7 на проекта, което в кореспонденцията беше включено в друг текст и явно не е било разбрано:</w:t>
            </w:r>
          </w:p>
          <w:p w:rsidR="00633E24" w:rsidRPr="00633E24" w:rsidRDefault="00633E24" w:rsidP="00753FEA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</w:rPr>
            </w:pPr>
            <w:r w:rsidRPr="00633E24">
              <w:rPr>
                <w:color w:val="333333"/>
              </w:rPr>
              <w:t>"Чл.19. Картата на превозвач се изработва по образец (приложение № 5) след заплащането на такса, определена с акт на Министерския съвет и на стойността на картата на превозвача, като се издава със срок на валидност 5 години. При подадено заявление по чл.16, ал.2, таксата и стойността по изречение първо могат да бъдат заплатени по електронен път в процеса на заявяване."</w:t>
            </w:r>
          </w:p>
          <w:p w:rsidR="00633E24" w:rsidRPr="00633E24" w:rsidRDefault="00633E24" w:rsidP="00753FEA">
            <w:pPr>
              <w:pStyle w:val="NormalWeb"/>
              <w:spacing w:before="0" w:beforeAutospacing="0" w:after="120" w:afterAutospacing="0" w:line="210" w:lineRule="atLeast"/>
              <w:jc w:val="both"/>
              <w:rPr>
                <w:color w:val="333333"/>
              </w:rPr>
            </w:pPr>
            <w:r w:rsidRPr="00633E24">
              <w:rPr>
                <w:color w:val="333333"/>
              </w:rPr>
              <w:t xml:space="preserve">Предлаганата редакция в изречение първо е чисто стилистична. Добавянето на изречение второ цели предоставяне на възможност стойността за изработка на картата да може да се заплаща електронно, така както се плаща и таксата. В момента електронния портал за заявяване на административни услуги на Изпълнителна агенция „Автомобилна администрация“ дава възможност само за генериране на платежно </w:t>
            </w:r>
            <w:proofErr w:type="spellStart"/>
            <w:r w:rsidRPr="00633E24">
              <w:rPr>
                <w:color w:val="333333"/>
              </w:rPr>
              <w:t>натеждане</w:t>
            </w:r>
            <w:proofErr w:type="spellEnd"/>
            <w:r w:rsidRPr="00633E24">
              <w:rPr>
                <w:color w:val="333333"/>
              </w:rPr>
              <w:t>. Това влече след себе си заплащане на излишни банкови такси, както и ръчна обработка на получените по заявките плащания. Предлаганата промяна ще облекчила процеса на обработка, ще намали човешкия фактор и ще облекчи потребителите на услугата. Не виждам причина административната такса да може да се плаща електронно, а стойността на картата да не може.</w:t>
            </w:r>
          </w:p>
          <w:p w:rsidR="002E6A52" w:rsidRPr="00633E24" w:rsidRDefault="002E6A52" w:rsidP="00753FEA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E6A52" w:rsidRPr="0048460D" w:rsidRDefault="002E6A52" w:rsidP="002E6A52">
            <w:pPr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  <w:r w:rsidRPr="00247E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Не се приема</w:t>
            </w:r>
            <w:r w:rsidR="008E3727" w:rsidRPr="00247EB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FEA" w:rsidRDefault="00753FEA" w:rsidP="00753FEA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Предложението </w:t>
            </w:r>
            <w:r w:rsidR="00D1713C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 свързано с</w:t>
            </w:r>
            <w:r w:rsidR="00760A1B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технологична</w:t>
            </w:r>
            <w:r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97CC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функционалност</w:t>
            </w:r>
            <w:r w:rsidR="003B4072"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на програмен продукт</w:t>
            </w:r>
            <w:r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 ко</w:t>
            </w:r>
            <w:r w:rsidR="003B4072"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ето</w:t>
            </w:r>
            <w:r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не </w:t>
            </w:r>
            <w:r w:rsidR="003B4072"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е</w:t>
            </w:r>
            <w:r w:rsidRPr="003B40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обект на настоящия проект на наредба.</w:t>
            </w:r>
          </w:p>
          <w:p w:rsidR="002E6A52" w:rsidRPr="0048460D" w:rsidRDefault="002E6A52" w:rsidP="002E6A52">
            <w:pPr>
              <w:jc w:val="left"/>
              <w:rPr>
                <w:rFonts w:ascii="Times New Roman" w:eastAsia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</w:tc>
      </w:tr>
    </w:tbl>
    <w:p w:rsidR="00216DEF" w:rsidRDefault="00216DEF"/>
    <w:sectPr w:rsidR="00216DEF" w:rsidSect="00A032B1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A27F3"/>
    <w:multiLevelType w:val="hybridMultilevel"/>
    <w:tmpl w:val="8CE0123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98"/>
    <w:rsid w:val="000029B2"/>
    <w:rsid w:val="00007009"/>
    <w:rsid w:val="00017E2C"/>
    <w:rsid w:val="00026BDE"/>
    <w:rsid w:val="00055800"/>
    <w:rsid w:val="00083B92"/>
    <w:rsid w:val="000B12A7"/>
    <w:rsid w:val="000B31D4"/>
    <w:rsid w:val="000D01AB"/>
    <w:rsid w:val="001577EC"/>
    <w:rsid w:val="001607FF"/>
    <w:rsid w:val="0016677D"/>
    <w:rsid w:val="001B3B32"/>
    <w:rsid w:val="001C0612"/>
    <w:rsid w:val="00203536"/>
    <w:rsid w:val="00216DEF"/>
    <w:rsid w:val="00222747"/>
    <w:rsid w:val="00247EBB"/>
    <w:rsid w:val="00252EB0"/>
    <w:rsid w:val="0027232D"/>
    <w:rsid w:val="002C1264"/>
    <w:rsid w:val="002C7FBC"/>
    <w:rsid w:val="002E6A52"/>
    <w:rsid w:val="0033606A"/>
    <w:rsid w:val="00354E75"/>
    <w:rsid w:val="00373A5F"/>
    <w:rsid w:val="00384980"/>
    <w:rsid w:val="003B4072"/>
    <w:rsid w:val="003D0CC8"/>
    <w:rsid w:val="00453022"/>
    <w:rsid w:val="00482DED"/>
    <w:rsid w:val="0048460D"/>
    <w:rsid w:val="004B4313"/>
    <w:rsid w:val="004E2547"/>
    <w:rsid w:val="00542B5C"/>
    <w:rsid w:val="0056774D"/>
    <w:rsid w:val="00597CC5"/>
    <w:rsid w:val="005B0FC2"/>
    <w:rsid w:val="00633E24"/>
    <w:rsid w:val="00666798"/>
    <w:rsid w:val="0068344C"/>
    <w:rsid w:val="006D4B5D"/>
    <w:rsid w:val="006E0E43"/>
    <w:rsid w:val="006E446F"/>
    <w:rsid w:val="00753FEA"/>
    <w:rsid w:val="00760A1B"/>
    <w:rsid w:val="00766573"/>
    <w:rsid w:val="007856EC"/>
    <w:rsid w:val="007952F9"/>
    <w:rsid w:val="007F23F9"/>
    <w:rsid w:val="008138FF"/>
    <w:rsid w:val="00816308"/>
    <w:rsid w:val="00872103"/>
    <w:rsid w:val="008D2AFF"/>
    <w:rsid w:val="008E3727"/>
    <w:rsid w:val="00900790"/>
    <w:rsid w:val="00927D06"/>
    <w:rsid w:val="00954E09"/>
    <w:rsid w:val="009D334A"/>
    <w:rsid w:val="009F3B4F"/>
    <w:rsid w:val="00A032B1"/>
    <w:rsid w:val="00A04066"/>
    <w:rsid w:val="00A35D8F"/>
    <w:rsid w:val="00A36DFF"/>
    <w:rsid w:val="00A63B51"/>
    <w:rsid w:val="00A87276"/>
    <w:rsid w:val="00A955F5"/>
    <w:rsid w:val="00AB0B1E"/>
    <w:rsid w:val="00AB418C"/>
    <w:rsid w:val="00AB4501"/>
    <w:rsid w:val="00AB4B7B"/>
    <w:rsid w:val="00AF03BF"/>
    <w:rsid w:val="00B76DB1"/>
    <w:rsid w:val="00BF3B7E"/>
    <w:rsid w:val="00C261CC"/>
    <w:rsid w:val="00C27431"/>
    <w:rsid w:val="00C4017F"/>
    <w:rsid w:val="00C635EF"/>
    <w:rsid w:val="00CB2ACB"/>
    <w:rsid w:val="00D1713C"/>
    <w:rsid w:val="00D20B46"/>
    <w:rsid w:val="00D25B3F"/>
    <w:rsid w:val="00D61D12"/>
    <w:rsid w:val="00D6514F"/>
    <w:rsid w:val="00D911BA"/>
    <w:rsid w:val="00DA55F1"/>
    <w:rsid w:val="00DD4C39"/>
    <w:rsid w:val="00DF0D95"/>
    <w:rsid w:val="00E51B6A"/>
    <w:rsid w:val="00E642A4"/>
    <w:rsid w:val="00E64981"/>
    <w:rsid w:val="00E74FED"/>
    <w:rsid w:val="00E76C3C"/>
    <w:rsid w:val="00EC7D4A"/>
    <w:rsid w:val="00EF3CDA"/>
    <w:rsid w:val="00F11DCF"/>
    <w:rsid w:val="00F72194"/>
    <w:rsid w:val="00F76246"/>
    <w:rsid w:val="00FB6841"/>
    <w:rsid w:val="00FF3927"/>
    <w:rsid w:val="00FF3B99"/>
    <w:rsid w:val="00FF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2B9FBE-9561-428F-A0D3-21C6DFE4D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6DEF"/>
    <w:pPr>
      <w:spacing w:after="0" w:line="240" w:lineRule="auto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Основен текст2"/>
    <w:basedOn w:val="Normal"/>
    <w:rsid w:val="00216DEF"/>
    <w:pPr>
      <w:shd w:val="clear" w:color="auto" w:fill="FFFFFF"/>
      <w:spacing w:before="480" w:after="300" w:line="336" w:lineRule="exact"/>
      <w:ind w:firstLine="720"/>
    </w:pPr>
    <w:rPr>
      <w:rFonts w:ascii="Times New Roman" w:eastAsia="Times New Roman" w:hAnsi="Times New Roman" w:cs="Times New Roman"/>
      <w:sz w:val="23"/>
      <w:szCs w:val="23"/>
    </w:rPr>
  </w:style>
  <w:style w:type="character" w:styleId="Hyperlink">
    <w:name w:val="Hyperlink"/>
    <w:basedOn w:val="DefaultParagraphFont"/>
    <w:uiPriority w:val="99"/>
    <w:unhideWhenUsed/>
    <w:rsid w:val="00216DE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63B51"/>
    <w:pPr>
      <w:ind w:left="720"/>
      <w:contextualSpacing/>
    </w:pPr>
  </w:style>
  <w:style w:type="character" w:customStyle="1" w:styleId="description">
    <w:name w:val="description"/>
    <w:basedOn w:val="DefaultParagraphFont"/>
    <w:rsid w:val="0048460D"/>
  </w:style>
  <w:style w:type="paragraph" w:styleId="NormalWeb">
    <w:name w:val="Normal (Web)"/>
    <w:basedOn w:val="Normal"/>
    <w:uiPriority w:val="99"/>
    <w:semiHidden/>
    <w:unhideWhenUsed/>
    <w:rsid w:val="00633E24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21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796</Words>
  <Characters>4543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Ekaterina Barbova</dc:creator>
  <cp:keywords/>
  <dc:description/>
  <cp:lastModifiedBy>Zoia Cvetkova</cp:lastModifiedBy>
  <cp:revision>5</cp:revision>
  <dcterms:created xsi:type="dcterms:W3CDTF">2023-07-21T07:29:00Z</dcterms:created>
  <dcterms:modified xsi:type="dcterms:W3CDTF">2023-07-27T08:52:00Z</dcterms:modified>
</cp:coreProperties>
</file>