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0738B9">
              <w:rPr>
                <w:shd w:val="clear" w:color="auto" w:fill="FFFFFF" w:themeFill="background1"/>
              </w:rPr>
            </w:r>
            <w:r w:rsidR="000738B9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44306EC" w:rsidR="00DC47E2" w:rsidRPr="00DC47E2" w:rsidRDefault="00DA77A7" w:rsidP="00C56E4D">
            <w:r w:rsidRPr="00DA77A7">
              <w:t>Закон за изменение и допълнение на Закона за автомобилните превози.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0738B9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A46D87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25pt;height:26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42937D3" w:rsidR="00DC47E2" w:rsidRPr="00DC47E2" w:rsidRDefault="00793836" w:rsidP="00DA77A7">
            <w:pPr>
              <w:jc w:val="left"/>
            </w:pPr>
            <w:r w:rsidRPr="00793836">
              <w:t>03-00-4</w:t>
            </w:r>
            <w:r w:rsidR="00DA77A7">
              <w:t>33/21</w:t>
            </w:r>
            <w:r w:rsidRPr="00793836">
              <w:t>.09.2023 г.</w:t>
            </w:r>
          </w:p>
        </w:tc>
      </w:tr>
      <w:tr w:rsidR="00DC47E2" w:rsidRPr="00DC47E2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3CCBEC43"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0738B9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C56E4D">
        <w:tc>
          <w:tcPr>
            <w:tcW w:w="9923" w:type="dxa"/>
            <w:shd w:val="clear" w:color="auto" w:fill="FFFFFF" w:themeFill="background1"/>
          </w:tcPr>
          <w:p w14:paraId="41D79CEA" w14:textId="56F851DD" w:rsidR="00FD6550" w:rsidRDefault="00FD6550" w:rsidP="00A410B4">
            <w:pPr>
              <w:pStyle w:val="Heading1"/>
              <w:outlineLvl w:val="0"/>
            </w:pPr>
            <w:r>
              <w:t xml:space="preserve">По </w:t>
            </w:r>
            <w:r w:rsidRPr="00973BD9">
              <w:t>законодателната</w:t>
            </w:r>
            <w:r>
              <w:t xml:space="preserve"> </w:t>
            </w:r>
            <w:r w:rsidRPr="00A410B4">
              <w:t>инициатива</w:t>
            </w:r>
          </w:p>
          <w:p w14:paraId="18B72237" w14:textId="4C888E60" w:rsidR="00E457CA" w:rsidRDefault="00E457CA" w:rsidP="00A410B4">
            <w:pPr>
              <w:pStyle w:val="02"/>
            </w:pPr>
            <w:r w:rsidRPr="00E457CA">
              <w:t xml:space="preserve">В изпълнение на инициативата за систематизиране на усилията за подобряване на регулаторната </w:t>
            </w:r>
            <w:r w:rsidR="0023124A">
              <w:t xml:space="preserve">политика на Република България </w:t>
            </w:r>
            <w:r>
              <w:t>и</w:t>
            </w:r>
            <w:r w:rsidRPr="00E457CA">
              <w:t xml:space="preserve"> във връзка с подхода, възприет при изработването на законодателната програма на Министерския съвет за реализиране на единни инициативи, очакваме в законопроекта да се включат предложенията </w:t>
            </w:r>
            <w:r w:rsidR="008060B7">
              <w:t>за намаляване на административната тежест</w:t>
            </w:r>
            <w:r w:rsidRPr="00E457CA">
              <w:t xml:space="preserve">, </w:t>
            </w:r>
            <w:r w:rsidR="008060B7">
              <w:t>обсъдени на общи срещи с представители на Изпълнителна агенция „Автомобилна администрация“</w:t>
            </w:r>
            <w:r w:rsidR="00A46D87">
              <w:t xml:space="preserve"> (ИААА)</w:t>
            </w:r>
            <w:r w:rsidR="008060B7">
              <w:t xml:space="preserve">, </w:t>
            </w:r>
            <w:r w:rsidRPr="00E457CA">
              <w:t>в съответствие с указанията на началника на политическия кабинет на министър-председателя (съгласно писмо наш рег.</w:t>
            </w:r>
            <w:r w:rsidR="00A46D87">
              <w:t> </w:t>
            </w:r>
            <w:r w:rsidRPr="00E457CA">
              <w:t xml:space="preserve"> №</w:t>
            </w:r>
            <w:r w:rsidR="00A46D87">
              <w:t> </w:t>
            </w:r>
            <w:r w:rsidRPr="00E457CA">
              <w:t xml:space="preserve"> 02.05-</w:t>
            </w:r>
            <w:r w:rsidR="00A46D87">
              <w:t> </w:t>
            </w:r>
            <w:r w:rsidRPr="00E457CA">
              <w:t>83</w:t>
            </w:r>
            <w:r w:rsidR="00A46D87">
              <w:t xml:space="preserve"> от </w:t>
            </w:r>
            <w:r w:rsidRPr="00E457CA">
              <w:t>04.09.2023 г.).</w:t>
            </w:r>
          </w:p>
          <w:p w14:paraId="2575EBBD" w14:textId="58B94DA3" w:rsidR="008060B7" w:rsidRDefault="0023124A" w:rsidP="00E87992">
            <w:pPr>
              <w:pStyle w:val="02"/>
            </w:pPr>
            <w:r>
              <w:t>В</w:t>
            </w:r>
            <w:r w:rsidR="001E1353">
              <w:t xml:space="preserve">ъв връзка с поставените </w:t>
            </w:r>
            <w:r>
              <w:t xml:space="preserve">в оценката </w:t>
            </w:r>
            <w:r w:rsidR="001E1353">
              <w:t>проблеми относно удостоверението за психологическа годност, предлагаме</w:t>
            </w:r>
            <w:r w:rsidR="0071466A" w:rsidRPr="001E1353">
              <w:t xml:space="preserve"> </w:t>
            </w:r>
            <w:r w:rsidRPr="0023124A">
              <w:t>в обхвата на представената частична предварителна оценка на въздействието и от там и на законопроекта</w:t>
            </w:r>
            <w:r w:rsidR="00A46D87">
              <w:t>,</w:t>
            </w:r>
            <w:r w:rsidR="001E1353">
              <w:t xml:space="preserve"> </w:t>
            </w:r>
            <w:r>
              <w:t xml:space="preserve">да </w:t>
            </w:r>
            <w:r w:rsidR="008060B7">
              <w:t xml:space="preserve">бъде </w:t>
            </w:r>
            <w:r>
              <w:t>разгледа</w:t>
            </w:r>
            <w:r w:rsidR="008060B7">
              <w:t>н</w:t>
            </w:r>
            <w:r>
              <w:t xml:space="preserve"> и </w:t>
            </w:r>
            <w:r w:rsidR="008060B7">
              <w:t xml:space="preserve">следният допълнителен </w:t>
            </w:r>
            <w:r w:rsidR="001E1353">
              <w:t>проблем</w:t>
            </w:r>
            <w:r w:rsidR="008060B7">
              <w:t xml:space="preserve">: </w:t>
            </w:r>
            <w:r w:rsidR="008060B7" w:rsidRPr="00A46D87">
              <w:rPr>
                <w:i/>
              </w:rPr>
              <w:t>„</w:t>
            </w:r>
            <w:r w:rsidR="00A46D87">
              <w:rPr>
                <w:i/>
              </w:rPr>
              <w:t>Липса</w:t>
            </w:r>
            <w:r w:rsidR="001E1353" w:rsidRPr="00A46D87">
              <w:rPr>
                <w:i/>
              </w:rPr>
              <w:t xml:space="preserve"> на възможност за обмен на информацията по служебен път</w:t>
            </w:r>
            <w:r w:rsidR="008060B7" w:rsidRPr="00A46D87">
              <w:rPr>
                <w:i/>
              </w:rPr>
              <w:t xml:space="preserve"> на издадените удостоверения за псих</w:t>
            </w:r>
            <w:r w:rsidR="008060B7">
              <w:rPr>
                <w:i/>
              </w:rPr>
              <w:t>олог</w:t>
            </w:r>
            <w:r w:rsidR="008060B7" w:rsidRPr="00A46D87">
              <w:rPr>
                <w:i/>
              </w:rPr>
              <w:t>ическа годност</w:t>
            </w:r>
            <w:r w:rsidR="008060B7">
              <w:rPr>
                <w:i/>
              </w:rPr>
              <w:t xml:space="preserve"> на водачите на МПС</w:t>
            </w:r>
            <w:r w:rsidR="008060B7" w:rsidRPr="00A46D87">
              <w:rPr>
                <w:i/>
              </w:rPr>
              <w:t>“</w:t>
            </w:r>
            <w:r w:rsidR="001E1353">
              <w:t>.</w:t>
            </w:r>
          </w:p>
          <w:p w14:paraId="349FADC5" w14:textId="77777777" w:rsidR="008060B7" w:rsidRDefault="008060B7" w:rsidP="00E87992">
            <w:pPr>
              <w:pStyle w:val="02"/>
            </w:pPr>
            <w:r>
              <w:t>Предлагаме чрез едновременни промени в Закона за автомобилните превози и в Закона за движение по пътищата да бъде предвидена следната постановка:</w:t>
            </w:r>
          </w:p>
          <w:p w14:paraId="1C94DDE1" w14:textId="4DB37B57" w:rsidR="001A7FBE" w:rsidRDefault="008060B7" w:rsidP="00A46D87">
            <w:pPr>
              <w:pStyle w:val="ListParagraph"/>
              <w:numPr>
                <w:ilvl w:val="0"/>
                <w:numId w:val="12"/>
              </w:numPr>
              <w:ind w:left="890"/>
            </w:pPr>
            <w:r>
              <w:t xml:space="preserve">да се установи на законово ниво, че изпълнителният директор на Изпълнителна агенция „Автомобилна администрация“ поддържа регистър на издадените от </w:t>
            </w:r>
            <w:r w:rsidR="007E1903">
              <w:t>регистрираните</w:t>
            </w:r>
            <w:r>
              <w:t xml:space="preserve"> лица удостоверения за психологическа годност</w:t>
            </w:r>
            <w:r w:rsidR="001A7FBE">
              <w:t xml:space="preserve">. В момента </w:t>
            </w:r>
            <w:r w:rsidR="000738B9">
              <w:t>ИААА</w:t>
            </w:r>
            <w:r w:rsidR="001A7FBE">
              <w:t xml:space="preserve"> вместо регистър, установен със закон, поддържа </w:t>
            </w:r>
            <w:r w:rsidR="001A7FBE" w:rsidRPr="00A46D87">
              <w:t>специализирания програмен продукт за поддържане на централизираната база данни за проведените изследвания, дадените заключения и издадените удостоверения за психологическа годност;</w:t>
            </w:r>
          </w:p>
          <w:p w14:paraId="55167831" w14:textId="1524CA1E" w:rsidR="008060B7" w:rsidRDefault="007E1903" w:rsidP="000738B9">
            <w:pPr>
              <w:pStyle w:val="02"/>
              <w:numPr>
                <w:ilvl w:val="0"/>
                <w:numId w:val="12"/>
              </w:numPr>
              <w:ind w:left="890"/>
            </w:pPr>
            <w:r>
              <w:t>регистрираните</w:t>
            </w:r>
            <w:r w:rsidR="009978BB" w:rsidRPr="009978BB">
              <w:t xml:space="preserve"> лица </w:t>
            </w:r>
            <w:r w:rsidR="009978BB">
              <w:t>вписват изда</w:t>
            </w:r>
            <w:r w:rsidR="001A7FBE">
              <w:t>дените</w:t>
            </w:r>
            <w:r w:rsidR="009978BB">
              <w:t xml:space="preserve"> </w:t>
            </w:r>
            <w:r w:rsidR="009978BB" w:rsidRPr="009978BB">
              <w:t>удостоверения</w:t>
            </w:r>
            <w:r w:rsidR="009978BB">
              <w:t xml:space="preserve"> за психологическа годност и съответните данни за тях </w:t>
            </w:r>
            <w:r w:rsidR="001A7FBE">
              <w:t xml:space="preserve">в регистъра </w:t>
            </w:r>
            <w:r w:rsidR="009978BB">
              <w:t>чрез съответния достъп;</w:t>
            </w:r>
          </w:p>
          <w:p w14:paraId="227CAA35" w14:textId="0A3C8B80" w:rsidR="009978BB" w:rsidRDefault="009978BB" w:rsidP="000738B9">
            <w:pPr>
              <w:pStyle w:val="ListParagraph"/>
              <w:numPr>
                <w:ilvl w:val="0"/>
                <w:numId w:val="12"/>
              </w:numPr>
              <w:ind w:left="890"/>
            </w:pPr>
            <w:r>
              <w:t xml:space="preserve">при подаването на заявление за издаване на свидетелство за управление на съответната категория МПС, заявителят не прилага хартиен носител на заявлението, а органите на МВР извършват служебна проверка в </w:t>
            </w:r>
            <w:r w:rsidR="001A7FBE">
              <w:t>регистъра</w:t>
            </w:r>
            <w:r>
              <w:t xml:space="preserve"> на ИА</w:t>
            </w:r>
            <w:r w:rsidR="000738B9">
              <w:t>АА.</w:t>
            </w:r>
          </w:p>
          <w:p w14:paraId="101965BC" w14:textId="577C0DF9" w:rsidR="00E87992" w:rsidRDefault="00E87992" w:rsidP="000738B9">
            <w:pPr>
              <w:pStyle w:val="02"/>
              <w:spacing w:before="240"/>
            </w:pPr>
            <w:r>
              <w:t xml:space="preserve">Конкретно в </w:t>
            </w:r>
            <w:r w:rsidRPr="00A46D87">
              <w:t>Закона за движението по пътищата (ЗДП</w:t>
            </w:r>
            <w:r>
              <w:t>)</w:t>
            </w:r>
            <w:r w:rsidRPr="00E87992">
              <w:t xml:space="preserve"> </w:t>
            </w:r>
            <w:r w:rsidR="001A7FBE">
              <w:t xml:space="preserve">е необходимо и </w:t>
            </w:r>
            <w:r>
              <w:t xml:space="preserve">изменение и допълнение </w:t>
            </w:r>
            <w:r w:rsidRPr="00E87992">
              <w:t>в чл. 178в</w:t>
            </w:r>
            <w:r>
              <w:t xml:space="preserve"> от ЗДП при извършване на с</w:t>
            </w:r>
            <w:r w:rsidRPr="00E87992">
              <w:t xml:space="preserve">лужебна проверка от страна на Министерство на вътрешните работи в централизираната база данни на </w:t>
            </w:r>
            <w:r w:rsidR="000738B9">
              <w:t>ИААА</w:t>
            </w:r>
            <w:r w:rsidRPr="00E87992">
              <w:t xml:space="preserve"> </w:t>
            </w:r>
            <w:r>
              <w:t>при</w:t>
            </w:r>
            <w:r w:rsidRPr="00E87992">
              <w:t xml:space="preserve"> наличието на положително заключение за психологическа годност</w:t>
            </w:r>
            <w:r>
              <w:t>.</w:t>
            </w:r>
          </w:p>
          <w:p w14:paraId="564D59C9" w14:textId="78E4066A" w:rsidR="00E87992" w:rsidRPr="00A46D87" w:rsidRDefault="00726182" w:rsidP="00E87992">
            <w:pPr>
              <w:pStyle w:val="02"/>
            </w:pPr>
            <w:r>
              <w:t xml:space="preserve">Решаването на поставения проблем </w:t>
            </w:r>
            <w:r w:rsidR="00A46D87">
              <w:t xml:space="preserve">ще </w:t>
            </w:r>
            <w:r>
              <w:t>осигури</w:t>
            </w:r>
            <w:r w:rsidR="00CC6DE0" w:rsidRPr="00A46D87">
              <w:t xml:space="preserve"> </w:t>
            </w:r>
            <w:r w:rsidR="00E87992" w:rsidRPr="00A46D87">
              <w:t>пълнота на законовата уредба относно въвеждането на служебно удостоверяване на обстоятелството за наличието на положително заключение за психологическа годност</w:t>
            </w:r>
            <w:r>
              <w:t xml:space="preserve">, гражданите ще престанат да изпълняват функциите на куриери между двете институции, ще се ограничат </w:t>
            </w:r>
            <w:r w:rsidR="00E87992" w:rsidRPr="00A46D87">
              <w:t>предпоставки</w:t>
            </w:r>
            <w:r>
              <w:t>те</w:t>
            </w:r>
            <w:r w:rsidR="00E87992" w:rsidRPr="00A46D87">
              <w:t xml:space="preserve"> за злоупотреби</w:t>
            </w:r>
            <w:r>
              <w:t xml:space="preserve"> и ще се</w:t>
            </w:r>
            <w:bookmarkStart w:id="0" w:name="_GoBack"/>
            <w:bookmarkEnd w:id="0"/>
            <w:r w:rsidR="00E87992" w:rsidRPr="00A46D87">
              <w:t xml:space="preserve"> улесн</w:t>
            </w:r>
            <w:r>
              <w:t>и</w:t>
            </w:r>
            <w:r w:rsidR="00E87992" w:rsidRPr="00A46D87">
              <w:t xml:space="preserve"> процедурата по издаване и подмяна на свидетелство за управление на МПС в частта предоставяне на удостоверение за психологическа годност. </w:t>
            </w:r>
            <w:r>
              <w:t>Създаването на регистър на издадените удостоверения за психологическа годност ще осигури съответствие с изискванията на Закона за електронното управление.</w:t>
            </w:r>
          </w:p>
          <w:p w14:paraId="58FF55BD" w14:textId="5E6219CA" w:rsidR="001A7FBE" w:rsidRPr="00A46D87" w:rsidRDefault="001A7FBE" w:rsidP="00E87992">
            <w:pPr>
              <w:pStyle w:val="02"/>
            </w:pPr>
            <w:r>
              <w:t xml:space="preserve">Изразяваме готовност за съдействие при формулиране на </w:t>
            </w:r>
            <w:r w:rsidR="00726182">
              <w:t>разпоредбите, преди стартирането на съгласувателната процедура по чл.32 от УПМСНА.</w:t>
            </w:r>
          </w:p>
          <w:p w14:paraId="4C66B06B" w14:textId="6085CAEC" w:rsidR="00680D75" w:rsidRPr="00680D75" w:rsidRDefault="00CC6DE0" w:rsidP="00CC6DE0">
            <w:pPr>
              <w:pStyle w:val="Heading1"/>
              <w:outlineLvl w:val="0"/>
            </w:pPr>
            <w:r w:rsidRPr="00CC6DE0">
              <w:t>Относно раздел 4 „Варианти на действие. Анализ на въздействията:”</w:t>
            </w:r>
          </w:p>
          <w:p w14:paraId="49D62067" w14:textId="379F4A98" w:rsidR="00421454" w:rsidRDefault="00CC6DE0" w:rsidP="00421454">
            <w:pPr>
              <w:pStyle w:val="02"/>
            </w:pPr>
            <w:r>
              <w:t>Напомняме, че и</w:t>
            </w:r>
            <w:r w:rsidR="00C93AA3" w:rsidRPr="00C93AA3">
              <w:t>кономическите, социални</w:t>
            </w:r>
            <w:r>
              <w:t xml:space="preserve">, екологични </w:t>
            </w:r>
            <w:r w:rsidR="00C405F9">
              <w:t xml:space="preserve">и други </w:t>
            </w:r>
            <w:r w:rsidR="00C93AA3" w:rsidRPr="00C93AA3">
              <w:t>въздействия трябва да бъдат подробно анализирани</w:t>
            </w:r>
            <w:r w:rsidR="00C405F9">
              <w:t xml:space="preserve">, като се посочат </w:t>
            </w:r>
            <w:r w:rsidR="00680D75" w:rsidRPr="00680D75">
              <w:t>положителните въздействия (ползите) и отрицателните въздействия (разходите) за в</w:t>
            </w:r>
            <w:r w:rsidR="00C93AA3">
              <w:t>сяка заинтересована страна</w:t>
            </w:r>
            <w:r>
              <w:t xml:space="preserve">, </w:t>
            </w:r>
            <w:r w:rsidR="00FA3E67">
              <w:t xml:space="preserve">съгласно препоръките от </w:t>
            </w:r>
            <w:hyperlink r:id="rId11" w:history="1">
              <w:r w:rsidR="00FA3E67" w:rsidRPr="00BD7A64">
                <w:rPr>
                  <w:color w:val="0563C1" w:themeColor="hyperlink"/>
                  <w:u w:val="single"/>
                </w:rPr>
                <w:t>Ръководството за извършване на предварителна оценка на въздействието</w:t>
              </w:r>
            </w:hyperlink>
            <w:r w:rsidR="00FA3E67" w:rsidRPr="00BD7A64">
              <w:t xml:space="preserve"> (стр. 28-37).</w:t>
            </w:r>
          </w:p>
          <w:p w14:paraId="632EA76A" w14:textId="66C5F243" w:rsidR="00C93AA3" w:rsidRDefault="00FA3E67" w:rsidP="00A410B4">
            <w:pPr>
              <w:pStyle w:val="02"/>
            </w:pPr>
            <w:r>
              <w:t>О</w:t>
            </w:r>
            <w:r w:rsidR="00C93AA3">
              <w:t>бръщаме внимание, че а</w:t>
            </w:r>
            <w:r w:rsidR="00C93AA3" w:rsidRPr="00C93AA3">
              <w:t xml:space="preserve">нализът на въздействията представлява оценяването им спрямо текущото състояние в качествено, </w:t>
            </w:r>
            <w:r w:rsidR="00C93AA3" w:rsidRPr="00A410B4">
              <w:t>количествено</w:t>
            </w:r>
            <w:r w:rsidR="00C93AA3" w:rsidRPr="00C93AA3">
              <w:t xml:space="preserve"> или парично</w:t>
            </w:r>
            <w:r w:rsidR="00C93AA3">
              <w:t xml:space="preserve"> изражение. </w:t>
            </w:r>
            <w:r w:rsidR="00C93AA3" w:rsidRPr="00C93AA3">
              <w:t>Ако количествената оценка е невъзможна или неефективна следва да се поясни защо.</w:t>
            </w:r>
            <w:r w:rsidR="00C93AA3">
              <w:t xml:space="preserve"> </w:t>
            </w:r>
          </w:p>
          <w:p w14:paraId="32E0F813" w14:textId="00B930D2" w:rsidR="00324D33" w:rsidRPr="007B3927" w:rsidRDefault="00324D33" w:rsidP="00FA3E67">
            <w:pPr>
              <w:pStyle w:val="Heading1"/>
              <w:outlineLvl w:val="0"/>
            </w:pPr>
            <w:r w:rsidRPr="007B3927">
              <w:t xml:space="preserve">Относно </w:t>
            </w:r>
            <w:r w:rsidRPr="00FA3E67">
              <w:t>раздел</w:t>
            </w:r>
            <w:r w:rsidRPr="007B3927">
              <w:t xml:space="preserve"> 11 „</w:t>
            </w:r>
            <w:r w:rsidRPr="00BD7A64">
              <w:t>Информационни</w:t>
            </w:r>
            <w:r w:rsidRPr="007B3927">
              <w:t xml:space="preserve"> източници“ :</w:t>
            </w:r>
          </w:p>
          <w:p w14:paraId="7B99B36F" w14:textId="7D50A933" w:rsidR="00324D33" w:rsidRDefault="00324D33" w:rsidP="00A410B4">
            <w:pPr>
              <w:pStyle w:val="02"/>
            </w:pPr>
            <w:r>
              <w:t xml:space="preserve">В този раздел се посочат </w:t>
            </w:r>
            <w:r w:rsidR="00FD6550" w:rsidRPr="007B3927">
              <w:t>хиперлинкове</w:t>
            </w:r>
            <w:r w:rsidR="00FD6550">
              <w:t xml:space="preserve"> на </w:t>
            </w:r>
            <w:r w:rsidRPr="007B3927">
              <w:t>източници</w:t>
            </w:r>
            <w:r>
              <w:t>те</w:t>
            </w:r>
            <w:r w:rsidRPr="007B3927">
              <w:t xml:space="preserve"> на информация</w:t>
            </w:r>
            <w:r>
              <w:t xml:space="preserve"> за извършване на оценката, </w:t>
            </w:r>
            <w:r w:rsidR="00FD6550">
              <w:t xml:space="preserve">които са </w:t>
            </w:r>
            <w:r w:rsidR="00FD6550" w:rsidRPr="00A410B4">
              <w:t>достъпни</w:t>
            </w:r>
            <w:r w:rsidR="00FD6550">
              <w:t xml:space="preserve"> в интернет.</w:t>
            </w:r>
          </w:p>
          <w:p w14:paraId="3BD38C9B" w14:textId="77777777" w:rsidR="00BD7A64" w:rsidRPr="00BD7A64" w:rsidRDefault="00BD7A64" w:rsidP="00C71C35">
            <w:pPr>
              <w:pStyle w:val="Heading1"/>
              <w:outlineLvl w:val="0"/>
            </w:pPr>
            <w:r w:rsidRPr="00BD7A64">
              <w:t xml:space="preserve">Относно </w:t>
            </w:r>
            <w:r w:rsidRPr="00C71C35">
              <w:t>извършване</w:t>
            </w:r>
            <w:r w:rsidRPr="00BD7A64">
              <w:t xml:space="preserve"> на последваща оценка на въздействието:</w:t>
            </w:r>
          </w:p>
          <w:p w14:paraId="1BEC5775" w14:textId="3FDC75DC" w:rsidR="00F02D89" w:rsidRPr="003306C8" w:rsidRDefault="00BD7A64" w:rsidP="00A410B4">
            <w:pPr>
              <w:pStyle w:val="02"/>
            </w:pPr>
            <w:r w:rsidRPr="00BD7A64">
              <w:t xml:space="preserve">За </w:t>
            </w:r>
            <w:r w:rsidRPr="00FA3E67">
              <w:t>осигуряване</w:t>
            </w:r>
            <w:r w:rsidRPr="00BD7A64">
              <w:t xml:space="preserve"> на </w:t>
            </w:r>
            <w:r w:rsidRPr="00A410B4">
              <w:t>проверката</w:t>
            </w:r>
            <w:r w:rsidRPr="00BD7A64">
              <w:t xml:space="preserve">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E5059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14:paraId="6BC679BA" w14:textId="77777777" w:rsidTr="00A46D87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A46D87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A410B4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167A2C6E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77777777" w:rsidR="00BA3467" w:rsidRPr="00BA3467" w:rsidRDefault="00A46D87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30" type="#_x0000_t75" alt="Microsoft Office Signature Line..." style="width:156.1pt;height:52.0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7F2E32">
            <w:pPr>
              <w:spacing w:line="240" w:lineRule="auto"/>
              <w:ind w:left="6237" w:hanging="670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FD148" w14:textId="77777777" w:rsidR="000E0114" w:rsidRDefault="000E0114" w:rsidP="00C20834">
      <w:r>
        <w:separator/>
      </w:r>
    </w:p>
    <w:p w14:paraId="0D5C892B" w14:textId="77777777" w:rsidR="000E0114" w:rsidRDefault="000E0114" w:rsidP="00C20834"/>
  </w:endnote>
  <w:endnote w:type="continuationSeparator" w:id="0">
    <w:p w14:paraId="50116E84" w14:textId="77777777" w:rsidR="000E0114" w:rsidRDefault="000E0114" w:rsidP="00C20834">
      <w:r>
        <w:continuationSeparator/>
      </w:r>
    </w:p>
    <w:p w14:paraId="47C98B64" w14:textId="77777777" w:rsidR="000E0114" w:rsidRDefault="000E0114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034E0D0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0738B9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0738B9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52FB" w14:textId="77777777" w:rsidR="000E0114" w:rsidRDefault="000E0114" w:rsidP="00C20834">
      <w:r>
        <w:separator/>
      </w:r>
    </w:p>
    <w:p w14:paraId="12D516EB" w14:textId="77777777" w:rsidR="000E0114" w:rsidRDefault="000E0114" w:rsidP="00C20834"/>
  </w:footnote>
  <w:footnote w:type="continuationSeparator" w:id="0">
    <w:p w14:paraId="1CE4CE2F" w14:textId="77777777" w:rsidR="000E0114" w:rsidRDefault="000E0114" w:rsidP="00C20834">
      <w:r>
        <w:continuationSeparator/>
      </w:r>
    </w:p>
    <w:p w14:paraId="10C69CFC" w14:textId="77777777" w:rsidR="000E0114" w:rsidRDefault="000E0114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E0114"/>
    <w:rsid w:val="000F04B2"/>
    <w:rsid w:val="000F3496"/>
    <w:rsid w:val="00100231"/>
    <w:rsid w:val="001020BF"/>
    <w:rsid w:val="001111D5"/>
    <w:rsid w:val="0011366C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92D9A"/>
    <w:rsid w:val="001A7FBE"/>
    <w:rsid w:val="001B2BD0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454B"/>
    <w:rsid w:val="003D78A7"/>
    <w:rsid w:val="003E2B6F"/>
    <w:rsid w:val="003E70D2"/>
    <w:rsid w:val="003F0592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B1758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81534"/>
    <w:rsid w:val="00581898"/>
    <w:rsid w:val="00581C60"/>
    <w:rsid w:val="00582AB5"/>
    <w:rsid w:val="005A3BC0"/>
    <w:rsid w:val="005B11DD"/>
    <w:rsid w:val="005B4BCB"/>
    <w:rsid w:val="005C0770"/>
    <w:rsid w:val="005C7E7D"/>
    <w:rsid w:val="005D3149"/>
    <w:rsid w:val="005D474C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4637"/>
    <w:rsid w:val="006D604D"/>
    <w:rsid w:val="00704506"/>
    <w:rsid w:val="0070623B"/>
    <w:rsid w:val="00707B5A"/>
    <w:rsid w:val="0071466A"/>
    <w:rsid w:val="00726182"/>
    <w:rsid w:val="00726812"/>
    <w:rsid w:val="007438BC"/>
    <w:rsid w:val="007478F6"/>
    <w:rsid w:val="00762871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4A5E"/>
    <w:rsid w:val="00896A1E"/>
    <w:rsid w:val="008A54D9"/>
    <w:rsid w:val="008A6084"/>
    <w:rsid w:val="008A707A"/>
    <w:rsid w:val="008B018A"/>
    <w:rsid w:val="008C02A3"/>
    <w:rsid w:val="008C60A6"/>
    <w:rsid w:val="008E025F"/>
    <w:rsid w:val="008E6FA2"/>
    <w:rsid w:val="008F2C2D"/>
    <w:rsid w:val="008F3DB6"/>
    <w:rsid w:val="008F505D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B0AD1"/>
    <w:rsid w:val="009C4F1A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5F2"/>
    <w:rsid w:val="00BB2188"/>
    <w:rsid w:val="00BC7450"/>
    <w:rsid w:val="00BD3124"/>
    <w:rsid w:val="00BD3359"/>
    <w:rsid w:val="00BD6D12"/>
    <w:rsid w:val="00BD7A64"/>
    <w:rsid w:val="00BE0061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7346"/>
    <w:rsid w:val="00C405F9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82CBF"/>
    <w:rsid w:val="00D91E34"/>
    <w:rsid w:val="00DA0142"/>
    <w:rsid w:val="00DA5071"/>
    <w:rsid w:val="00DA77A7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457CA"/>
    <w:rsid w:val="00E50597"/>
    <w:rsid w:val="00E50E7E"/>
    <w:rsid w:val="00E5597C"/>
    <w:rsid w:val="00E5663E"/>
    <w:rsid w:val="00E57CBF"/>
    <w:rsid w:val="00E60D38"/>
    <w:rsid w:val="00E63448"/>
    <w:rsid w:val="00E80FDC"/>
    <w:rsid w:val="00E86AAE"/>
    <w:rsid w:val="00E87992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8701F"/>
    <w:rsid w:val="00F91E35"/>
    <w:rsid w:val="00FA3E67"/>
    <w:rsid w:val="00FA7496"/>
    <w:rsid w:val="00FB1F1C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CDCE-F95B-4094-B366-EF585FFF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11</cp:revision>
  <cp:lastPrinted>2019-05-16T09:20:00Z</cp:lastPrinted>
  <dcterms:created xsi:type="dcterms:W3CDTF">2023-09-25T13:29:00Z</dcterms:created>
  <dcterms:modified xsi:type="dcterms:W3CDTF">2023-10-02T11:10:00Z</dcterms:modified>
</cp:coreProperties>
</file>