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871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84"/>
        <w:gridCol w:w="2212"/>
        <w:gridCol w:w="2980"/>
      </w:tblGrid>
      <w:tr w:rsidR="002A4EC1" w:rsidRPr="002A4EC1" w:rsidTr="009561FB">
        <w:tc>
          <w:tcPr>
            <w:tcW w:w="9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4EC1" w:rsidRPr="002A4EC1" w:rsidRDefault="002A4EC1" w:rsidP="002A4EC1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2A4EC1">
              <w:rPr>
                <w:b/>
                <w:sz w:val="36"/>
                <w:szCs w:val="36"/>
              </w:rPr>
              <w:t xml:space="preserve">Становище на </w:t>
            </w:r>
          </w:p>
          <w:p w:rsidR="002A4EC1" w:rsidRPr="002A4EC1" w:rsidRDefault="002A4EC1" w:rsidP="002A4EC1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2A4EC1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2A4EC1" w:rsidRPr="002A4EC1" w:rsidRDefault="002A4EC1" w:rsidP="002A4EC1">
            <w:pPr>
              <w:spacing w:after="120"/>
              <w:ind w:left="312" w:firstLine="0"/>
              <w:jc w:val="center"/>
            </w:pPr>
            <w:r w:rsidRPr="002A4EC1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2A4EC1" w:rsidRPr="002A4EC1" w:rsidTr="009561FB">
        <w:trPr>
          <w:trHeight w:val="455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Проект на акт: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Вид оценка: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A4EC1" w:rsidRPr="002A4EC1" w:rsidRDefault="002A4EC1" w:rsidP="002A4EC1">
            <w:pPr>
              <w:ind w:firstLine="0"/>
            </w:pPr>
            <w:r w:rsidRPr="002A4EC1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2A4EC1">
              <w:rPr>
                <w:shd w:val="clear" w:color="auto" w:fill="FFFFFF" w:themeFill="background1"/>
              </w:rPr>
              <w:instrText xml:space="preserve"> FORMDROPDOWN </w:instrText>
            </w:r>
            <w:r w:rsidR="004E6D5D">
              <w:rPr>
                <w:shd w:val="clear" w:color="auto" w:fill="FFFFFF" w:themeFill="background1"/>
              </w:rPr>
            </w:r>
            <w:r w:rsidR="004E6D5D">
              <w:rPr>
                <w:shd w:val="clear" w:color="auto" w:fill="FFFFFF" w:themeFill="background1"/>
              </w:rPr>
              <w:fldChar w:fldCharType="separate"/>
            </w:r>
            <w:r w:rsidRPr="002A4EC1"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2A4EC1" w:rsidRPr="002A4EC1" w:rsidTr="00864C4A">
        <w:trPr>
          <w:trHeight w:val="276"/>
        </w:trPr>
        <w:sdt>
          <w:sdtPr>
            <w:id w:val="476196951"/>
            <w:placeholder>
              <w:docPart w:val="0CAF4951EAAB4C2B9B6064C22159C8AB"/>
            </w:placeholder>
            <w:text/>
          </w:sdtPr>
          <w:sdtEndPr/>
          <w:sdtContent>
            <w:tc>
              <w:tcPr>
                <w:tcW w:w="4395" w:type="dxa"/>
                <w:gridSpan w:val="2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:rsidR="002A4EC1" w:rsidRPr="002A4EC1" w:rsidRDefault="002A4EC1" w:rsidP="002A4EC1">
                <w:pPr>
                  <w:ind w:firstLine="0"/>
                  <w:jc w:val="both"/>
                </w:pPr>
                <w:r w:rsidRPr="002A4EC1">
                  <w:t>Закона за изменение и допълнение на Закона за гражданското въздухоплаване</w:t>
                </w:r>
                <w:r w:rsidR="00215C47">
                  <w:t xml:space="preserve"> (ЗГВ)</w:t>
                </w:r>
              </w:p>
            </w:tc>
          </w:sdtContent>
        </w:sdt>
        <w:tc>
          <w:tcPr>
            <w:tcW w:w="2496" w:type="dxa"/>
            <w:gridSpan w:val="2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2A4EC1">
            <w:pPr>
              <w:rPr>
                <w:b/>
              </w:rPr>
            </w:pPr>
          </w:p>
        </w:tc>
        <w:tc>
          <w:tcPr>
            <w:tcW w:w="2978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A4EC1" w:rsidRPr="002A4EC1" w:rsidRDefault="002A4EC1" w:rsidP="002A4EC1"/>
        </w:tc>
      </w:tr>
      <w:tr w:rsidR="002A4EC1" w:rsidRPr="002A4EC1" w:rsidTr="009561FB">
        <w:trPr>
          <w:trHeight w:val="593"/>
        </w:trPr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Становище по ред:</w:t>
            </w:r>
          </w:p>
        </w:tc>
        <w:tc>
          <w:tcPr>
            <w:tcW w:w="297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A4EC1" w:rsidRPr="002A4EC1" w:rsidRDefault="002A4EC1" w:rsidP="002A4EC1">
            <w:pPr>
              <w:ind w:firstLine="0"/>
            </w:pPr>
            <w:r w:rsidRPr="002A4EC1"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2A4EC1">
              <w:instrText xml:space="preserve"> FORMDROPDOWN </w:instrText>
            </w:r>
            <w:r w:rsidR="004E6D5D">
              <w:fldChar w:fldCharType="separate"/>
            </w:r>
            <w:r w:rsidRPr="002A4EC1">
              <w:fldChar w:fldCharType="end"/>
            </w:r>
            <w:bookmarkEnd w:id="2"/>
          </w:p>
        </w:tc>
      </w:tr>
      <w:tr w:rsidR="002A4EC1" w:rsidRPr="002A4EC1" w:rsidTr="009561FB"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2A4EC1">
            <w:pPr>
              <w:ind w:firstLine="0"/>
              <w:rPr>
                <w:b/>
                <w:lang w:val="en-US"/>
              </w:rPr>
            </w:pPr>
            <w:r w:rsidRPr="002A4EC1">
              <w:rPr>
                <w:b/>
              </w:rPr>
              <w:t>Номер и дата</w:t>
            </w:r>
            <w:r w:rsidRPr="002A4EC1">
              <w:rPr>
                <w:b/>
                <w:lang w:val="en-US"/>
              </w:rPr>
              <w:t>:</w:t>
            </w:r>
          </w:p>
        </w:tc>
        <w:tc>
          <w:tcPr>
            <w:tcW w:w="297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A4EC1" w:rsidRPr="002A4EC1" w:rsidRDefault="00620169" w:rsidP="002A4EC1">
            <w:pPr>
              <w:ind w:firstLine="0"/>
            </w:pPr>
            <w:r>
              <w:pict w14:anchorId="60AB7C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6.95pt;height:32.1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2A4EC1" w:rsidRPr="002A4EC1" w:rsidTr="009561FB"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В отговор на №:</w:t>
            </w:r>
          </w:p>
        </w:tc>
        <w:tc>
          <w:tcPr>
            <w:tcW w:w="297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A4EC1" w:rsidRPr="002A4EC1" w:rsidRDefault="004E6D5D" w:rsidP="002A4EC1">
            <w:pPr>
              <w:ind w:firstLine="0"/>
            </w:pPr>
            <w:sdt>
              <w:sdtPr>
                <w:id w:val="752936331"/>
                <w:placeholder>
                  <w:docPart w:val="6CEA7053997C4A9A82A35C046A6880E0"/>
                </w:placeholder>
              </w:sdtPr>
              <w:sdtEndPr/>
              <w:sdtContent>
                <w:r w:rsidR="002A4EC1">
                  <w:t>03-00-364/09.08.2023 г.</w:t>
                </w:r>
              </w:sdtContent>
            </w:sdt>
          </w:p>
        </w:tc>
      </w:tr>
      <w:tr w:rsidR="002A4EC1" w:rsidRPr="002A4EC1" w:rsidTr="009561FB"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Институция:</w:t>
            </w:r>
          </w:p>
        </w:tc>
        <w:sdt>
          <w:sdtPr>
            <w:id w:val="-390038682"/>
            <w:placeholder>
              <w:docPart w:val="60B07C11E6134F6B886DE4D77A20FFEE"/>
            </w:placeholder>
          </w:sdtPr>
          <w:sdtEndPr/>
          <w:sdtContent>
            <w:tc>
              <w:tcPr>
                <w:tcW w:w="2978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:rsidR="002A4EC1" w:rsidRPr="002A4EC1" w:rsidRDefault="002A4EC1" w:rsidP="002A4EC1">
                <w:pPr>
                  <w:ind w:firstLine="0"/>
                </w:pPr>
                <w:r>
                  <w:t>Министерство на транспорта и съобщенията</w:t>
                </w:r>
              </w:p>
            </w:tc>
          </w:sdtContent>
        </w:sdt>
      </w:tr>
      <w:tr w:rsidR="002A4EC1" w:rsidRPr="002A4EC1" w:rsidTr="00864C4A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2A4EC1" w:rsidRPr="002A4EC1" w:rsidRDefault="002A4EC1" w:rsidP="00864C4A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Диспозитив:</w:t>
            </w:r>
          </w:p>
        </w:tc>
        <w:tc>
          <w:tcPr>
            <w:tcW w:w="81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A4EC1" w:rsidRPr="002A4EC1" w:rsidRDefault="009561FB" w:rsidP="00864C4A">
            <w:pPr>
              <w:ind w:firstLine="0"/>
            </w:pPr>
            <w:r>
              <w:t>С препоръки по доклада и резюмето</w:t>
            </w:r>
          </w:p>
        </w:tc>
      </w:tr>
      <w:tr w:rsidR="002A4EC1" w:rsidRPr="002A4EC1" w:rsidTr="00864C4A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A4EC1" w:rsidRPr="002A4EC1" w:rsidRDefault="002A4EC1" w:rsidP="00864C4A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Основание:</w:t>
            </w:r>
          </w:p>
        </w:tc>
        <w:tc>
          <w:tcPr>
            <w:tcW w:w="297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2A4EC1" w:rsidRPr="002A4EC1" w:rsidRDefault="007A51EE" w:rsidP="00864C4A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result w:val="4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4E6D5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1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2A4EC1" w:rsidRPr="002A4EC1" w:rsidRDefault="002A4EC1" w:rsidP="00864C4A">
            <w:pPr>
              <w:ind w:firstLine="0"/>
            </w:pPr>
            <w:r w:rsidRPr="002A4EC1">
              <w:t>от Устройствения правилник на Министерския съвет и на неговата администрация</w:t>
            </w:r>
          </w:p>
        </w:tc>
      </w:tr>
    </w:tbl>
    <w:p w:rsidR="002A4EC1" w:rsidRDefault="002A4EC1" w:rsidP="002074D2">
      <w:pPr>
        <w:spacing w:line="276" w:lineRule="auto"/>
      </w:pPr>
    </w:p>
    <w:p w:rsidR="002A4EC1" w:rsidRPr="002074D2" w:rsidRDefault="002A4EC1" w:rsidP="002074D2">
      <w:pPr>
        <w:spacing w:line="276" w:lineRule="auto"/>
        <w:sectPr w:rsidR="002A4EC1" w:rsidRPr="002074D2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2074D2" w:rsidTr="009561FB">
        <w:tc>
          <w:tcPr>
            <w:tcW w:w="9914" w:type="dxa"/>
            <w:shd w:val="clear" w:color="auto" w:fill="FFFFFF" w:themeFill="background1"/>
          </w:tcPr>
          <w:p w:rsidR="00AA2988" w:rsidRPr="00AA2988" w:rsidRDefault="00AA2988" w:rsidP="00AA2988">
            <w:pPr>
              <w:pStyle w:val="Heading1"/>
              <w:ind w:left="873"/>
              <w:outlineLvl w:val="0"/>
            </w:pPr>
            <w:r>
              <w:t>По законодателната инициатива</w:t>
            </w:r>
          </w:p>
          <w:p w:rsidR="00C95580" w:rsidRDefault="00D40F2B" w:rsidP="00AA2988">
            <w:pPr>
              <w:pStyle w:val="02"/>
              <w:jc w:val="both"/>
            </w:pPr>
            <w:r>
              <w:t>В</w:t>
            </w:r>
            <w:r w:rsidRPr="00D40F2B">
              <w:t xml:space="preserve"> мярка 81 от </w:t>
            </w:r>
            <w:hyperlink r:id="rId11" w:history="1">
              <w:r w:rsidR="00AA2988" w:rsidRPr="00D40F2B">
                <w:rPr>
                  <w:rStyle w:val="Hyperlink"/>
                </w:rPr>
                <w:t>План</w:t>
              </w:r>
              <w:r w:rsidRPr="00D40F2B">
                <w:rPr>
                  <w:rStyle w:val="Hyperlink"/>
                </w:rPr>
                <w:t>а</w:t>
              </w:r>
              <w:r w:rsidR="00AA2988" w:rsidRPr="00D40F2B">
                <w:rPr>
                  <w:rStyle w:val="Hyperlink"/>
                </w:rPr>
                <w:t xml:space="preserve"> за действие с мерките, произтичащи от членството на Република България в Европейския съюз</w:t>
              </w:r>
            </w:hyperlink>
            <w:r w:rsidR="00AA2988" w:rsidRPr="00D40F2B">
              <w:t>, РГ – 9 Транспортна политика (отговорни институции ГДГВА и МТС)</w:t>
            </w:r>
            <w:r w:rsidR="00CE5C76" w:rsidRPr="00D40F2B">
              <w:t>,</w:t>
            </w:r>
            <w:r w:rsidR="00AA2988" w:rsidRPr="00D40F2B">
              <w:t xml:space="preserve"> </w:t>
            </w:r>
            <w:r w:rsidRPr="00D40F2B">
              <w:t xml:space="preserve">е предвидено </w:t>
            </w:r>
            <w:r w:rsidR="00CE5C76" w:rsidRPr="00D40F2B">
              <w:t>осигуряване прилагането на</w:t>
            </w:r>
            <w:r w:rsidRPr="00D40F2B">
              <w:t xml:space="preserve"> </w:t>
            </w:r>
            <w:r w:rsidR="00CE5C76" w:rsidRPr="00BA19ED">
              <w:rPr>
                <w:i/>
              </w:rPr>
              <w:t>Регламент за изпълнение (ЕС) № 2019/0103</w:t>
            </w:r>
            <w:r w:rsidR="00CE5C76" w:rsidRPr="00D40F2B">
              <w:t>,</w:t>
            </w:r>
            <w:r w:rsidR="00F1172D" w:rsidRPr="00D40F2B">
              <w:t xml:space="preserve"> </w:t>
            </w:r>
            <w:r w:rsidR="00CE5C76" w:rsidRPr="00BA19ED">
              <w:rPr>
                <w:i/>
              </w:rPr>
              <w:t>Регламент за изпълнение (ЕС) № 2019/0947</w:t>
            </w:r>
            <w:r w:rsidR="00CE5C76" w:rsidRPr="00D40F2B">
              <w:t xml:space="preserve"> и </w:t>
            </w:r>
            <w:r w:rsidR="00CE5C76" w:rsidRPr="00BA19ED">
              <w:rPr>
                <w:i/>
              </w:rPr>
              <w:t>Регламент за изпълнение (ЕС) № 2020/0639</w:t>
            </w:r>
            <w:r w:rsidR="00CE5C76" w:rsidRPr="00D40F2B">
              <w:t>.</w:t>
            </w:r>
            <w:r>
              <w:t xml:space="preserve"> Доколкото не става ясно дал</w:t>
            </w:r>
            <w:r w:rsidR="005521A9">
              <w:t>и такива промени са предвидени</w:t>
            </w:r>
            <w:r w:rsidR="00220C48">
              <w:t>,</w:t>
            </w:r>
            <w:r w:rsidR="005521A9">
              <w:t xml:space="preserve"> препоръчваме </w:t>
            </w:r>
            <w:r>
              <w:t>всичк</w:t>
            </w:r>
            <w:r w:rsidR="00C95580">
              <w:t>и</w:t>
            </w:r>
            <w:r>
              <w:t xml:space="preserve"> необходими промени да бъдат предвидени в единна законодателна инициатива.</w:t>
            </w:r>
            <w:r w:rsidR="00C95580">
              <w:t xml:space="preserve"> </w:t>
            </w:r>
          </w:p>
          <w:p w:rsidR="009561FB" w:rsidRPr="009561FB" w:rsidRDefault="009561FB" w:rsidP="005521A9">
            <w:pPr>
              <w:pStyle w:val="Heading1"/>
              <w:ind w:left="878"/>
              <w:outlineLvl w:val="0"/>
            </w:pPr>
            <w:r w:rsidRPr="009561FB">
              <w:t xml:space="preserve">Относно Доклада на цялостната предварителна оценка на въздействието: </w:t>
            </w:r>
          </w:p>
          <w:p w:rsidR="00A67F5C" w:rsidRDefault="005521A9" w:rsidP="005521A9">
            <w:pPr>
              <w:pStyle w:val="Heading1"/>
              <w:numPr>
                <w:ilvl w:val="0"/>
                <w:numId w:val="0"/>
              </w:numPr>
              <w:ind w:left="878" w:hanging="425"/>
              <w:outlineLvl w:val="0"/>
            </w:pPr>
            <w:r>
              <w:t>1</w:t>
            </w:r>
            <w:r w:rsidR="00A67F5C" w:rsidRPr="00A67F5C">
              <w:t>.</w:t>
            </w:r>
            <w:r w:rsidR="00A67F5C" w:rsidRPr="00A67F5C">
              <w:tab/>
              <w:t>Относно раздел 1 „</w:t>
            </w:r>
            <w:r w:rsidR="00BE1E10">
              <w:t>Описание на проблема/ите</w:t>
            </w:r>
            <w:r w:rsidR="00A67F5C" w:rsidRPr="00A67F5C">
              <w:t>“:</w:t>
            </w:r>
          </w:p>
          <w:p w:rsidR="00A25895" w:rsidRDefault="00BB299C" w:rsidP="00BB299C">
            <w:pPr>
              <w:pStyle w:val="02"/>
              <w:jc w:val="both"/>
            </w:pPr>
            <w:r>
              <w:t xml:space="preserve">Предлагаме в цялостната оценка на въздействието да бъдат разгледани </w:t>
            </w:r>
            <w:r w:rsidR="00BE1E10">
              <w:t xml:space="preserve">също така </w:t>
            </w:r>
            <w:r>
              <w:t>и проблемите, които дирекция „Модернизация на администрацията“ изведе на базата на „досието“ на Закона за гражданското въздухоплаване, изпратено до МТС с наш номер</w:t>
            </w:r>
            <w:r w:rsidR="00BE1E10">
              <w:t> </w:t>
            </w:r>
            <w:r w:rsidRPr="00BB299C">
              <w:t xml:space="preserve"> №</w:t>
            </w:r>
            <w:r w:rsidR="00BE1E10">
              <w:t> </w:t>
            </w:r>
            <w:r w:rsidRPr="00BB299C">
              <w:t xml:space="preserve"> 02.11-</w:t>
            </w:r>
            <w:r w:rsidR="00BE1E10">
              <w:t> </w:t>
            </w:r>
            <w:r w:rsidRPr="00BB299C">
              <w:t>48/25.07.2023 г. относно</w:t>
            </w:r>
            <w:r w:rsidRPr="00E722D5">
              <w:t xml:space="preserve"> </w:t>
            </w:r>
            <w:r w:rsidRPr="00BB299C">
              <w:t>Систематизиране на усилията за подобряване на регулаторната политика на Република България</w:t>
            </w:r>
            <w:r>
              <w:t xml:space="preserve">. Конкретно </w:t>
            </w:r>
            <w:r w:rsidR="00BE1E10">
              <w:t xml:space="preserve">предлагаме </w:t>
            </w:r>
            <w:r w:rsidR="00A25895">
              <w:t xml:space="preserve">в т.1. </w:t>
            </w:r>
            <w:r w:rsidR="00A25895" w:rsidRPr="00BE1E10">
              <w:rPr>
                <w:i/>
              </w:rPr>
              <w:t>Описание на проблемите</w:t>
            </w:r>
            <w:r w:rsidR="00A25895">
              <w:t>, в текста, преди описанието, да бъде добавено следното:</w:t>
            </w:r>
          </w:p>
          <w:p w:rsidR="000F6DB3" w:rsidRPr="00BE1E10" w:rsidRDefault="000F6DB3" w:rsidP="000F6DB3">
            <w:pPr>
              <w:pStyle w:val="02"/>
              <w:jc w:val="both"/>
              <w:rPr>
                <w:i/>
              </w:rPr>
            </w:pPr>
            <w:r w:rsidRPr="00BE1E10">
              <w:rPr>
                <w:i/>
              </w:rPr>
              <w:t xml:space="preserve">„На шесто място в Закона за гражданското въздухоплаване не са уредени изискванията, необходими за започването и за осъществяването на уредената в закона стопанска дейност. Вместо това се предвижда условията и редът за издаване на лицензи, разрешения, свидетелства, удостоверения, одобрения, сертификати, декларации или други документи да се уреждат с наредба, която не се приема от Министерския съвет. Законът за гражданското въздухоплаване не е съобразен с изискването на чл.4 от Закона за ограничаване на административното регулиране и административния контрол  върху стопанската дейност, а процедурата за приемане на условията и редът за издаване на лицензи, разрешения, </w:t>
            </w:r>
            <w:r w:rsidRPr="00BE1E10">
              <w:rPr>
                <w:i/>
              </w:rPr>
              <w:lastRenderedPageBreak/>
              <w:t>свидетелства, удостоверения, одобрения, сертификати, декларации изключва участието на останалите министерства.</w:t>
            </w:r>
          </w:p>
          <w:p w:rsidR="000F6DB3" w:rsidRPr="000F6DB3" w:rsidRDefault="000F6DB3" w:rsidP="000F6DB3">
            <w:pPr>
              <w:pStyle w:val="02"/>
              <w:jc w:val="both"/>
            </w:pPr>
            <w:r w:rsidRPr="00BE1E10">
              <w:rPr>
                <w:i/>
              </w:rPr>
              <w:t>На седмо място в Закона за гражданското въздухоплаване не са предвидени възможности за осигуряване по служебен път на документи и данни. В наредбите, които уреждат условията и редът за издаване на лицензи, разрешения, свидетелства, удостоверения, одобрения, сертификати, декларации или други документи са включени изисквания за представяне на документи за образование и квалификация.</w:t>
            </w:r>
            <w:r w:rsidRPr="000F6DB3">
              <w:t xml:space="preserve">“ </w:t>
            </w:r>
          </w:p>
          <w:p w:rsidR="000F6DB3" w:rsidRDefault="000F6DB3" w:rsidP="000F6DB3">
            <w:pPr>
              <w:pStyle w:val="02"/>
              <w:jc w:val="both"/>
            </w:pPr>
            <w:r w:rsidRPr="000F6DB3">
              <w:t>Тези две точки следва да бъдат оформени като отделни проблеми и да бъдат предложени цели и варианти на действие.</w:t>
            </w:r>
          </w:p>
          <w:p w:rsidR="003346DB" w:rsidRPr="003346DB" w:rsidRDefault="003346DB" w:rsidP="003346DB">
            <w:pPr>
              <w:pStyle w:val="Heading1"/>
              <w:numPr>
                <w:ilvl w:val="0"/>
                <w:numId w:val="0"/>
              </w:numPr>
              <w:ind w:left="878" w:hanging="425"/>
              <w:outlineLvl w:val="0"/>
            </w:pPr>
            <w:r>
              <w:t xml:space="preserve">2. </w:t>
            </w:r>
            <w:r w:rsidRPr="003346DB">
              <w:t>Относно раздел 4 „Варианти на действие. Анализ на въздействията:”</w:t>
            </w:r>
          </w:p>
          <w:p w:rsidR="009F20F2" w:rsidRDefault="003346DB" w:rsidP="00BE1E10">
            <w:pPr>
              <w:pStyle w:val="02"/>
              <w:ind w:firstLine="737"/>
              <w:jc w:val="both"/>
            </w:pPr>
            <w:r w:rsidRPr="003346DB">
              <w:t>Необходимо е вариант</w:t>
            </w:r>
            <w:r>
              <w:t>ите</w:t>
            </w:r>
            <w:r w:rsidRPr="003346DB">
              <w:t xml:space="preserve"> на действие да бъдат подробно изложени и допълнително разяснени</w:t>
            </w:r>
            <w:r>
              <w:t xml:space="preserve">, като </w:t>
            </w:r>
            <w:r w:rsidR="00C44C85">
              <w:t xml:space="preserve">във </w:t>
            </w:r>
            <w:r w:rsidR="00C44C85" w:rsidRPr="003346DB">
              <w:rPr>
                <w:i/>
              </w:rPr>
              <w:t xml:space="preserve">Вариант </w:t>
            </w:r>
            <w:r w:rsidRPr="003346DB">
              <w:rPr>
                <w:i/>
              </w:rPr>
              <w:t>0</w:t>
            </w:r>
            <w:r w:rsidR="00C44C85" w:rsidRPr="003346DB">
              <w:rPr>
                <w:i/>
              </w:rPr>
              <w:t xml:space="preserve"> „Без действие“</w:t>
            </w:r>
            <w:r w:rsidR="00C44C85">
              <w:t xml:space="preserve"> се разглеждат действащите правни норми, а във </w:t>
            </w:r>
            <w:r w:rsidR="00C44C85" w:rsidRPr="003346DB">
              <w:rPr>
                <w:i/>
              </w:rPr>
              <w:t xml:space="preserve">Вариант </w:t>
            </w:r>
            <w:r w:rsidRPr="003346DB">
              <w:rPr>
                <w:i/>
              </w:rPr>
              <w:t xml:space="preserve">1, </w:t>
            </w:r>
            <w:r w:rsidR="00C44C85" w:rsidRPr="003346DB">
              <w:rPr>
                <w:i/>
              </w:rPr>
              <w:t>2</w:t>
            </w:r>
            <w:r w:rsidRPr="003346DB">
              <w:rPr>
                <w:i/>
              </w:rPr>
              <w:t>, 3</w:t>
            </w:r>
            <w:r w:rsidR="00C44C85">
              <w:t xml:space="preserve"> подробно се описват конкретните предложения за промяна в </w:t>
            </w:r>
            <w:r w:rsidR="00672640">
              <w:t>з</w:t>
            </w:r>
            <w:r w:rsidR="00C44C85">
              <w:t>акона</w:t>
            </w:r>
            <w:r w:rsidR="00672640">
              <w:t xml:space="preserve"> - </w:t>
            </w:r>
            <w:r w:rsidR="00C44C85">
              <w:t xml:space="preserve">процедури, </w:t>
            </w:r>
            <w:r w:rsidR="00672640">
              <w:t xml:space="preserve">регистри, </w:t>
            </w:r>
            <w:r w:rsidR="00C44C85">
              <w:t>такси, услуги</w:t>
            </w:r>
            <w:r>
              <w:t>, санкции</w:t>
            </w:r>
            <w:r w:rsidR="00C44C85">
              <w:t xml:space="preserve"> др. </w:t>
            </w:r>
            <w:r w:rsidR="00D54753">
              <w:t>Предвид</w:t>
            </w:r>
            <w:r w:rsidR="00C44C85">
              <w:t xml:space="preserve"> че се предвиждат административни наказания, описва се механизма за квалифициране на нарушенията и размера на санкциите, </w:t>
            </w:r>
            <w:r w:rsidR="009F20F2">
              <w:t>за да бъде</w:t>
            </w:r>
            <w:r w:rsidR="009F20F2" w:rsidRPr="009F20F2">
              <w:t xml:space="preserve"> изяснено, че санкциите ще бъдат определени пропорционално, в съответствие с обществения интерес, без да надвишават евентуалните негативни ефекти</w:t>
            </w:r>
            <w:r w:rsidR="009F20F2">
              <w:t>.</w:t>
            </w:r>
          </w:p>
          <w:p w:rsidR="003346DB" w:rsidRDefault="009F20F2" w:rsidP="00BE1E10">
            <w:pPr>
              <w:pStyle w:val="02"/>
              <w:ind w:firstLine="737"/>
              <w:jc w:val="both"/>
            </w:pPr>
            <w:r>
              <w:t>П</w:t>
            </w:r>
            <w:r w:rsidR="00D54753">
              <w:t>ри въвеждане на нови такси</w:t>
            </w:r>
            <w:r w:rsidR="00C44C85">
              <w:t xml:space="preserve">, трябва да се </w:t>
            </w:r>
            <w:r w:rsidR="00D54753">
              <w:t xml:space="preserve">изложи подробно как ще бъдат </w:t>
            </w:r>
            <w:r w:rsidR="00C44C85">
              <w:t xml:space="preserve">определени в съответствие с изискванията на чл. 7а от </w:t>
            </w:r>
            <w:r w:rsidR="00C44C85" w:rsidRPr="00D54753">
              <w:rPr>
                <w:i/>
              </w:rPr>
              <w:t>Закона за ограничаване на административното регулиране и административния контрол върху стопанската дейност</w:t>
            </w:r>
            <w:r w:rsidR="00C44C85">
              <w:t>, както и да се посочи вида и размера им.</w:t>
            </w:r>
            <w:r w:rsidR="00672640">
              <w:t xml:space="preserve"> </w:t>
            </w:r>
          </w:p>
          <w:p w:rsidR="00A67F5C" w:rsidRPr="00A67F5C" w:rsidRDefault="009F20F2" w:rsidP="00BE1E10">
            <w:pPr>
              <w:spacing w:before="120" w:after="120"/>
              <w:ind w:left="454" w:firstLine="0"/>
              <w:jc w:val="both"/>
              <w:outlineLv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 </w:t>
            </w:r>
            <w:r w:rsidR="00A67F5C" w:rsidRPr="00A67F5C">
              <w:rPr>
                <w:rFonts w:eastAsia="Times New Roman"/>
                <w:b/>
              </w:rPr>
              <w:t>Относно раздел 5 „Анализ на въздействията“</w:t>
            </w:r>
          </w:p>
          <w:p w:rsidR="00A67F5C" w:rsidRPr="00A67F5C" w:rsidRDefault="00A67F5C" w:rsidP="00BE1E10">
            <w:pPr>
              <w:spacing w:after="120" w:line="276" w:lineRule="auto"/>
              <w:ind w:firstLine="737"/>
              <w:jc w:val="both"/>
            </w:pPr>
            <w:r w:rsidRPr="00A67F5C">
              <w:t xml:space="preserve">Напомняме, че при извършване на цялостна оценка на въздействието, анализът на въздействията трябва да включва задълбочен качествен и количествен анализ на най-значимите въздействия и на специфичните им аспекти, който се извършва чрез определени методи за анализ на въздействията, като например </w:t>
            </w:r>
            <w:r w:rsidRPr="00A67F5C">
              <w:rPr>
                <w:i/>
              </w:rPr>
              <w:t>Модела на стандартните разходи</w:t>
            </w:r>
            <w:r w:rsidRPr="00A67F5C">
              <w:t xml:space="preserve">, </w:t>
            </w:r>
            <w:r w:rsidRPr="00A67F5C">
              <w:rPr>
                <w:i/>
              </w:rPr>
              <w:t>Анализ на разходите и ползите, Анализ на ефективността, Мултикритериен анализ</w:t>
            </w:r>
            <w:r w:rsidRPr="00A67F5C">
              <w:t xml:space="preserve"> и др.</w:t>
            </w:r>
          </w:p>
          <w:p w:rsidR="00A67F5C" w:rsidRPr="00A67F5C" w:rsidRDefault="00A67F5C" w:rsidP="00BE1E10">
            <w:pPr>
              <w:spacing w:after="120" w:line="276" w:lineRule="auto"/>
              <w:ind w:firstLine="737"/>
              <w:jc w:val="both"/>
            </w:pPr>
            <w:r w:rsidRPr="00A67F5C">
              <w:t>Също така е необходимо е да се опишат</w:t>
            </w:r>
            <w:r w:rsidR="009F20F2">
              <w:t xml:space="preserve"> подробно </w:t>
            </w:r>
            <w:r w:rsidRPr="00A67F5C">
              <w:t>всички значителни икономически</w:t>
            </w:r>
            <w:r w:rsidR="009F20F2">
              <w:t xml:space="preserve">, </w:t>
            </w:r>
            <w:r w:rsidRPr="00A67F5C">
              <w:t>социални</w:t>
            </w:r>
            <w:r w:rsidR="009F20F2">
              <w:t xml:space="preserve">, екологични или други </w:t>
            </w:r>
            <w:r w:rsidRPr="00A67F5C">
              <w:t xml:space="preserve">положителни и отрицателни въздействия върху всяка група заинтересовани страни. Изчисленията трябва да са най-малко за следващите три години, водещи до ползи и разходи, включително директни, за заинтересованите страни, за отделни икономически и социални сектори и/или групи предприятия - за една година, в левове и/или в други мерни единици, позволяващи съпоставяне за всеки вариант за действие. </w:t>
            </w:r>
          </w:p>
          <w:p w:rsidR="00A67F5C" w:rsidRPr="00A67F5C" w:rsidRDefault="00A67F5C" w:rsidP="00BE1E10">
            <w:pPr>
              <w:spacing w:after="120" w:line="276" w:lineRule="auto"/>
              <w:ind w:firstLine="737"/>
              <w:jc w:val="both"/>
            </w:pPr>
            <w:r w:rsidRPr="00A67F5C">
              <w:t xml:space="preserve">При разглеждане на въздействията препоръчваме да се следват насоките от </w:t>
            </w:r>
            <w:hyperlink r:id="rId12" w:history="1">
              <w:r w:rsidRPr="00A67F5C">
                <w:rPr>
                  <w:color w:val="0563C1" w:themeColor="hyperlink"/>
                  <w:u w:val="single"/>
                </w:rPr>
                <w:t>Ръководството за извършване на предварителна оценка на въздействието</w:t>
              </w:r>
            </w:hyperlink>
            <w:r w:rsidRPr="00A67F5C">
              <w:t>, с отговори на примерните въпроси при идентифициране на въздействията (стр. 28 - 37).</w:t>
            </w:r>
          </w:p>
          <w:p w:rsidR="00A67F5C" w:rsidRPr="00A67F5C" w:rsidRDefault="009F20F2" w:rsidP="00BE1E10">
            <w:pPr>
              <w:spacing w:before="120" w:after="120"/>
              <w:ind w:left="454" w:firstLine="0"/>
              <w:jc w:val="both"/>
              <w:outlineLv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4. </w:t>
            </w:r>
            <w:r w:rsidR="00A67F5C" w:rsidRPr="00A67F5C">
              <w:rPr>
                <w:rFonts w:eastAsia="Times New Roman"/>
                <w:b/>
              </w:rPr>
              <w:t xml:space="preserve">Относно раздел 5.4 „Административна тежест“ </w:t>
            </w:r>
          </w:p>
          <w:p w:rsidR="009F20F2" w:rsidRPr="009F20F2" w:rsidRDefault="009F20F2" w:rsidP="00A67F5C">
            <w:pPr>
              <w:spacing w:after="120" w:line="276" w:lineRule="auto"/>
              <w:ind w:firstLine="879"/>
              <w:jc w:val="both"/>
              <w:rPr>
                <w:b/>
                <w:u w:val="single"/>
              </w:rPr>
            </w:pPr>
            <w:r w:rsidRPr="009F20F2">
              <w:rPr>
                <w:b/>
                <w:u w:val="single"/>
              </w:rPr>
              <w:t>Относно Проблем 4 и Проблем 5</w:t>
            </w:r>
          </w:p>
          <w:p w:rsidR="00A67F5C" w:rsidRPr="00A67F5C" w:rsidRDefault="00934FFF" w:rsidP="00BE1E10">
            <w:pPr>
              <w:spacing w:after="120" w:line="276" w:lineRule="auto"/>
              <w:ind w:firstLine="737"/>
              <w:jc w:val="both"/>
            </w:pPr>
            <w:r>
              <w:lastRenderedPageBreak/>
              <w:t>Следва</w:t>
            </w:r>
            <w:r w:rsidR="00A67F5C" w:rsidRPr="00A67F5C">
              <w:t xml:space="preserve"> да се ревизира и аргументира твърдението</w:t>
            </w:r>
            <w:r>
              <w:t>, че</w:t>
            </w:r>
            <w:r w:rsidR="00A67F5C" w:rsidRPr="00A67F5C">
              <w:t xml:space="preserve"> </w:t>
            </w:r>
            <w:r w:rsidRPr="00934FFF">
              <w:t>не се предвижда увеличаване на административната тежест</w:t>
            </w:r>
            <w:r w:rsidR="00A67F5C" w:rsidRPr="00A67F5C">
              <w:t xml:space="preserve">, при положение че въвеждането на такси </w:t>
            </w:r>
            <w:r>
              <w:t xml:space="preserve">и санкции </w:t>
            </w:r>
            <w:r w:rsidR="00A67F5C" w:rsidRPr="00A67F5C">
              <w:t>несъмнено води до увеличаване на административната тежест върху засегнатите страни.</w:t>
            </w:r>
          </w:p>
          <w:p w:rsidR="00A67F5C" w:rsidRPr="00A67F5C" w:rsidRDefault="00A67F5C" w:rsidP="00BE1E10">
            <w:pPr>
              <w:spacing w:after="120" w:line="276" w:lineRule="auto"/>
              <w:ind w:firstLine="737"/>
              <w:jc w:val="both"/>
            </w:pPr>
            <w:r w:rsidRPr="00A67F5C">
              <w:t xml:space="preserve">Напомняме, че в този раздел трябва да се изчисли промяната в административната тежест за всеки вариант на действие, спрямо всяка заинтересована страна/групи заинтересовани страни, като се използва </w:t>
            </w:r>
            <w:r w:rsidRPr="00A67F5C">
              <w:rPr>
                <w:i/>
              </w:rPr>
              <w:t>Моделът на стандартните разходи</w:t>
            </w:r>
            <w:r w:rsidRPr="00A67F5C">
              <w:t xml:space="preserve"> или </w:t>
            </w:r>
            <w:hyperlink r:id="rId13" w:history="1">
              <w:r w:rsidRPr="00A67F5C">
                <w:rPr>
                  <w:i/>
                  <w:color w:val="0563C1" w:themeColor="hyperlink"/>
                  <w:u w:val="single"/>
                </w:rPr>
                <w:t>Калкулаторът на Портала за обществени консултации</w:t>
              </w:r>
            </w:hyperlink>
            <w:r w:rsidRPr="00A67F5C">
              <w:t xml:space="preserve">, а </w:t>
            </w:r>
            <w:r w:rsidRPr="00A67F5C">
              <w:rPr>
                <w:b/>
              </w:rPr>
              <w:t>изчисленията и резултатите от тях, да се включат в раздела</w:t>
            </w:r>
            <w:r w:rsidRPr="00A67F5C">
              <w:t>. Това е необходимо, за да може да се сравнят вариантите по този показател, тъй като промяната на административната тежест е сред основните стълбове на по-доброто регулиране.</w:t>
            </w:r>
          </w:p>
          <w:p w:rsidR="00A67F5C" w:rsidRPr="00A67F5C" w:rsidRDefault="00934FFF" w:rsidP="00BE1E10">
            <w:pPr>
              <w:spacing w:before="120" w:after="120"/>
              <w:ind w:left="737" w:firstLine="0"/>
              <w:jc w:val="both"/>
              <w:outlineLv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5. </w:t>
            </w:r>
            <w:r w:rsidR="00A67F5C" w:rsidRPr="00A67F5C">
              <w:rPr>
                <w:rFonts w:eastAsia="Times New Roman"/>
                <w:b/>
              </w:rPr>
              <w:t>Относно раздел 5.5 „Оценка на въздействието върху малките и средните предприятия (МСП - тест)“</w:t>
            </w:r>
          </w:p>
          <w:p w:rsidR="00A67F5C" w:rsidRPr="00A67F5C" w:rsidRDefault="00934FFF" w:rsidP="00BE1E10">
            <w:pPr>
              <w:spacing w:after="120" w:line="276" w:lineRule="auto"/>
              <w:ind w:firstLine="737"/>
              <w:jc w:val="both"/>
            </w:pPr>
            <w:r>
              <w:t>Също така н</w:t>
            </w:r>
            <w:r w:rsidR="00A67F5C" w:rsidRPr="00A67F5C">
              <w:t>апомняме, че при извършването на цялостна оценка на въздействието, задължително се извършва оценка на въздействието върху МСП (</w:t>
            </w:r>
            <w:r w:rsidR="00A67F5C" w:rsidRPr="00A67F5C">
              <w:rPr>
                <w:b/>
              </w:rPr>
              <w:t>МСП-тест</w:t>
            </w:r>
            <w:r w:rsidR="00A67F5C" w:rsidRPr="00A67F5C">
              <w:t>). Тя е неделима част от цялостната предварителна оценка и се базира на няколко фактора, като един от тях е информацията от предварителните консултации с предприятия и/или с техни представителни организации. Повече за извършването на МСП теста може да се намери в Ръководството за извършване на предварителна оценка на въздействието (стр. 42 - 52).</w:t>
            </w:r>
          </w:p>
          <w:p w:rsidR="009561FB" w:rsidRPr="009561FB" w:rsidRDefault="00934FFF" w:rsidP="00BE1E10">
            <w:pPr>
              <w:pStyle w:val="Heading1"/>
              <w:numPr>
                <w:ilvl w:val="0"/>
                <w:numId w:val="0"/>
              </w:numPr>
              <w:ind w:left="737"/>
              <w:outlineLvl w:val="0"/>
            </w:pPr>
            <w:bookmarkStart w:id="4" w:name="_Toc47606636"/>
            <w:r>
              <w:t xml:space="preserve">6. </w:t>
            </w:r>
            <w:r w:rsidR="009561FB" w:rsidRPr="009561FB">
              <w:t>Относно раздел 8 „Обществени консултации</w:t>
            </w:r>
            <w:bookmarkEnd w:id="4"/>
            <w:r w:rsidR="009561FB" w:rsidRPr="009561FB">
              <w:t>“</w:t>
            </w:r>
          </w:p>
          <w:p w:rsidR="009561FB" w:rsidRPr="001E1105" w:rsidRDefault="009561FB" w:rsidP="00BE1E10">
            <w:pPr>
              <w:pStyle w:val="02"/>
              <w:ind w:firstLine="737"/>
              <w:jc w:val="both"/>
            </w:pPr>
            <w:r w:rsidRPr="001E1105">
              <w:t>С цел осигуряване на свързаност на публичната информация е необходимо в доклада на ОВ да се посочи хиперлинк към проведената предварителна консултация на По</w:t>
            </w:r>
            <w:r w:rsidR="001E1105">
              <w:t xml:space="preserve">ртала за обществени консултации, както и </w:t>
            </w:r>
            <w:r w:rsidRPr="001E1105">
              <w:t>при провеждането на обществената консултация по реда на чл. 26 ЗНА в описанието на консултацията да се включи хиперлинк</w:t>
            </w:r>
            <w:r w:rsidR="001E1105">
              <w:t>а</w:t>
            </w:r>
            <w:r w:rsidRPr="001E1105">
              <w:t xml:space="preserve"> към предварителната консултация.</w:t>
            </w:r>
          </w:p>
          <w:p w:rsidR="009561FB" w:rsidRPr="009561FB" w:rsidRDefault="009561FB" w:rsidP="00BE1E10">
            <w:pPr>
              <w:pStyle w:val="Heading1"/>
              <w:ind w:left="737"/>
              <w:outlineLvl w:val="0"/>
            </w:pPr>
            <w:r w:rsidRPr="009561FB">
              <w:t>Относно Резюмето на цялостната оценка на въздействието:</w:t>
            </w:r>
          </w:p>
          <w:p w:rsidR="00AA2988" w:rsidRPr="009561FB" w:rsidRDefault="009561FB" w:rsidP="00BE1E10">
            <w:pPr>
              <w:pStyle w:val="02"/>
              <w:ind w:firstLine="737"/>
              <w:jc w:val="both"/>
              <w:rPr>
                <w:rFonts w:eastAsia="Times New Roman" w:cstheme="minorHAnsi"/>
              </w:rPr>
            </w:pPr>
            <w:r w:rsidRPr="009561FB">
              <w:t>Раздели от резюмето по чл. 22 от НОМИОВ е необходимо да бъдат в съответствие с информацията и изводите в доклада, но в по-кратък и обобщаващ формат.</w:t>
            </w:r>
          </w:p>
        </w:tc>
      </w:tr>
    </w:tbl>
    <w:p w:rsidR="002D3CB0" w:rsidRPr="002074D2" w:rsidRDefault="002D3CB0" w:rsidP="002074D2">
      <w:pPr>
        <w:spacing w:line="276" w:lineRule="auto"/>
        <w:sectPr w:rsidR="002D3CB0" w:rsidRPr="002074D2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9561FB" w:rsidRPr="009561FB" w:rsidTr="007A51EE">
        <w:tc>
          <w:tcPr>
            <w:tcW w:w="9923" w:type="dxa"/>
            <w:tcBorders>
              <w:bottom w:val="nil"/>
            </w:tcBorders>
          </w:tcPr>
          <w:p w:rsidR="009561FB" w:rsidRPr="007A51EE" w:rsidRDefault="009561FB" w:rsidP="009561FB">
            <w:pPr>
              <w:spacing w:line="276" w:lineRule="auto"/>
              <w:ind w:firstLine="737"/>
              <w:contextualSpacing/>
              <w:jc w:val="both"/>
            </w:pPr>
            <w:r w:rsidRPr="007A51EE">
              <w:t>Съгласно Устройствения правилник на Министерския съвет и на неговата администрация преработената оценка на въздействието (резюме и доклад) следва да бъде изпратена за повторно съгласуване от дирекция „Модернизация на администрацията“.</w:t>
            </w:r>
          </w:p>
        </w:tc>
      </w:tr>
      <w:tr w:rsidR="009561FB" w:rsidRPr="009561FB" w:rsidTr="007A51EE">
        <w:tc>
          <w:tcPr>
            <w:tcW w:w="9923" w:type="dxa"/>
          </w:tcPr>
          <w:p w:rsidR="009561FB" w:rsidRPr="007A51EE" w:rsidRDefault="00BE1E10" w:rsidP="009561FB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 xml:space="preserve">ЗА </w:t>
            </w:r>
            <w:r w:rsidR="009561FB"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 xml:space="preserve">ДИРЕКТОР НА ДИРЕКЦИЯ </w:t>
            </w:r>
          </w:p>
          <w:p w:rsidR="009561FB" w:rsidRPr="007A51EE" w:rsidRDefault="009561FB" w:rsidP="009561FB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>„МОДЕРНИЗАЦИЯ НА АДМИНИСТРАЦИЯТА”</w:t>
            </w: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      </w:t>
            </w:r>
          </w:p>
          <w:p w:rsidR="009561FB" w:rsidRPr="007A51EE" w:rsidRDefault="00620169" w:rsidP="009561FB">
            <w:pPr>
              <w:spacing w:before="20" w:after="20"/>
              <w:ind w:left="5992" w:right="-646" w:firstLine="567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pict w14:anchorId="7783E1D0">
                <v:shape id="_x0000_i1026" type="#_x0000_t75" alt="Microsoft Office Signature Line..." style="width:104.85pt;height:39.9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9561FB" w:rsidRPr="007A51EE" w:rsidRDefault="009561FB" w:rsidP="00BE1E10">
            <w:pPr>
              <w:spacing w:before="20" w:after="20"/>
              <w:ind w:left="5992" w:right="-646" w:firstLine="567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>/</w:t>
            </w:r>
            <w:r w:rsidR="00BE1E10"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>Ваня Новакова</w:t>
            </w: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>/</w:t>
            </w:r>
          </w:p>
          <w:p w:rsidR="00BE1E10" w:rsidRPr="007A51EE" w:rsidRDefault="00BE1E10" w:rsidP="007A51EE">
            <w:pPr>
              <w:spacing w:before="20" w:after="20"/>
              <w:ind w:left="5993" w:right="-646" w:firstLine="567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7A51EE">
              <w:rPr>
                <w:rFonts w:eastAsia="Times New Roman"/>
                <w:iCs/>
                <w:color w:val="000000" w:themeColor="text1"/>
                <w:sz w:val="16"/>
                <w:szCs w:val="16"/>
              </w:rPr>
              <w:t>Съгласно Заповед № Н-1079/11.08.2023 г</w:t>
            </w:r>
            <w:r w:rsidR="007A51EE" w:rsidRPr="007A51EE">
              <w:rPr>
                <w:rFonts w:eastAsia="Times New Roman"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602DA4" w:rsidRPr="002074D2" w:rsidRDefault="00602DA4" w:rsidP="002074D2">
      <w:pPr>
        <w:spacing w:line="276" w:lineRule="auto"/>
        <w:ind w:firstLine="0"/>
      </w:pPr>
    </w:p>
    <w:sectPr w:rsidR="00602DA4" w:rsidRPr="002074D2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5D" w:rsidRDefault="004E6D5D" w:rsidP="00C20834">
      <w:r>
        <w:separator/>
      </w:r>
    </w:p>
    <w:p w:rsidR="004E6D5D" w:rsidRDefault="004E6D5D" w:rsidP="00C20834"/>
  </w:endnote>
  <w:endnote w:type="continuationSeparator" w:id="0">
    <w:p w:rsidR="004E6D5D" w:rsidRDefault="004E6D5D" w:rsidP="00C20834">
      <w:r>
        <w:continuationSeparator/>
      </w:r>
    </w:p>
    <w:p w:rsidR="004E6D5D" w:rsidRDefault="004E6D5D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620169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620169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5D" w:rsidRDefault="004E6D5D" w:rsidP="00C20834">
      <w:r>
        <w:separator/>
      </w:r>
    </w:p>
    <w:p w:rsidR="004E6D5D" w:rsidRDefault="004E6D5D" w:rsidP="00C20834"/>
  </w:footnote>
  <w:footnote w:type="continuationSeparator" w:id="0">
    <w:p w:rsidR="004E6D5D" w:rsidRDefault="004E6D5D" w:rsidP="00C20834">
      <w:r>
        <w:continuationSeparator/>
      </w:r>
    </w:p>
    <w:p w:rsidR="004E6D5D" w:rsidRDefault="004E6D5D" w:rsidP="00C20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4097"/>
    <w:multiLevelType w:val="hybridMultilevel"/>
    <w:tmpl w:val="9C98FE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3001"/>
    <w:multiLevelType w:val="hybridMultilevel"/>
    <w:tmpl w:val="14E60150"/>
    <w:lvl w:ilvl="0" w:tplc="89B801C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D724EDA"/>
    <w:multiLevelType w:val="hybridMultilevel"/>
    <w:tmpl w:val="9492514E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E25E3"/>
    <w:multiLevelType w:val="hybridMultilevel"/>
    <w:tmpl w:val="39201482"/>
    <w:lvl w:ilvl="0" w:tplc="040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313A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B3F01"/>
    <w:rsid w:val="000D667F"/>
    <w:rsid w:val="000F04B2"/>
    <w:rsid w:val="000F6DB3"/>
    <w:rsid w:val="001020BF"/>
    <w:rsid w:val="00126555"/>
    <w:rsid w:val="0014415F"/>
    <w:rsid w:val="00152F23"/>
    <w:rsid w:val="00153FB5"/>
    <w:rsid w:val="00164E8F"/>
    <w:rsid w:val="00182180"/>
    <w:rsid w:val="001B2BD0"/>
    <w:rsid w:val="001B6B27"/>
    <w:rsid w:val="001D389E"/>
    <w:rsid w:val="001D3F80"/>
    <w:rsid w:val="001D7F92"/>
    <w:rsid w:val="001E1105"/>
    <w:rsid w:val="00204910"/>
    <w:rsid w:val="00204F7B"/>
    <w:rsid w:val="00205D16"/>
    <w:rsid w:val="002061BC"/>
    <w:rsid w:val="002074D2"/>
    <w:rsid w:val="00215C47"/>
    <w:rsid w:val="00220C48"/>
    <w:rsid w:val="00223846"/>
    <w:rsid w:val="002261F7"/>
    <w:rsid w:val="00226A2D"/>
    <w:rsid w:val="00247168"/>
    <w:rsid w:val="0026367B"/>
    <w:rsid w:val="00266613"/>
    <w:rsid w:val="00274543"/>
    <w:rsid w:val="00277B2B"/>
    <w:rsid w:val="002802AD"/>
    <w:rsid w:val="00292933"/>
    <w:rsid w:val="002A4EC1"/>
    <w:rsid w:val="002A7C7A"/>
    <w:rsid w:val="002B220F"/>
    <w:rsid w:val="002B50A6"/>
    <w:rsid w:val="002C0D1B"/>
    <w:rsid w:val="002C54DA"/>
    <w:rsid w:val="002C5A97"/>
    <w:rsid w:val="002D3CB0"/>
    <w:rsid w:val="002E73BD"/>
    <w:rsid w:val="002F3A4C"/>
    <w:rsid w:val="002F7047"/>
    <w:rsid w:val="00314B6A"/>
    <w:rsid w:val="003150B8"/>
    <w:rsid w:val="00323D41"/>
    <w:rsid w:val="00324E9F"/>
    <w:rsid w:val="00330EFD"/>
    <w:rsid w:val="003346DB"/>
    <w:rsid w:val="003442C9"/>
    <w:rsid w:val="00350F06"/>
    <w:rsid w:val="00354377"/>
    <w:rsid w:val="00380C9B"/>
    <w:rsid w:val="00392592"/>
    <w:rsid w:val="00394AA9"/>
    <w:rsid w:val="003951CC"/>
    <w:rsid w:val="00396719"/>
    <w:rsid w:val="003A4582"/>
    <w:rsid w:val="003C1E9E"/>
    <w:rsid w:val="003D78A7"/>
    <w:rsid w:val="003F6C94"/>
    <w:rsid w:val="00431CC4"/>
    <w:rsid w:val="00445CE4"/>
    <w:rsid w:val="004568A7"/>
    <w:rsid w:val="00466FB1"/>
    <w:rsid w:val="004C6250"/>
    <w:rsid w:val="004C6C07"/>
    <w:rsid w:val="004C7E56"/>
    <w:rsid w:val="004E6D5D"/>
    <w:rsid w:val="0050294F"/>
    <w:rsid w:val="0050655B"/>
    <w:rsid w:val="00507D26"/>
    <w:rsid w:val="00521568"/>
    <w:rsid w:val="00531912"/>
    <w:rsid w:val="005374A7"/>
    <w:rsid w:val="0054028C"/>
    <w:rsid w:val="005519DA"/>
    <w:rsid w:val="00551C3A"/>
    <w:rsid w:val="005521A9"/>
    <w:rsid w:val="00562FF2"/>
    <w:rsid w:val="005717CC"/>
    <w:rsid w:val="00581534"/>
    <w:rsid w:val="00581898"/>
    <w:rsid w:val="005871E5"/>
    <w:rsid w:val="005B4417"/>
    <w:rsid w:val="005C57BE"/>
    <w:rsid w:val="005D3149"/>
    <w:rsid w:val="005E234B"/>
    <w:rsid w:val="005F2242"/>
    <w:rsid w:val="005F724F"/>
    <w:rsid w:val="00602DA4"/>
    <w:rsid w:val="00620169"/>
    <w:rsid w:val="0063685E"/>
    <w:rsid w:val="00664A4E"/>
    <w:rsid w:val="006717EA"/>
    <w:rsid w:val="006718A8"/>
    <w:rsid w:val="0067236B"/>
    <w:rsid w:val="00672640"/>
    <w:rsid w:val="006A37BD"/>
    <w:rsid w:val="006B1131"/>
    <w:rsid w:val="006B6BAF"/>
    <w:rsid w:val="006C05A6"/>
    <w:rsid w:val="006C6280"/>
    <w:rsid w:val="006D4637"/>
    <w:rsid w:val="006F434F"/>
    <w:rsid w:val="00707B5A"/>
    <w:rsid w:val="007A51EE"/>
    <w:rsid w:val="007C039F"/>
    <w:rsid w:val="007C11F6"/>
    <w:rsid w:val="007C2031"/>
    <w:rsid w:val="007C448C"/>
    <w:rsid w:val="007D0247"/>
    <w:rsid w:val="007D1331"/>
    <w:rsid w:val="007D5CC8"/>
    <w:rsid w:val="007D712B"/>
    <w:rsid w:val="007F3EA9"/>
    <w:rsid w:val="00823916"/>
    <w:rsid w:val="00840B3A"/>
    <w:rsid w:val="00852EF9"/>
    <w:rsid w:val="0085378E"/>
    <w:rsid w:val="00861841"/>
    <w:rsid w:val="00864C4A"/>
    <w:rsid w:val="00870923"/>
    <w:rsid w:val="0088051F"/>
    <w:rsid w:val="008D5B12"/>
    <w:rsid w:val="00932950"/>
    <w:rsid w:val="00934FFF"/>
    <w:rsid w:val="009561FB"/>
    <w:rsid w:val="00975DDE"/>
    <w:rsid w:val="00981CBD"/>
    <w:rsid w:val="009C002D"/>
    <w:rsid w:val="009E2316"/>
    <w:rsid w:val="009E258A"/>
    <w:rsid w:val="009E5937"/>
    <w:rsid w:val="009F0FB8"/>
    <w:rsid w:val="009F20F2"/>
    <w:rsid w:val="00A07BE3"/>
    <w:rsid w:val="00A220C2"/>
    <w:rsid w:val="00A25895"/>
    <w:rsid w:val="00A33936"/>
    <w:rsid w:val="00A50A90"/>
    <w:rsid w:val="00A568F4"/>
    <w:rsid w:val="00A67F5C"/>
    <w:rsid w:val="00A75F5C"/>
    <w:rsid w:val="00A86130"/>
    <w:rsid w:val="00A86B07"/>
    <w:rsid w:val="00A87E18"/>
    <w:rsid w:val="00A972FD"/>
    <w:rsid w:val="00AA0476"/>
    <w:rsid w:val="00AA2988"/>
    <w:rsid w:val="00AC44AE"/>
    <w:rsid w:val="00AC6248"/>
    <w:rsid w:val="00AD4774"/>
    <w:rsid w:val="00AE5C59"/>
    <w:rsid w:val="00AE72FE"/>
    <w:rsid w:val="00B06997"/>
    <w:rsid w:val="00B0732D"/>
    <w:rsid w:val="00B1377E"/>
    <w:rsid w:val="00B24825"/>
    <w:rsid w:val="00B34391"/>
    <w:rsid w:val="00B401BA"/>
    <w:rsid w:val="00B60D77"/>
    <w:rsid w:val="00B70BF4"/>
    <w:rsid w:val="00B713B9"/>
    <w:rsid w:val="00B925F8"/>
    <w:rsid w:val="00B96AB1"/>
    <w:rsid w:val="00BA19ED"/>
    <w:rsid w:val="00BA1FC3"/>
    <w:rsid w:val="00BA42C0"/>
    <w:rsid w:val="00BB2188"/>
    <w:rsid w:val="00BB299C"/>
    <w:rsid w:val="00BC3DF1"/>
    <w:rsid w:val="00BE1E10"/>
    <w:rsid w:val="00BF7F70"/>
    <w:rsid w:val="00C05B7D"/>
    <w:rsid w:val="00C20834"/>
    <w:rsid w:val="00C307F0"/>
    <w:rsid w:val="00C44C85"/>
    <w:rsid w:val="00C45E18"/>
    <w:rsid w:val="00C462DB"/>
    <w:rsid w:val="00C52108"/>
    <w:rsid w:val="00C62129"/>
    <w:rsid w:val="00C63FE5"/>
    <w:rsid w:val="00C85426"/>
    <w:rsid w:val="00C94271"/>
    <w:rsid w:val="00C95580"/>
    <w:rsid w:val="00CA5C7F"/>
    <w:rsid w:val="00CB4EB5"/>
    <w:rsid w:val="00CD3A5D"/>
    <w:rsid w:val="00CE2DC3"/>
    <w:rsid w:val="00CE5C76"/>
    <w:rsid w:val="00D009AF"/>
    <w:rsid w:val="00D04285"/>
    <w:rsid w:val="00D40F2B"/>
    <w:rsid w:val="00D4506B"/>
    <w:rsid w:val="00D50DE1"/>
    <w:rsid w:val="00D54753"/>
    <w:rsid w:val="00D71609"/>
    <w:rsid w:val="00D82CBF"/>
    <w:rsid w:val="00DE00B0"/>
    <w:rsid w:val="00DE33AD"/>
    <w:rsid w:val="00DE7A3D"/>
    <w:rsid w:val="00DF293C"/>
    <w:rsid w:val="00DF30A2"/>
    <w:rsid w:val="00E01303"/>
    <w:rsid w:val="00E1478D"/>
    <w:rsid w:val="00E14879"/>
    <w:rsid w:val="00E240D8"/>
    <w:rsid w:val="00E3229E"/>
    <w:rsid w:val="00E374A5"/>
    <w:rsid w:val="00E5663E"/>
    <w:rsid w:val="00E57CBF"/>
    <w:rsid w:val="00EA50B3"/>
    <w:rsid w:val="00EA6D4B"/>
    <w:rsid w:val="00EB342F"/>
    <w:rsid w:val="00ED3D62"/>
    <w:rsid w:val="00EE2F6D"/>
    <w:rsid w:val="00EE71EE"/>
    <w:rsid w:val="00F1172D"/>
    <w:rsid w:val="00F15F83"/>
    <w:rsid w:val="00F3067F"/>
    <w:rsid w:val="00F4388F"/>
    <w:rsid w:val="00F55CB7"/>
    <w:rsid w:val="00F56413"/>
    <w:rsid w:val="00F568FC"/>
    <w:rsid w:val="00F6648E"/>
    <w:rsid w:val="00FA776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aliases w:val="List Paragraph1,List1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aliases w:val="List Paragraph1 Char,List1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paragraph" w:customStyle="1" w:styleId="a1">
    <w:name w:val="Текст"/>
    <w:basedOn w:val="Normal"/>
    <w:link w:val="Char1"/>
    <w:qFormat/>
    <w:rsid w:val="003150B8"/>
    <w:pPr>
      <w:spacing w:after="120" w:line="276" w:lineRule="auto"/>
      <w:ind w:firstLine="720"/>
      <w:jc w:val="both"/>
    </w:pPr>
  </w:style>
  <w:style w:type="character" w:customStyle="1" w:styleId="Char1">
    <w:name w:val="Текст Char"/>
    <w:basedOn w:val="DefaultParagraphFont"/>
    <w:link w:val="a1"/>
    <w:rsid w:val="003150B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00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593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A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trategy.bg/Calculator/Calculato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ategy.bg/Publications/View.aspx?lang=bg-BG&amp;categoryId=&amp;Id=297&amp;y=&amp;m=&amp;d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Publications/View.aspx?lang=bg-BG&amp;categoryId=&amp;Id=368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AF4951EAAB4C2B9B6064C22159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58F0-AE9C-4CFF-951C-DE6B9855AA8E}"/>
      </w:docPartPr>
      <w:docPartBody>
        <w:p w:rsidR="00E553BD" w:rsidRDefault="00C57B79" w:rsidP="00C57B79">
          <w:pPr>
            <w:pStyle w:val="0CAF4951EAAB4C2B9B6064C22159C8AB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A7053997C4A9A82A35C046A68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7B7F-57F0-4865-B2D8-591A339860B4}"/>
      </w:docPartPr>
      <w:docPartBody>
        <w:p w:rsidR="00E553BD" w:rsidRDefault="00C57B79" w:rsidP="00C57B79">
          <w:pPr>
            <w:pStyle w:val="6CEA7053997C4A9A82A35C046A6880E0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60B07C11E6134F6B886DE4D77A20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DAF8-5F75-448C-B6A3-68D5595801AC}"/>
      </w:docPartPr>
      <w:docPartBody>
        <w:p w:rsidR="00E553BD" w:rsidRDefault="00C57B79" w:rsidP="00C57B79">
          <w:pPr>
            <w:pStyle w:val="60B07C11E6134F6B886DE4D77A20FFEE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0302D"/>
    <w:rsid w:val="000563B2"/>
    <w:rsid w:val="000D51D1"/>
    <w:rsid w:val="000E292A"/>
    <w:rsid w:val="00163F0E"/>
    <w:rsid w:val="002B6C5A"/>
    <w:rsid w:val="002C47C6"/>
    <w:rsid w:val="0035473A"/>
    <w:rsid w:val="003D1862"/>
    <w:rsid w:val="003F4474"/>
    <w:rsid w:val="00411372"/>
    <w:rsid w:val="00457552"/>
    <w:rsid w:val="0054676C"/>
    <w:rsid w:val="00627929"/>
    <w:rsid w:val="0063571A"/>
    <w:rsid w:val="00672054"/>
    <w:rsid w:val="00725B05"/>
    <w:rsid w:val="007A2BB7"/>
    <w:rsid w:val="007E1923"/>
    <w:rsid w:val="00893C3E"/>
    <w:rsid w:val="00935050"/>
    <w:rsid w:val="0094156A"/>
    <w:rsid w:val="00947A0C"/>
    <w:rsid w:val="009C34EF"/>
    <w:rsid w:val="00A43D0E"/>
    <w:rsid w:val="00A55B95"/>
    <w:rsid w:val="00A6362E"/>
    <w:rsid w:val="00BA708C"/>
    <w:rsid w:val="00C57B79"/>
    <w:rsid w:val="00C769A9"/>
    <w:rsid w:val="00CB2725"/>
    <w:rsid w:val="00D46168"/>
    <w:rsid w:val="00DC196C"/>
    <w:rsid w:val="00E06D6B"/>
    <w:rsid w:val="00E553BD"/>
    <w:rsid w:val="00E84714"/>
    <w:rsid w:val="00EA7CC0"/>
    <w:rsid w:val="00EB3993"/>
    <w:rsid w:val="00EE4BFD"/>
    <w:rsid w:val="00F0172C"/>
    <w:rsid w:val="00F51959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B7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220611296B3746C1A6C8B5F78573908C">
    <w:name w:val="220611296B3746C1A6C8B5F78573908C"/>
    <w:rsid w:val="00C57B79"/>
  </w:style>
  <w:style w:type="paragraph" w:customStyle="1" w:styleId="1BD24664A65F451DB578B49C23E1107D">
    <w:name w:val="1BD24664A65F451DB578B49C23E1107D"/>
    <w:rsid w:val="00C57B79"/>
  </w:style>
  <w:style w:type="paragraph" w:customStyle="1" w:styleId="2A62503CA63448DD9081A367405E2CC5">
    <w:name w:val="2A62503CA63448DD9081A367405E2CC5"/>
    <w:rsid w:val="00C57B79"/>
  </w:style>
  <w:style w:type="paragraph" w:customStyle="1" w:styleId="0CAF4951EAAB4C2B9B6064C22159C8AB">
    <w:name w:val="0CAF4951EAAB4C2B9B6064C22159C8AB"/>
    <w:rsid w:val="00C57B79"/>
  </w:style>
  <w:style w:type="paragraph" w:customStyle="1" w:styleId="6CEA7053997C4A9A82A35C046A6880E0">
    <w:name w:val="6CEA7053997C4A9A82A35C046A6880E0"/>
    <w:rsid w:val="00C57B79"/>
  </w:style>
  <w:style w:type="paragraph" w:customStyle="1" w:styleId="60B07C11E6134F6B886DE4D77A20FFEE">
    <w:name w:val="60B07C11E6134F6B886DE4D77A20FFEE"/>
    <w:rsid w:val="00C57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86B9-D957-4C9A-90DD-9CD43694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Antoaneta Georgieva</cp:lastModifiedBy>
  <cp:revision>2</cp:revision>
  <cp:lastPrinted>2019-05-16T09:20:00Z</cp:lastPrinted>
  <dcterms:created xsi:type="dcterms:W3CDTF">2023-11-01T12:50:00Z</dcterms:created>
  <dcterms:modified xsi:type="dcterms:W3CDTF">2023-11-01T12:50:00Z</dcterms:modified>
</cp:coreProperties>
</file>