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EA42" w14:textId="77777777" w:rsidR="00314A5A" w:rsidRPr="00BF30AE" w:rsidRDefault="00314A5A" w:rsidP="00314A5A">
      <w:pPr>
        <w:jc w:val="center"/>
        <w:rPr>
          <w:rFonts w:ascii="Times New Roman" w:hAnsi="Times New Roman" w:cs="Times New Roman"/>
          <w:b/>
          <w:sz w:val="24"/>
          <w:szCs w:val="24"/>
        </w:rPr>
      </w:pPr>
      <w:r w:rsidRPr="00BF30AE">
        <w:rPr>
          <w:rFonts w:ascii="Times New Roman" w:hAnsi="Times New Roman" w:cs="Times New Roman"/>
          <w:b/>
          <w:sz w:val="24"/>
          <w:szCs w:val="24"/>
        </w:rPr>
        <w:t>СПРАВКА</w:t>
      </w:r>
    </w:p>
    <w:p w14:paraId="2D6BAD9C" w14:textId="357245E9" w:rsidR="00314A5A" w:rsidRPr="0048460D" w:rsidRDefault="00314A5A" w:rsidP="00314A5A">
      <w:pPr>
        <w:rPr>
          <w:rFonts w:ascii="Times New Roman" w:hAnsi="Times New Roman" w:cs="Times New Roman"/>
          <w:sz w:val="24"/>
          <w:szCs w:val="24"/>
        </w:rPr>
      </w:pPr>
      <w:r>
        <w:rPr>
          <w:rFonts w:ascii="Times New Roman" w:hAnsi="Times New Roman" w:cs="Times New Roman"/>
          <w:sz w:val="24"/>
          <w:szCs w:val="24"/>
        </w:rPr>
        <w:t>за постъпилите предложения</w:t>
      </w:r>
      <w:r w:rsidRPr="0048460D">
        <w:rPr>
          <w:rFonts w:ascii="Times New Roman" w:hAnsi="Times New Roman" w:cs="Times New Roman"/>
          <w:sz w:val="24"/>
          <w:szCs w:val="24"/>
        </w:rPr>
        <w:t xml:space="preserve"> при общественото обсъждане на проекта на </w:t>
      </w:r>
      <w:r w:rsidR="00592BB7">
        <w:rPr>
          <w:rFonts w:ascii="Times New Roman" w:hAnsi="Times New Roman" w:cs="Times New Roman"/>
          <w:sz w:val="24"/>
          <w:szCs w:val="24"/>
        </w:rPr>
        <w:t xml:space="preserve">Закон за изменение </w:t>
      </w:r>
      <w:r w:rsidR="00EB5510">
        <w:rPr>
          <w:rFonts w:ascii="Times New Roman" w:hAnsi="Times New Roman" w:cs="Times New Roman"/>
          <w:sz w:val="24"/>
          <w:szCs w:val="24"/>
        </w:rPr>
        <w:t xml:space="preserve">и допълнение </w:t>
      </w:r>
      <w:r w:rsidR="00592BB7">
        <w:rPr>
          <w:rFonts w:ascii="Times New Roman" w:hAnsi="Times New Roman" w:cs="Times New Roman"/>
          <w:sz w:val="24"/>
          <w:szCs w:val="24"/>
        </w:rPr>
        <w:t>на Закона за пощенските услуги</w:t>
      </w:r>
      <w:r w:rsidRPr="0048460D">
        <w:rPr>
          <w:rFonts w:ascii="Times New Roman" w:hAnsi="Times New Roman" w:cs="Times New Roman"/>
          <w:sz w:val="24"/>
          <w:szCs w:val="24"/>
        </w:rPr>
        <w:t xml:space="preserve">, проведено в периода </w:t>
      </w:r>
      <w:r w:rsidRPr="000E68D2">
        <w:rPr>
          <w:rFonts w:ascii="Times New Roman" w:hAnsi="Times New Roman" w:cs="Times New Roman"/>
          <w:sz w:val="24"/>
          <w:szCs w:val="24"/>
        </w:rPr>
        <w:t>29.0</w:t>
      </w:r>
      <w:r w:rsidR="00592BB7">
        <w:rPr>
          <w:rFonts w:ascii="Times New Roman" w:hAnsi="Times New Roman" w:cs="Times New Roman"/>
          <w:sz w:val="24"/>
          <w:szCs w:val="24"/>
          <w:lang w:val="en-US"/>
        </w:rPr>
        <w:t>9</w:t>
      </w:r>
      <w:r w:rsidRPr="000E68D2">
        <w:rPr>
          <w:rFonts w:ascii="Times New Roman" w:hAnsi="Times New Roman" w:cs="Times New Roman"/>
          <w:sz w:val="24"/>
          <w:szCs w:val="24"/>
        </w:rPr>
        <w:t xml:space="preserve">.2023 г. </w:t>
      </w:r>
      <w:r>
        <w:rPr>
          <w:rFonts w:ascii="Times New Roman" w:hAnsi="Times New Roman" w:cs="Times New Roman"/>
          <w:sz w:val="24"/>
          <w:szCs w:val="24"/>
        </w:rPr>
        <w:t>-</w:t>
      </w:r>
      <w:r w:rsidRPr="000E68D2">
        <w:rPr>
          <w:rFonts w:ascii="Times New Roman" w:hAnsi="Times New Roman" w:cs="Times New Roman"/>
          <w:sz w:val="24"/>
          <w:szCs w:val="24"/>
        </w:rPr>
        <w:t xml:space="preserve"> </w:t>
      </w:r>
      <w:r w:rsidR="00592BB7">
        <w:rPr>
          <w:rFonts w:ascii="Times New Roman" w:hAnsi="Times New Roman" w:cs="Times New Roman"/>
          <w:sz w:val="24"/>
          <w:szCs w:val="24"/>
          <w:lang w:val="en-US"/>
        </w:rPr>
        <w:t>30</w:t>
      </w:r>
      <w:r w:rsidRPr="000E68D2">
        <w:rPr>
          <w:rFonts w:ascii="Times New Roman" w:hAnsi="Times New Roman" w:cs="Times New Roman"/>
          <w:sz w:val="24"/>
          <w:szCs w:val="24"/>
        </w:rPr>
        <w:t>.</w:t>
      </w:r>
      <w:r w:rsidR="00592BB7">
        <w:rPr>
          <w:rFonts w:ascii="Times New Roman" w:hAnsi="Times New Roman" w:cs="Times New Roman"/>
          <w:sz w:val="24"/>
          <w:szCs w:val="24"/>
          <w:lang w:val="en-US"/>
        </w:rPr>
        <w:t>10</w:t>
      </w:r>
      <w:r w:rsidRPr="000E68D2">
        <w:rPr>
          <w:rFonts w:ascii="Times New Roman" w:hAnsi="Times New Roman" w:cs="Times New Roman"/>
          <w:sz w:val="24"/>
          <w:szCs w:val="24"/>
        </w:rPr>
        <w:t>.2023 г</w:t>
      </w:r>
      <w:r w:rsidRPr="0048460D">
        <w:rPr>
          <w:rFonts w:ascii="Times New Roman" w:hAnsi="Times New Roman" w:cs="Times New Roman"/>
          <w:sz w:val="24"/>
          <w:szCs w:val="24"/>
        </w:rPr>
        <w:t xml:space="preserve">. по реда на чл. 26, ал. 3 от Закона за нормативните актове </w:t>
      </w:r>
    </w:p>
    <w:tbl>
      <w:tblPr>
        <w:tblW w:w="15168"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985"/>
        <w:gridCol w:w="6662"/>
        <w:gridCol w:w="1701"/>
        <w:gridCol w:w="4252"/>
      </w:tblGrid>
      <w:tr w:rsidR="00314A5A" w:rsidRPr="00AC1D0F" w14:paraId="7597443C" w14:textId="77777777" w:rsidTr="00592BB7">
        <w:trPr>
          <w:tblHeader/>
        </w:trPr>
        <w:tc>
          <w:tcPr>
            <w:tcW w:w="568" w:type="dxa"/>
            <w:tcBorders>
              <w:top w:val="single" w:sz="4" w:space="0" w:color="auto"/>
              <w:left w:val="single" w:sz="4" w:space="0" w:color="auto"/>
              <w:bottom w:val="single" w:sz="4" w:space="0" w:color="auto"/>
            </w:tcBorders>
            <w:vAlign w:val="center"/>
          </w:tcPr>
          <w:p w14:paraId="16F00607" w14:textId="77777777" w:rsidR="00314A5A" w:rsidRPr="00816308" w:rsidRDefault="00314A5A" w:rsidP="003B50A9">
            <w:pPr>
              <w:jc w:val="center"/>
              <w:rPr>
                <w:rFonts w:ascii="Times New Roman" w:eastAsia="Times New Roman" w:hAnsi="Times New Roman" w:cs="Times New Roman"/>
                <w:b/>
                <w:bCs/>
                <w:sz w:val="24"/>
                <w:szCs w:val="24"/>
              </w:rPr>
            </w:pPr>
            <w:r w:rsidRPr="00816308">
              <w:rPr>
                <w:rFonts w:ascii="Times New Roman" w:eastAsia="Times New Roman" w:hAnsi="Times New Roman" w:cs="Times New Roman"/>
                <w:b/>
                <w:bCs/>
                <w:sz w:val="24"/>
                <w:szCs w:val="24"/>
              </w:rPr>
              <w:t>№</w:t>
            </w:r>
          </w:p>
        </w:tc>
        <w:tc>
          <w:tcPr>
            <w:tcW w:w="1985" w:type="dxa"/>
            <w:tcBorders>
              <w:top w:val="single" w:sz="4" w:space="0" w:color="auto"/>
              <w:bottom w:val="single" w:sz="4" w:space="0" w:color="auto"/>
            </w:tcBorders>
            <w:vAlign w:val="center"/>
          </w:tcPr>
          <w:p w14:paraId="1123F18B" w14:textId="77777777" w:rsidR="00314A5A" w:rsidRPr="00AC1D0F" w:rsidRDefault="00314A5A" w:rsidP="003B50A9">
            <w:pPr>
              <w:keepNext/>
              <w:jc w:val="center"/>
              <w:outlineLvl w:val="5"/>
              <w:rPr>
                <w:rFonts w:ascii="Times New Roman" w:eastAsia="Times New Roman" w:hAnsi="Times New Roman" w:cs="Times New Roman"/>
                <w:b/>
                <w:bCs/>
                <w:sz w:val="24"/>
                <w:szCs w:val="24"/>
              </w:rPr>
            </w:pPr>
            <w:r w:rsidRPr="00AC1D0F">
              <w:rPr>
                <w:rFonts w:ascii="Times New Roman" w:eastAsia="Times New Roman" w:hAnsi="Times New Roman" w:cs="Times New Roman"/>
                <w:b/>
                <w:bCs/>
                <w:sz w:val="24"/>
                <w:szCs w:val="24"/>
              </w:rPr>
              <w:t>Подател</w:t>
            </w:r>
          </w:p>
        </w:tc>
        <w:tc>
          <w:tcPr>
            <w:tcW w:w="6662" w:type="dxa"/>
            <w:tcBorders>
              <w:top w:val="single" w:sz="4" w:space="0" w:color="auto"/>
              <w:bottom w:val="single" w:sz="4" w:space="0" w:color="auto"/>
            </w:tcBorders>
            <w:vAlign w:val="center"/>
          </w:tcPr>
          <w:p w14:paraId="2AF62169" w14:textId="77777777" w:rsidR="00314A5A" w:rsidRPr="00AC1D0F" w:rsidRDefault="00314A5A" w:rsidP="003B50A9">
            <w:pPr>
              <w:jc w:val="center"/>
              <w:rPr>
                <w:rFonts w:ascii="Times New Roman" w:eastAsia="Times New Roman" w:hAnsi="Times New Roman" w:cs="Times New Roman"/>
                <w:b/>
                <w:bCs/>
                <w:sz w:val="24"/>
                <w:szCs w:val="24"/>
              </w:rPr>
            </w:pPr>
            <w:r w:rsidRPr="00AC1D0F">
              <w:rPr>
                <w:rFonts w:ascii="Times New Roman" w:eastAsia="Times New Roman" w:hAnsi="Times New Roman" w:cs="Times New Roman"/>
                <w:b/>
                <w:bCs/>
                <w:sz w:val="24"/>
                <w:szCs w:val="24"/>
              </w:rPr>
              <w:t>Бележки/ Предложения</w:t>
            </w:r>
          </w:p>
        </w:tc>
        <w:tc>
          <w:tcPr>
            <w:tcW w:w="1701" w:type="dxa"/>
            <w:tcBorders>
              <w:top w:val="single" w:sz="4" w:space="0" w:color="auto"/>
              <w:bottom w:val="single" w:sz="4" w:space="0" w:color="auto"/>
            </w:tcBorders>
            <w:vAlign w:val="center"/>
          </w:tcPr>
          <w:p w14:paraId="3F6C90A9" w14:textId="77777777" w:rsidR="00314A5A" w:rsidRPr="000D01AB" w:rsidRDefault="00314A5A" w:rsidP="003B50A9">
            <w:pPr>
              <w:jc w:val="center"/>
              <w:rPr>
                <w:rFonts w:ascii="Times New Roman" w:eastAsia="Times New Roman" w:hAnsi="Times New Roman" w:cs="Times New Roman"/>
                <w:b/>
                <w:bCs/>
                <w:sz w:val="24"/>
                <w:szCs w:val="24"/>
              </w:rPr>
            </w:pPr>
            <w:r w:rsidRPr="000D01AB">
              <w:rPr>
                <w:rFonts w:ascii="Times New Roman" w:eastAsia="Times New Roman" w:hAnsi="Times New Roman" w:cs="Times New Roman"/>
                <w:b/>
                <w:bCs/>
                <w:sz w:val="24"/>
                <w:szCs w:val="24"/>
              </w:rPr>
              <w:t>Приети/</w:t>
            </w:r>
          </w:p>
          <w:p w14:paraId="42F6833A" w14:textId="77777777" w:rsidR="00314A5A" w:rsidRPr="000D01AB" w:rsidRDefault="00314A5A" w:rsidP="003B50A9">
            <w:pPr>
              <w:jc w:val="center"/>
              <w:rPr>
                <w:rFonts w:ascii="Times New Roman" w:eastAsia="Times New Roman" w:hAnsi="Times New Roman" w:cs="Times New Roman"/>
                <w:bCs/>
                <w:sz w:val="24"/>
                <w:szCs w:val="24"/>
              </w:rPr>
            </w:pPr>
            <w:r w:rsidRPr="000D01AB">
              <w:rPr>
                <w:rFonts w:ascii="Times New Roman" w:eastAsia="Times New Roman" w:hAnsi="Times New Roman" w:cs="Times New Roman"/>
                <w:b/>
                <w:bCs/>
                <w:sz w:val="24"/>
                <w:szCs w:val="24"/>
              </w:rPr>
              <w:t>неприети</w:t>
            </w:r>
          </w:p>
        </w:tc>
        <w:tc>
          <w:tcPr>
            <w:tcW w:w="4252" w:type="dxa"/>
            <w:tcBorders>
              <w:top w:val="single" w:sz="4" w:space="0" w:color="auto"/>
              <w:bottom w:val="single" w:sz="4" w:space="0" w:color="auto"/>
              <w:right w:val="single" w:sz="4" w:space="0" w:color="auto"/>
            </w:tcBorders>
            <w:vAlign w:val="center"/>
          </w:tcPr>
          <w:p w14:paraId="06152E20" w14:textId="77777777" w:rsidR="00314A5A" w:rsidRPr="000D01AB" w:rsidRDefault="00314A5A" w:rsidP="003B50A9">
            <w:pPr>
              <w:jc w:val="center"/>
              <w:rPr>
                <w:rFonts w:ascii="Times New Roman" w:eastAsia="Times New Roman" w:hAnsi="Times New Roman" w:cs="Times New Roman"/>
                <w:b/>
                <w:bCs/>
                <w:sz w:val="24"/>
                <w:szCs w:val="24"/>
              </w:rPr>
            </w:pPr>
            <w:r w:rsidRPr="000D01AB">
              <w:rPr>
                <w:rFonts w:ascii="Times New Roman" w:eastAsia="Times New Roman" w:hAnsi="Times New Roman" w:cs="Times New Roman"/>
                <w:b/>
                <w:bCs/>
                <w:sz w:val="24"/>
                <w:szCs w:val="24"/>
              </w:rPr>
              <w:t>Мотиви</w:t>
            </w:r>
          </w:p>
        </w:tc>
      </w:tr>
      <w:tr w:rsidR="00314A5A" w:rsidRPr="00AC1D0F" w14:paraId="2B39DB29" w14:textId="77777777" w:rsidTr="00592BB7">
        <w:trPr>
          <w:trHeight w:val="1695"/>
        </w:trPr>
        <w:tc>
          <w:tcPr>
            <w:tcW w:w="568" w:type="dxa"/>
            <w:tcBorders>
              <w:top w:val="single" w:sz="4" w:space="0" w:color="auto"/>
              <w:left w:val="single" w:sz="4" w:space="0" w:color="auto"/>
              <w:bottom w:val="single" w:sz="4" w:space="0" w:color="auto"/>
            </w:tcBorders>
          </w:tcPr>
          <w:p w14:paraId="47219DFE" w14:textId="77777777" w:rsidR="00314A5A" w:rsidRPr="00816308" w:rsidRDefault="00314A5A" w:rsidP="003B50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1</w:t>
            </w:r>
            <w:r>
              <w:rPr>
                <w:rFonts w:ascii="Times New Roman" w:eastAsia="Times New Roman" w:hAnsi="Times New Roman" w:cs="Times New Roman"/>
                <w:b/>
                <w:bCs/>
                <w:sz w:val="24"/>
                <w:szCs w:val="24"/>
              </w:rPr>
              <w:t>.</w:t>
            </w:r>
          </w:p>
        </w:tc>
        <w:tc>
          <w:tcPr>
            <w:tcW w:w="1985" w:type="dxa"/>
            <w:tcBorders>
              <w:top w:val="single" w:sz="4" w:space="0" w:color="auto"/>
              <w:bottom w:val="single" w:sz="4" w:space="0" w:color="auto"/>
            </w:tcBorders>
          </w:tcPr>
          <w:p w14:paraId="6FB6FE33" w14:textId="77777777" w:rsidR="00314A5A" w:rsidRPr="00633E24" w:rsidRDefault="00592BB7" w:rsidP="003B50A9">
            <w:pPr>
              <w:keepNext/>
              <w:outlineLvl w:val="5"/>
              <w:rPr>
                <w:rFonts w:ascii="Times New Roman" w:eastAsia="Times New Roman" w:hAnsi="Times New Roman" w:cs="Times New Roman"/>
                <w:bCs/>
                <w:sz w:val="24"/>
                <w:szCs w:val="24"/>
              </w:rPr>
            </w:pPr>
            <w:r>
              <w:rPr>
                <w:rFonts w:ascii="Times New Roman" w:hAnsi="Times New Roman" w:cs="Times New Roman"/>
                <w:sz w:val="24"/>
                <w:szCs w:val="24"/>
              </w:rPr>
              <w:t>Предложения</w:t>
            </w:r>
            <w:r w:rsidR="00314A5A" w:rsidRPr="00633E24">
              <w:rPr>
                <w:rFonts w:ascii="Times New Roman" w:hAnsi="Times New Roman" w:cs="Times New Roman"/>
                <w:sz w:val="24"/>
                <w:szCs w:val="24"/>
              </w:rPr>
              <w:t xml:space="preserve">, постъпили на </w:t>
            </w:r>
            <w:r>
              <w:rPr>
                <w:rFonts w:ascii="Times New Roman" w:hAnsi="Times New Roman" w:cs="Times New Roman"/>
                <w:sz w:val="24"/>
                <w:szCs w:val="24"/>
                <w:lang w:val="en-US"/>
              </w:rPr>
              <w:t>01</w:t>
            </w:r>
            <w:r w:rsidR="00314A5A" w:rsidRPr="00633E24">
              <w:rPr>
                <w:rFonts w:ascii="Times New Roman" w:hAnsi="Times New Roman" w:cs="Times New Roman"/>
                <w:sz w:val="24"/>
                <w:szCs w:val="24"/>
              </w:rPr>
              <w:t>.</w:t>
            </w:r>
            <w:r>
              <w:rPr>
                <w:rFonts w:ascii="Times New Roman" w:hAnsi="Times New Roman" w:cs="Times New Roman"/>
                <w:sz w:val="24"/>
                <w:szCs w:val="24"/>
                <w:lang w:val="en-US"/>
              </w:rPr>
              <w:t>10</w:t>
            </w:r>
            <w:r w:rsidR="00314A5A" w:rsidRPr="00633E24">
              <w:rPr>
                <w:rFonts w:ascii="Times New Roman" w:hAnsi="Times New Roman" w:cs="Times New Roman"/>
                <w:sz w:val="24"/>
                <w:szCs w:val="24"/>
              </w:rPr>
              <w:t>.202</w:t>
            </w:r>
            <w:r w:rsidR="00314A5A" w:rsidRPr="00633E24">
              <w:rPr>
                <w:rFonts w:ascii="Times New Roman" w:hAnsi="Times New Roman" w:cs="Times New Roman"/>
                <w:sz w:val="24"/>
                <w:szCs w:val="24"/>
                <w:lang w:val="en-GB"/>
              </w:rPr>
              <w:t>3</w:t>
            </w:r>
            <w:r w:rsidR="00314A5A" w:rsidRPr="00633E24">
              <w:rPr>
                <w:rFonts w:ascii="Times New Roman" w:hAnsi="Times New Roman" w:cs="Times New Roman"/>
                <w:sz w:val="24"/>
                <w:szCs w:val="24"/>
              </w:rPr>
              <w:t xml:space="preserve"> г. на Портала за обществени консултации от</w:t>
            </w:r>
          </w:p>
          <w:p w14:paraId="5A42DE11" w14:textId="77777777" w:rsidR="00314A5A" w:rsidRPr="00B437E3" w:rsidRDefault="00592BB7" w:rsidP="003B50A9">
            <w:pPr>
              <w:keepNext/>
              <w:outlineLvl w:val="5"/>
              <w:rPr>
                <w:rFonts w:ascii="Times New Roman" w:eastAsia="Times New Roman" w:hAnsi="Times New Roman" w:cs="Times New Roman"/>
                <w:bCs/>
                <w:sz w:val="24"/>
                <w:szCs w:val="24"/>
                <w:highlight w:val="yellow"/>
                <w:lang w:val="en-US"/>
              </w:rPr>
            </w:pPr>
            <w:proofErr w:type="spellStart"/>
            <w:r>
              <w:rPr>
                <w:rFonts w:ascii="Times New Roman" w:eastAsia="Times New Roman" w:hAnsi="Times New Roman" w:cs="Times New Roman"/>
                <w:bCs/>
                <w:sz w:val="24"/>
                <w:szCs w:val="24"/>
                <w:lang w:val="en-US"/>
              </w:rPr>
              <w:t>buenova</w:t>
            </w:r>
            <w:proofErr w:type="spellEnd"/>
          </w:p>
        </w:tc>
        <w:tc>
          <w:tcPr>
            <w:tcW w:w="6662" w:type="dxa"/>
            <w:tcBorders>
              <w:top w:val="single" w:sz="4" w:space="0" w:color="auto"/>
              <w:bottom w:val="single" w:sz="4" w:space="0" w:color="auto"/>
            </w:tcBorders>
            <w:vAlign w:val="center"/>
          </w:tcPr>
          <w:p w14:paraId="524E0F9C" w14:textId="77777777" w:rsidR="00592BB7" w:rsidRPr="00592BB7" w:rsidRDefault="00592BB7" w:rsidP="00592BB7">
            <w:pPr>
              <w:outlineLvl w:val="3"/>
              <w:rPr>
                <w:rFonts w:ascii="Times New Roman" w:eastAsia="Times New Roman" w:hAnsi="Times New Roman" w:cs="Times New Roman"/>
                <w:b/>
                <w:bCs/>
                <w:color w:val="333333"/>
                <w:sz w:val="24"/>
                <w:szCs w:val="24"/>
                <w:lang w:eastAsia="bg-BG"/>
              </w:rPr>
            </w:pPr>
            <w:r w:rsidRPr="00592BB7">
              <w:rPr>
                <w:rFonts w:ascii="Times New Roman" w:eastAsia="Times New Roman" w:hAnsi="Times New Roman" w:cs="Times New Roman"/>
                <w:b/>
                <w:bCs/>
                <w:color w:val="333333"/>
                <w:sz w:val="24"/>
                <w:szCs w:val="24"/>
                <w:lang w:eastAsia="bg-BG"/>
              </w:rPr>
              <w:t>услуга за държавните институции</w:t>
            </w:r>
          </w:p>
          <w:p w14:paraId="17B9C0EC" w14:textId="77777777" w:rsidR="00592BB7" w:rsidRPr="00592BB7" w:rsidRDefault="00592BB7" w:rsidP="00592BB7">
            <w:pPr>
              <w:rPr>
                <w:rFonts w:ascii="Times New Roman" w:eastAsia="Times New Roman" w:hAnsi="Times New Roman" w:cs="Times New Roman"/>
                <w:color w:val="333333"/>
                <w:sz w:val="24"/>
                <w:szCs w:val="24"/>
                <w:lang w:eastAsia="bg-BG"/>
              </w:rPr>
            </w:pPr>
            <w:r w:rsidRPr="00592BB7">
              <w:rPr>
                <w:rFonts w:ascii="Times New Roman" w:eastAsia="Times New Roman" w:hAnsi="Times New Roman" w:cs="Times New Roman"/>
                <w:color w:val="333333"/>
                <w:sz w:val="24"/>
                <w:szCs w:val="24"/>
                <w:lang w:eastAsia="bg-BG"/>
              </w:rPr>
              <w:t>Моля да въведете разпоредба, съгласно която всички държавни институции да са задължени със закон да използват услугите само и единствено на Български пощи. Така няма да се прехвърлят средства от държавния бюджет в частни фирми и няма да се подписват корупционни договори с частни доставчици на пощенски услуги. </w:t>
            </w:r>
          </w:p>
          <w:p w14:paraId="4C2ACAC4" w14:textId="77777777" w:rsidR="00592BB7" w:rsidRPr="00592BB7" w:rsidRDefault="00592BB7" w:rsidP="00592BB7">
            <w:pPr>
              <w:rPr>
                <w:rFonts w:ascii="Times New Roman" w:eastAsia="Times New Roman" w:hAnsi="Times New Roman" w:cs="Times New Roman"/>
                <w:color w:val="333333"/>
                <w:sz w:val="24"/>
                <w:szCs w:val="24"/>
                <w:lang w:eastAsia="bg-BG"/>
              </w:rPr>
            </w:pPr>
            <w:r w:rsidRPr="00592BB7">
              <w:rPr>
                <w:rFonts w:ascii="Times New Roman" w:eastAsia="Times New Roman" w:hAnsi="Times New Roman" w:cs="Times New Roman"/>
                <w:color w:val="333333"/>
                <w:sz w:val="24"/>
                <w:szCs w:val="24"/>
                <w:lang w:eastAsia="bg-BG"/>
              </w:rPr>
              <w:t>Но най-големият проблем, който имаме е, че се сключват договори с напълно измислени куриерски фирми, които предлагат мизерно ниски цени и след това предлагат мизерно некачествени услуги.</w:t>
            </w:r>
          </w:p>
          <w:p w14:paraId="20B1A16A" w14:textId="77777777" w:rsidR="00592BB7" w:rsidRPr="00592BB7" w:rsidRDefault="00592BB7" w:rsidP="00592BB7">
            <w:pPr>
              <w:rPr>
                <w:rFonts w:ascii="Times New Roman" w:eastAsia="Times New Roman" w:hAnsi="Times New Roman" w:cs="Times New Roman"/>
                <w:color w:val="333333"/>
                <w:sz w:val="24"/>
                <w:szCs w:val="24"/>
                <w:lang w:eastAsia="bg-BG"/>
              </w:rPr>
            </w:pPr>
            <w:r w:rsidRPr="00592BB7">
              <w:rPr>
                <w:rFonts w:ascii="Times New Roman" w:eastAsia="Times New Roman" w:hAnsi="Times New Roman" w:cs="Times New Roman"/>
                <w:color w:val="333333"/>
                <w:sz w:val="24"/>
                <w:szCs w:val="24"/>
                <w:lang w:eastAsia="bg-BG"/>
              </w:rPr>
              <w:t>Така преди време МВР беше сключил договор с Стар пост. Доставката на пратките беше мираж, а издирването на една пратка беше мисия невъзможна. Бях отъпкала пътека в офиса на Стар пост и нямам думи за качеството на обслужване. Доказателство за проблемите е фактът, че МВР НЕ поднови договора си и в момента отново използва услугите на Български пощи.</w:t>
            </w:r>
          </w:p>
          <w:p w14:paraId="598A1BAD" w14:textId="77777777" w:rsidR="00592BB7" w:rsidRPr="00592BB7" w:rsidRDefault="00592BB7" w:rsidP="00592BB7">
            <w:pPr>
              <w:rPr>
                <w:rFonts w:ascii="Times New Roman" w:eastAsia="Times New Roman" w:hAnsi="Times New Roman" w:cs="Times New Roman"/>
                <w:color w:val="333333"/>
                <w:sz w:val="24"/>
                <w:szCs w:val="24"/>
                <w:lang w:eastAsia="bg-BG"/>
              </w:rPr>
            </w:pPr>
            <w:r w:rsidRPr="00592BB7">
              <w:rPr>
                <w:rFonts w:ascii="Times New Roman" w:eastAsia="Times New Roman" w:hAnsi="Times New Roman" w:cs="Times New Roman"/>
                <w:color w:val="333333"/>
                <w:sz w:val="24"/>
                <w:szCs w:val="24"/>
                <w:lang w:eastAsia="bg-BG"/>
              </w:rPr>
              <w:t>Проблем обаче имаме в момента например със Софийска районна прокуратура, която има скл</w:t>
            </w:r>
            <w:r w:rsidR="00A725D7">
              <w:rPr>
                <w:rFonts w:ascii="Times New Roman" w:eastAsia="Times New Roman" w:hAnsi="Times New Roman" w:cs="Times New Roman"/>
                <w:color w:val="333333"/>
                <w:sz w:val="24"/>
                <w:szCs w:val="24"/>
                <w:lang w:eastAsia="bg-BG"/>
              </w:rPr>
              <w:t>ю</w:t>
            </w:r>
            <w:r w:rsidRPr="00592BB7">
              <w:rPr>
                <w:rFonts w:ascii="Times New Roman" w:eastAsia="Times New Roman" w:hAnsi="Times New Roman" w:cs="Times New Roman"/>
                <w:color w:val="333333"/>
                <w:sz w:val="24"/>
                <w:szCs w:val="24"/>
                <w:lang w:eastAsia="bg-BG"/>
              </w:rPr>
              <w:t>чен договор с още по-неизвестна куриерска фирма, за която самите служителки на гише казват, че НИКОЙ не си получава пратките. А се касае за доставката на документи с критични лични данни с особено голяма защита - данни за съдимостта на определени лица. Дори свързването с тази фирма по телефон и невъзможно.</w:t>
            </w:r>
          </w:p>
          <w:p w14:paraId="22549038" w14:textId="77777777" w:rsidR="00592BB7" w:rsidRPr="00592BB7" w:rsidRDefault="00592BB7" w:rsidP="00592BB7">
            <w:pPr>
              <w:rPr>
                <w:rFonts w:ascii="Times New Roman" w:eastAsia="Times New Roman" w:hAnsi="Times New Roman" w:cs="Times New Roman"/>
                <w:color w:val="333333"/>
                <w:sz w:val="24"/>
                <w:szCs w:val="24"/>
                <w:lang w:eastAsia="bg-BG"/>
              </w:rPr>
            </w:pPr>
            <w:r w:rsidRPr="00592BB7">
              <w:rPr>
                <w:rFonts w:ascii="Times New Roman" w:eastAsia="Times New Roman" w:hAnsi="Times New Roman" w:cs="Times New Roman"/>
                <w:color w:val="333333"/>
                <w:sz w:val="24"/>
                <w:szCs w:val="24"/>
                <w:lang w:eastAsia="bg-BG"/>
              </w:rPr>
              <w:t xml:space="preserve">Считам, че тази порочна практика трябва да спре и всички институции трябва да бъдат задължени да използват услугите </w:t>
            </w:r>
            <w:r w:rsidRPr="00592BB7">
              <w:rPr>
                <w:rFonts w:ascii="Times New Roman" w:eastAsia="Times New Roman" w:hAnsi="Times New Roman" w:cs="Times New Roman"/>
                <w:color w:val="333333"/>
                <w:sz w:val="24"/>
                <w:szCs w:val="24"/>
                <w:lang w:eastAsia="bg-BG"/>
              </w:rPr>
              <w:lastRenderedPageBreak/>
              <w:t>САМО и ЕДИНСТЕВНО на Български пощи, чиято услуга е БЕЗПОГРЕШНА, а обслужването винаги е било на изключително високо ниво с огромен елемент на сигурност.</w:t>
            </w:r>
          </w:p>
          <w:p w14:paraId="212D7C0D" w14:textId="77777777" w:rsidR="00314A5A" w:rsidRPr="00B437E3" w:rsidRDefault="00314A5A" w:rsidP="003B50A9">
            <w:pPr>
              <w:pStyle w:val="ListParagraph"/>
              <w:rPr>
                <w:rFonts w:ascii="Times New Roman" w:eastAsia="Times New Roman" w:hAnsi="Times New Roman" w:cs="Times New Roman"/>
                <w:bCs/>
                <w:sz w:val="24"/>
                <w:szCs w:val="24"/>
                <w:highlight w:val="yellow"/>
              </w:rPr>
            </w:pPr>
          </w:p>
        </w:tc>
        <w:tc>
          <w:tcPr>
            <w:tcW w:w="1701" w:type="dxa"/>
            <w:tcBorders>
              <w:top w:val="single" w:sz="4" w:space="0" w:color="auto"/>
              <w:bottom w:val="single" w:sz="4" w:space="0" w:color="auto"/>
            </w:tcBorders>
          </w:tcPr>
          <w:p w14:paraId="68FCD20A" w14:textId="77777777" w:rsidR="009D0E10" w:rsidRDefault="009D0E10" w:rsidP="003B50A9">
            <w:pPr>
              <w:rPr>
                <w:rFonts w:ascii="Times New Roman" w:eastAsia="Times New Roman" w:hAnsi="Times New Roman" w:cs="Times New Roman"/>
                <w:bCs/>
                <w:sz w:val="24"/>
                <w:szCs w:val="24"/>
              </w:rPr>
            </w:pPr>
          </w:p>
          <w:p w14:paraId="4612C93C" w14:textId="77777777" w:rsidR="00314A5A" w:rsidRPr="006F7290" w:rsidRDefault="00314A5A" w:rsidP="003B50A9">
            <w:pPr>
              <w:rPr>
                <w:rFonts w:ascii="Times New Roman" w:eastAsia="Times New Roman" w:hAnsi="Times New Roman" w:cs="Times New Roman"/>
                <w:bCs/>
                <w:sz w:val="24"/>
                <w:szCs w:val="24"/>
                <w:highlight w:val="yellow"/>
              </w:rPr>
            </w:pPr>
            <w:r w:rsidRPr="006F7290">
              <w:rPr>
                <w:rFonts w:ascii="Times New Roman" w:eastAsia="Times New Roman" w:hAnsi="Times New Roman" w:cs="Times New Roman"/>
                <w:bCs/>
                <w:sz w:val="24"/>
                <w:szCs w:val="24"/>
              </w:rPr>
              <w:t xml:space="preserve"> </w:t>
            </w:r>
            <w:r w:rsidR="000A3814">
              <w:rPr>
                <w:rFonts w:ascii="Times New Roman" w:eastAsia="Times New Roman" w:hAnsi="Times New Roman" w:cs="Times New Roman"/>
                <w:bCs/>
                <w:sz w:val="24"/>
                <w:szCs w:val="24"/>
              </w:rPr>
              <w:t>Не се приема</w:t>
            </w:r>
          </w:p>
        </w:tc>
        <w:tc>
          <w:tcPr>
            <w:tcW w:w="4252" w:type="dxa"/>
            <w:tcBorders>
              <w:top w:val="single" w:sz="4" w:space="0" w:color="auto"/>
              <w:bottom w:val="single" w:sz="4" w:space="0" w:color="auto"/>
              <w:right w:val="single" w:sz="4" w:space="0" w:color="auto"/>
            </w:tcBorders>
          </w:tcPr>
          <w:p w14:paraId="59BEE973" w14:textId="77777777" w:rsidR="00314A5A" w:rsidRPr="006F7290" w:rsidRDefault="00314A5A" w:rsidP="003B50A9">
            <w:pPr>
              <w:rPr>
                <w:rFonts w:ascii="Times New Roman" w:hAnsi="Times New Roman" w:cs="Times New Roman"/>
                <w:sz w:val="24"/>
                <w:szCs w:val="24"/>
              </w:rPr>
            </w:pPr>
          </w:p>
          <w:p w14:paraId="0AA94EAF" w14:textId="77777777" w:rsidR="00314A5A" w:rsidRDefault="002428C8" w:rsidP="002132D6">
            <w:pPr>
              <w:rPr>
                <w:rFonts w:ascii="Times New Roman" w:eastAsia="Times New Roman" w:hAnsi="Times New Roman" w:cs="Times New Roman"/>
                <w:bCs/>
                <w:sz w:val="24"/>
                <w:szCs w:val="24"/>
              </w:rPr>
            </w:pPr>
            <w:r w:rsidRPr="002428C8">
              <w:rPr>
                <w:rFonts w:ascii="Times New Roman" w:eastAsia="Times New Roman" w:hAnsi="Times New Roman" w:cs="Times New Roman"/>
                <w:bCs/>
                <w:sz w:val="24"/>
                <w:szCs w:val="24"/>
              </w:rPr>
              <w:t>Със</w:t>
            </w:r>
            <w:r>
              <w:rPr>
                <w:rFonts w:ascii="Times New Roman" w:eastAsia="Times New Roman" w:hAnsi="Times New Roman" w:cs="Times New Roman"/>
                <w:bCs/>
                <w:sz w:val="24"/>
                <w:szCs w:val="24"/>
              </w:rPr>
              <w:t xml:space="preserve"> Закона за пощенските услуги, на „Български пощи“ ЕАД е възложено задължението за извършване на универсалната пощенска услуга (УПУ). Обхватът на УПУ</w:t>
            </w:r>
            <w:r w:rsidR="0099088C">
              <w:rPr>
                <w:rFonts w:ascii="Times New Roman" w:eastAsia="Times New Roman" w:hAnsi="Times New Roman" w:cs="Times New Roman"/>
                <w:bCs/>
                <w:sz w:val="24"/>
                <w:szCs w:val="24"/>
              </w:rPr>
              <w:t xml:space="preserve"> в Република България е хармонизиран с</w:t>
            </w:r>
            <w:r>
              <w:rPr>
                <w:rFonts w:ascii="Times New Roman" w:eastAsia="Times New Roman" w:hAnsi="Times New Roman" w:cs="Times New Roman"/>
                <w:bCs/>
                <w:sz w:val="24"/>
                <w:szCs w:val="24"/>
              </w:rPr>
              <w:t xml:space="preserve"> Директивата за пощенските услуги (Директива 2008/6/ЕО)</w:t>
            </w:r>
            <w:r w:rsidR="0099088C">
              <w:rPr>
                <w:rFonts w:ascii="Times New Roman" w:eastAsia="Times New Roman" w:hAnsi="Times New Roman" w:cs="Times New Roman"/>
                <w:bCs/>
                <w:sz w:val="24"/>
                <w:szCs w:val="24"/>
              </w:rPr>
              <w:t xml:space="preserve">. </w:t>
            </w:r>
            <w:r w:rsidR="00733075">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слуга</w:t>
            </w:r>
            <w:r w:rsidR="00733075">
              <w:rPr>
                <w:rFonts w:ascii="Times New Roman" w:eastAsia="Times New Roman" w:hAnsi="Times New Roman" w:cs="Times New Roman"/>
                <w:bCs/>
                <w:sz w:val="24"/>
                <w:szCs w:val="24"/>
              </w:rPr>
              <w:t>та</w:t>
            </w:r>
            <w:r>
              <w:rPr>
                <w:rFonts w:ascii="Times New Roman" w:eastAsia="Times New Roman" w:hAnsi="Times New Roman" w:cs="Times New Roman"/>
                <w:bCs/>
                <w:sz w:val="24"/>
                <w:szCs w:val="24"/>
              </w:rPr>
              <w:t xml:space="preserve"> за кореспонденция между </w:t>
            </w:r>
            <w:r w:rsidR="00733075">
              <w:rPr>
                <w:rFonts w:ascii="Times New Roman" w:eastAsia="Times New Roman" w:hAnsi="Times New Roman" w:cs="Times New Roman"/>
                <w:bCs/>
                <w:sz w:val="24"/>
                <w:szCs w:val="24"/>
              </w:rPr>
              <w:t xml:space="preserve">държавните институции не попада в обхвата на УПУ и „Български пощи“ ЕАД няма задължение за нейното предоставяне. </w:t>
            </w:r>
            <w:r w:rsidR="00CB2FA3">
              <w:rPr>
                <w:rFonts w:ascii="Times New Roman" w:eastAsia="Times New Roman" w:hAnsi="Times New Roman" w:cs="Times New Roman"/>
                <w:bCs/>
                <w:sz w:val="24"/>
                <w:szCs w:val="24"/>
              </w:rPr>
              <w:t>Т</w:t>
            </w:r>
            <w:r w:rsidR="00733075">
              <w:rPr>
                <w:rFonts w:ascii="Times New Roman" w:eastAsia="Times New Roman" w:hAnsi="Times New Roman" w:cs="Times New Roman"/>
                <w:bCs/>
                <w:sz w:val="24"/>
                <w:szCs w:val="24"/>
              </w:rPr>
              <w:t>райната тенденция за намаляването на обемите от кореспондентски пратки</w:t>
            </w:r>
            <w:r w:rsidR="00CB2FA3">
              <w:rPr>
                <w:rFonts w:ascii="Times New Roman" w:eastAsia="Times New Roman" w:hAnsi="Times New Roman" w:cs="Times New Roman"/>
                <w:bCs/>
                <w:sz w:val="24"/>
                <w:szCs w:val="24"/>
              </w:rPr>
              <w:t xml:space="preserve"> в световен и  европейски мащаб е налице и на национално ниво. </w:t>
            </w:r>
            <w:bookmarkStart w:id="0" w:name="_GoBack"/>
            <w:r w:rsidR="00CB2FA3">
              <w:rPr>
                <w:rFonts w:ascii="Times New Roman" w:eastAsia="Times New Roman" w:hAnsi="Times New Roman" w:cs="Times New Roman"/>
                <w:bCs/>
                <w:sz w:val="24"/>
                <w:szCs w:val="24"/>
              </w:rPr>
              <w:t xml:space="preserve">Това е естествен </w:t>
            </w:r>
            <w:bookmarkEnd w:id="0"/>
            <w:r w:rsidR="00CB2FA3">
              <w:rPr>
                <w:rFonts w:ascii="Times New Roman" w:eastAsia="Times New Roman" w:hAnsi="Times New Roman" w:cs="Times New Roman"/>
                <w:bCs/>
                <w:sz w:val="24"/>
                <w:szCs w:val="24"/>
              </w:rPr>
              <w:t xml:space="preserve">резултат от цифровизацията в последните две десетилетия, включително и извършваният електронен обмен на документация между държавната администрация. Следва да се отбележи, че </w:t>
            </w:r>
            <w:r w:rsidR="002132D6">
              <w:rPr>
                <w:rFonts w:ascii="Times New Roman" w:eastAsia="Times New Roman" w:hAnsi="Times New Roman" w:cs="Times New Roman"/>
                <w:bCs/>
                <w:sz w:val="24"/>
                <w:szCs w:val="24"/>
              </w:rPr>
              <w:t xml:space="preserve">на европейско ниво тенденцията е за намаляване, а не за разширяване на обхвата на универсалната услуга, поради постоянно растящите разходи </w:t>
            </w:r>
            <w:r w:rsidR="002132D6">
              <w:rPr>
                <w:rFonts w:ascii="Times New Roman" w:eastAsia="Times New Roman" w:hAnsi="Times New Roman" w:cs="Times New Roman"/>
                <w:bCs/>
                <w:sz w:val="24"/>
                <w:szCs w:val="24"/>
              </w:rPr>
              <w:lastRenderedPageBreak/>
              <w:t xml:space="preserve">за оператора, натоварен със задължение за нейното предоставяне. </w:t>
            </w:r>
            <w:r w:rsidR="00CB2FA3">
              <w:rPr>
                <w:rFonts w:ascii="Times New Roman" w:eastAsia="Times New Roman" w:hAnsi="Times New Roman" w:cs="Times New Roman"/>
                <w:bCs/>
                <w:sz w:val="24"/>
                <w:szCs w:val="24"/>
              </w:rPr>
              <w:t xml:space="preserve"> </w:t>
            </w:r>
          </w:p>
          <w:p w14:paraId="0C0EB4C7" w14:textId="4B2B588E" w:rsidR="00EB5510" w:rsidRPr="0048460D" w:rsidRDefault="00EB5510" w:rsidP="002132D6">
            <w:pPr>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Независимо от горното, следва да се имат предвид последните изменения и допълнения в Закона за обществените поръчки и по-конкретно чл. 79, ал. 1, т. 3, б. „в“ (обн., ДВ, бр. 88 от 2023 г.).</w:t>
            </w:r>
          </w:p>
        </w:tc>
      </w:tr>
      <w:tr w:rsidR="00314A5A" w:rsidRPr="00AC1D0F" w14:paraId="07636D91" w14:textId="77777777" w:rsidTr="00592BB7">
        <w:trPr>
          <w:trHeight w:val="1695"/>
        </w:trPr>
        <w:tc>
          <w:tcPr>
            <w:tcW w:w="568" w:type="dxa"/>
            <w:tcBorders>
              <w:top w:val="single" w:sz="4" w:space="0" w:color="auto"/>
              <w:left w:val="single" w:sz="4" w:space="0" w:color="auto"/>
              <w:bottom w:val="single" w:sz="4" w:space="0" w:color="auto"/>
            </w:tcBorders>
          </w:tcPr>
          <w:p w14:paraId="65997574" w14:textId="77777777" w:rsidR="00314A5A" w:rsidRPr="00592BB7" w:rsidRDefault="00592BB7" w:rsidP="003B50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2.</w:t>
            </w:r>
          </w:p>
        </w:tc>
        <w:tc>
          <w:tcPr>
            <w:tcW w:w="1985" w:type="dxa"/>
            <w:tcBorders>
              <w:top w:val="single" w:sz="4" w:space="0" w:color="auto"/>
              <w:bottom w:val="single" w:sz="4" w:space="0" w:color="auto"/>
            </w:tcBorders>
          </w:tcPr>
          <w:p w14:paraId="4B3BE0DF" w14:textId="77777777" w:rsidR="00314A5A" w:rsidRPr="00633E24" w:rsidRDefault="00592BB7" w:rsidP="00592BB7">
            <w:pPr>
              <w:keepNext/>
              <w:outlineLvl w:val="5"/>
              <w:rPr>
                <w:rFonts w:ascii="Times New Roman" w:hAnsi="Times New Roman" w:cs="Times New Roman"/>
                <w:sz w:val="24"/>
                <w:szCs w:val="24"/>
              </w:rPr>
            </w:pPr>
            <w:r>
              <w:rPr>
                <w:rFonts w:ascii="Times New Roman" w:hAnsi="Times New Roman" w:cs="Times New Roman"/>
                <w:sz w:val="24"/>
                <w:szCs w:val="24"/>
              </w:rPr>
              <w:t>Предложения, постъпили с писмо вх. № 11-02-07/25.10.2023 г. от „Български пощи“ ЕАД</w:t>
            </w:r>
          </w:p>
        </w:tc>
        <w:tc>
          <w:tcPr>
            <w:tcW w:w="6662" w:type="dxa"/>
            <w:tcBorders>
              <w:top w:val="single" w:sz="4" w:space="0" w:color="auto"/>
              <w:bottom w:val="single" w:sz="4" w:space="0" w:color="auto"/>
            </w:tcBorders>
            <w:vAlign w:val="center"/>
          </w:tcPr>
          <w:p w14:paraId="532E9CE8" w14:textId="77777777" w:rsidR="00314A5A" w:rsidRDefault="00592BB7" w:rsidP="003B50A9">
            <w:pPr>
              <w:rPr>
                <w:rFonts w:ascii="Times New Roman" w:hAnsi="Times New Roman" w:cs="Times New Roman"/>
                <w:color w:val="333333"/>
                <w:sz w:val="24"/>
                <w:szCs w:val="24"/>
              </w:rPr>
            </w:pPr>
            <w:r>
              <w:rPr>
                <w:rFonts w:ascii="Times New Roman" w:hAnsi="Times New Roman" w:cs="Times New Roman"/>
                <w:color w:val="333333"/>
                <w:sz w:val="24"/>
                <w:szCs w:val="24"/>
              </w:rPr>
              <w:t>Срокът на възлагане на извършването на УПУ на „Български пощи“ ЕАД, постановен с §70 от „Преходни и Заключителни разпоредби към Закона за изменение и допълнение на Закона за пощенските услуги (обн. ДВ</w:t>
            </w:r>
            <w:r w:rsidR="00A725D7">
              <w:rPr>
                <w:rFonts w:ascii="Times New Roman" w:hAnsi="Times New Roman" w:cs="Times New Roman"/>
                <w:color w:val="333333"/>
                <w:sz w:val="24"/>
                <w:szCs w:val="24"/>
              </w:rPr>
              <w:t>., бр. 102 от 2010 г., в сила от 30.12.2010 г.) в размер на 15 години, да бъде удължен с 5 (пет) години, считано от 2025 г. или до 2030 г.</w:t>
            </w:r>
          </w:p>
        </w:tc>
        <w:tc>
          <w:tcPr>
            <w:tcW w:w="1701" w:type="dxa"/>
            <w:tcBorders>
              <w:top w:val="single" w:sz="4" w:space="0" w:color="auto"/>
              <w:bottom w:val="single" w:sz="4" w:space="0" w:color="auto"/>
            </w:tcBorders>
          </w:tcPr>
          <w:p w14:paraId="3E465E93" w14:textId="77777777" w:rsidR="00314A5A" w:rsidRDefault="00A725D7" w:rsidP="003B50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Приема се</w:t>
            </w:r>
          </w:p>
        </w:tc>
        <w:tc>
          <w:tcPr>
            <w:tcW w:w="4252" w:type="dxa"/>
            <w:tcBorders>
              <w:top w:val="single" w:sz="4" w:space="0" w:color="auto"/>
              <w:bottom w:val="single" w:sz="4" w:space="0" w:color="auto"/>
              <w:right w:val="single" w:sz="4" w:space="0" w:color="auto"/>
            </w:tcBorders>
          </w:tcPr>
          <w:p w14:paraId="2CA715A1" w14:textId="77777777" w:rsidR="00314A5A" w:rsidRDefault="00A725D7" w:rsidP="003B50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Отразено в проекта.</w:t>
            </w:r>
          </w:p>
          <w:p w14:paraId="20F58E5E" w14:textId="77777777" w:rsidR="00A725D7" w:rsidRDefault="00A725D7" w:rsidP="003B50A9">
            <w:pPr>
              <w:rPr>
                <w:rFonts w:ascii="Times New Roman" w:eastAsia="Times New Roman" w:hAnsi="Times New Roman" w:cs="Times New Roman"/>
                <w:bCs/>
                <w:sz w:val="24"/>
                <w:szCs w:val="24"/>
              </w:rPr>
            </w:pPr>
          </w:p>
        </w:tc>
      </w:tr>
      <w:tr w:rsidR="00F14050" w:rsidRPr="00AC1D0F" w14:paraId="4A9A7ABB" w14:textId="77777777" w:rsidTr="00592BB7">
        <w:trPr>
          <w:trHeight w:val="1695"/>
        </w:trPr>
        <w:tc>
          <w:tcPr>
            <w:tcW w:w="568" w:type="dxa"/>
            <w:tcBorders>
              <w:top w:val="single" w:sz="4" w:space="0" w:color="auto"/>
              <w:left w:val="single" w:sz="4" w:space="0" w:color="auto"/>
              <w:bottom w:val="single" w:sz="4" w:space="0" w:color="auto"/>
            </w:tcBorders>
          </w:tcPr>
          <w:p w14:paraId="0C6EF6BF" w14:textId="77777777" w:rsidR="00F14050" w:rsidRPr="00F14050" w:rsidRDefault="00F14050" w:rsidP="003B50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985" w:type="dxa"/>
            <w:tcBorders>
              <w:top w:val="single" w:sz="4" w:space="0" w:color="auto"/>
              <w:bottom w:val="single" w:sz="4" w:space="0" w:color="auto"/>
            </w:tcBorders>
          </w:tcPr>
          <w:p w14:paraId="17FCB12A" w14:textId="77777777" w:rsidR="00F14050" w:rsidRDefault="00F14050" w:rsidP="00592BB7">
            <w:pPr>
              <w:keepNext/>
              <w:outlineLvl w:val="5"/>
              <w:rPr>
                <w:rFonts w:ascii="Times New Roman" w:hAnsi="Times New Roman" w:cs="Times New Roman"/>
                <w:sz w:val="24"/>
                <w:szCs w:val="24"/>
              </w:rPr>
            </w:pPr>
            <w:r>
              <w:rPr>
                <w:rFonts w:ascii="Times New Roman" w:hAnsi="Times New Roman" w:cs="Times New Roman"/>
                <w:sz w:val="24"/>
                <w:szCs w:val="24"/>
              </w:rPr>
              <w:t>Предложения, постъпили с писмо вх. №14-00-252/30.10.2023 г. от Комисията за регулиране на съобщенията</w:t>
            </w:r>
          </w:p>
        </w:tc>
        <w:tc>
          <w:tcPr>
            <w:tcW w:w="6662" w:type="dxa"/>
            <w:tcBorders>
              <w:top w:val="single" w:sz="4" w:space="0" w:color="auto"/>
              <w:bottom w:val="single" w:sz="4" w:space="0" w:color="auto"/>
            </w:tcBorders>
            <w:vAlign w:val="center"/>
          </w:tcPr>
          <w:p w14:paraId="54255F70" w14:textId="77777777" w:rsidR="00F14050" w:rsidRPr="000E2F47" w:rsidRDefault="00F14050" w:rsidP="00F14050">
            <w:pPr>
              <w:rPr>
                <w:rFonts w:ascii="Times New Roman" w:hAnsi="Times New Roman" w:cs="Times New Roman"/>
                <w:b/>
                <w:color w:val="333333"/>
                <w:sz w:val="24"/>
                <w:szCs w:val="24"/>
              </w:rPr>
            </w:pPr>
            <w:r w:rsidRPr="000E2F47">
              <w:rPr>
                <w:rFonts w:ascii="Times New Roman" w:hAnsi="Times New Roman" w:cs="Times New Roman"/>
                <w:b/>
                <w:color w:val="333333"/>
                <w:sz w:val="24"/>
                <w:szCs w:val="24"/>
              </w:rPr>
              <w:t>По отношение на промяната в текста на чл. 29, ал. 7, предлагаме текстът да бъде прецизиран, като се обвърже с отчетените и проверени резултати от системата за разпределение на разходите.</w:t>
            </w:r>
          </w:p>
          <w:p w14:paraId="38CB3AF5" w14:textId="77777777" w:rsidR="00F14050" w:rsidRPr="000E2F47" w:rsidRDefault="00F14050" w:rsidP="00F14050">
            <w:pPr>
              <w:rPr>
                <w:rFonts w:ascii="Times New Roman" w:hAnsi="Times New Roman" w:cs="Times New Roman"/>
                <w:b/>
                <w:color w:val="333333"/>
                <w:sz w:val="24"/>
                <w:szCs w:val="24"/>
              </w:rPr>
            </w:pPr>
            <w:r w:rsidRPr="000E2F47">
              <w:rPr>
                <w:rFonts w:ascii="Times New Roman" w:hAnsi="Times New Roman" w:cs="Times New Roman"/>
                <w:b/>
                <w:color w:val="333333"/>
                <w:sz w:val="24"/>
                <w:szCs w:val="24"/>
              </w:rPr>
              <w:t>Предложение за нов текст на чл. 29, ал. 7:</w:t>
            </w:r>
          </w:p>
          <w:p w14:paraId="67A198BA" w14:textId="77777777" w:rsidR="00F14050" w:rsidRDefault="00F14050" w:rsidP="00F14050">
            <w:pPr>
              <w:rPr>
                <w:rFonts w:ascii="Times New Roman" w:hAnsi="Times New Roman" w:cs="Times New Roman"/>
                <w:color w:val="333333"/>
                <w:sz w:val="24"/>
                <w:szCs w:val="24"/>
              </w:rPr>
            </w:pPr>
            <w:r>
              <w:rPr>
                <w:rFonts w:ascii="Times New Roman" w:hAnsi="Times New Roman" w:cs="Times New Roman"/>
                <w:color w:val="333333"/>
                <w:sz w:val="24"/>
                <w:szCs w:val="24"/>
              </w:rPr>
              <w:t>(7) Необходимите авансови средства по ал. 6 се предвиждат в тригодишните бюджетни прогнози и в проектите на бюджет на Министерството на транспорта и съобщенията. За изчислението на годишните бюджетни прогнози се прилагат стъпките за изчисление на нетните разходи, съгласно методиката по чл. 15, ал. 1, т. 11. Прогнозата за нетните разходи се изготвя от пощенския оператор.</w:t>
            </w:r>
          </w:p>
          <w:p w14:paraId="3D6CFB9A" w14:textId="77777777" w:rsidR="00F14050" w:rsidRDefault="00F14050" w:rsidP="00F1405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Мотиви: Съгласно правилата за изчисляване на нетните разходи, определени с методиката по чл. 15, ал.1, т. 11 от ЗПУ, е заложен механизъм за изчисляване на нетните разходи от наложеното задължение за извършване на универсална пощенска услуга (УПУ), който използва резултатите от </w:t>
            </w:r>
            <w:r>
              <w:rPr>
                <w:rFonts w:ascii="Times New Roman" w:hAnsi="Times New Roman" w:cs="Times New Roman"/>
                <w:color w:val="333333"/>
                <w:sz w:val="24"/>
                <w:szCs w:val="24"/>
              </w:rPr>
              <w:lastRenderedPageBreak/>
              <w:t>системата за разпределение на разходите и минава през следните стъпки:</w:t>
            </w:r>
          </w:p>
          <w:p w14:paraId="18FD093B" w14:textId="77777777" w:rsidR="00F14050" w:rsidRDefault="00F14050" w:rsidP="00F14050">
            <w:pPr>
              <w:pStyle w:val="ListParagraph"/>
              <w:numPr>
                <w:ilvl w:val="0"/>
                <w:numId w:val="4"/>
              </w:numPr>
              <w:rPr>
                <w:rFonts w:ascii="Times New Roman" w:hAnsi="Times New Roman" w:cs="Times New Roman"/>
                <w:color w:val="333333"/>
                <w:sz w:val="24"/>
                <w:szCs w:val="24"/>
              </w:rPr>
            </w:pPr>
            <w:r>
              <w:rPr>
                <w:rFonts w:ascii="Times New Roman" w:hAnsi="Times New Roman" w:cs="Times New Roman"/>
                <w:color w:val="333333"/>
                <w:sz w:val="24"/>
                <w:szCs w:val="24"/>
              </w:rPr>
              <w:t>Изчисляване на приходи и разходи на задължения оператор при работа със задължение за извършване на УПУ;</w:t>
            </w:r>
          </w:p>
          <w:p w14:paraId="3E57DE72" w14:textId="77777777" w:rsidR="00F14050" w:rsidRDefault="00F14050" w:rsidP="00F14050">
            <w:pPr>
              <w:pStyle w:val="ListParagraph"/>
              <w:numPr>
                <w:ilvl w:val="0"/>
                <w:numId w:val="4"/>
              </w:numPr>
              <w:rPr>
                <w:rFonts w:ascii="Times New Roman" w:hAnsi="Times New Roman" w:cs="Times New Roman"/>
                <w:color w:val="333333"/>
                <w:sz w:val="24"/>
                <w:szCs w:val="24"/>
              </w:rPr>
            </w:pPr>
            <w:r>
              <w:rPr>
                <w:rFonts w:ascii="Times New Roman" w:hAnsi="Times New Roman" w:cs="Times New Roman"/>
                <w:color w:val="333333"/>
                <w:sz w:val="24"/>
                <w:szCs w:val="24"/>
              </w:rPr>
              <w:t>Изчисляване на приходи и разходи, които биха възникнали за задължения оператор при работа без задължение за извършване на УПУ;</w:t>
            </w:r>
          </w:p>
          <w:p w14:paraId="4BFD963A" w14:textId="77777777" w:rsidR="00F14050" w:rsidRDefault="00F14050" w:rsidP="00F14050">
            <w:pPr>
              <w:pStyle w:val="ListParagraph"/>
              <w:numPr>
                <w:ilvl w:val="0"/>
                <w:numId w:val="4"/>
              </w:numPr>
              <w:rPr>
                <w:rFonts w:ascii="Times New Roman" w:hAnsi="Times New Roman" w:cs="Times New Roman"/>
                <w:color w:val="333333"/>
                <w:sz w:val="24"/>
                <w:szCs w:val="24"/>
              </w:rPr>
            </w:pPr>
            <w:r>
              <w:rPr>
                <w:rFonts w:ascii="Times New Roman" w:hAnsi="Times New Roman" w:cs="Times New Roman"/>
                <w:color w:val="333333"/>
                <w:sz w:val="24"/>
                <w:szCs w:val="24"/>
              </w:rPr>
              <w:t>Изчисляване на размера на нетните разходи от извършване на УПУ;</w:t>
            </w:r>
          </w:p>
          <w:p w14:paraId="5A790E9A" w14:textId="77777777" w:rsidR="00F14050" w:rsidRDefault="00F14050" w:rsidP="00F14050">
            <w:pPr>
              <w:pStyle w:val="ListParagraph"/>
              <w:numPr>
                <w:ilvl w:val="0"/>
                <w:numId w:val="4"/>
              </w:numPr>
              <w:rPr>
                <w:rFonts w:ascii="Times New Roman" w:hAnsi="Times New Roman" w:cs="Times New Roman"/>
                <w:color w:val="333333"/>
                <w:sz w:val="24"/>
                <w:szCs w:val="24"/>
              </w:rPr>
            </w:pPr>
            <w:r>
              <w:rPr>
                <w:rFonts w:ascii="Times New Roman" w:hAnsi="Times New Roman" w:cs="Times New Roman"/>
                <w:color w:val="333333"/>
                <w:sz w:val="24"/>
                <w:szCs w:val="24"/>
              </w:rPr>
              <w:t>Коригиране на размера на нетните разходи от задължението за извършване на УПУ с паричната равностойност на нематериалните и пазарни ползи и стимулите за ефикасност на разходите.</w:t>
            </w:r>
          </w:p>
          <w:p w14:paraId="71321A7C" w14:textId="77777777" w:rsidR="00F14050" w:rsidRDefault="00F14050" w:rsidP="00F14050">
            <w:pPr>
              <w:rPr>
                <w:rFonts w:ascii="Times New Roman" w:hAnsi="Times New Roman" w:cs="Times New Roman"/>
                <w:color w:val="333333"/>
                <w:sz w:val="24"/>
                <w:szCs w:val="24"/>
              </w:rPr>
            </w:pPr>
            <w:r>
              <w:rPr>
                <w:rFonts w:ascii="Times New Roman" w:hAnsi="Times New Roman" w:cs="Times New Roman"/>
                <w:color w:val="333333"/>
                <w:sz w:val="24"/>
                <w:szCs w:val="24"/>
              </w:rPr>
              <w:t>В същото време от мотивите към законопроекта е видно, че авансово предоставените средства</w:t>
            </w:r>
            <w:r w:rsidR="000E2F47">
              <w:rPr>
                <w:rFonts w:ascii="Times New Roman" w:hAnsi="Times New Roman" w:cs="Times New Roman"/>
                <w:color w:val="333333"/>
                <w:sz w:val="24"/>
                <w:szCs w:val="24"/>
              </w:rPr>
              <w:t xml:space="preserve"> за компенсация на нетните разходи от предоставяне на УПУ ще се изчисляват на база фактически разходи за две години назад, които следва да се индексират с коефициент на база процента на нарастване на минималната работна заплата за страната и годишния индекс на инфлацията, отчетени за периода между годината, в която се изплащат и годината на одитирания доклад, на базата на който са изчислени.</w:t>
            </w:r>
          </w:p>
          <w:p w14:paraId="2A2F0082" w14:textId="77777777" w:rsidR="000E2F47" w:rsidRDefault="000E2F47" w:rsidP="00F1405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Разликата в механизма на изчисляване на нетните разходи е предпоставка за липса на съпоставимост между прогнозите и отчетените разходи. Наред с това, не става ясно дали източниците на информацията при изчисляване на нетните разходи според Методиката по чл. 15, ал. 1, т. 11 от ЗПУ и определянето на авансовите плащания, съгласно предложението за изменение в ЗПУ съвпадат. Това е </w:t>
            </w:r>
            <w:r>
              <w:rPr>
                <w:rFonts w:ascii="Times New Roman" w:hAnsi="Times New Roman" w:cs="Times New Roman"/>
                <w:color w:val="333333"/>
                <w:sz w:val="24"/>
                <w:szCs w:val="24"/>
              </w:rPr>
              <w:lastRenderedPageBreak/>
              <w:t>отбелязано и в становището на администрацията на Министерския съвет. В тази връзка предлагаме да бъдат дефинирани ясни показатели, на които да се основава тригодишната бюджетна прогноза.</w:t>
            </w:r>
          </w:p>
          <w:p w14:paraId="68333FA2" w14:textId="77777777" w:rsidR="000E2F47" w:rsidRDefault="000E2F47" w:rsidP="00F14050">
            <w:pPr>
              <w:rPr>
                <w:rFonts w:ascii="Times New Roman" w:hAnsi="Times New Roman" w:cs="Times New Roman"/>
                <w:color w:val="333333"/>
                <w:sz w:val="24"/>
                <w:szCs w:val="24"/>
              </w:rPr>
            </w:pPr>
            <w:r w:rsidRPr="000E2F47">
              <w:rPr>
                <w:rFonts w:ascii="Times New Roman" w:hAnsi="Times New Roman" w:cs="Times New Roman"/>
                <w:b/>
                <w:color w:val="333333"/>
                <w:sz w:val="24"/>
                <w:szCs w:val="24"/>
              </w:rPr>
              <w:t>По отношение на текста в чл. 29а, ал. 1</w:t>
            </w:r>
            <w:r>
              <w:rPr>
                <w:rFonts w:ascii="Times New Roman" w:hAnsi="Times New Roman" w:cs="Times New Roman"/>
                <w:color w:val="333333"/>
                <w:sz w:val="24"/>
                <w:szCs w:val="24"/>
              </w:rPr>
              <w:t xml:space="preserve"> считаме, че редакцията следва да отпадне. От мотивите към законопроекта не става ясно какво налага въвеждане само на едно място на ново понятие „действителни нетни разходи“ без то да бъде дефинирано. От друга страна, предвидената процедура в чл. 29а от ЗПУ ясно регламентира съдържанието на заявлението, което подава оператора със задължение за извършване на УПУ</w:t>
            </w:r>
            <w:r w:rsidR="007D3739">
              <w:rPr>
                <w:rFonts w:ascii="Times New Roman" w:hAnsi="Times New Roman" w:cs="Times New Roman"/>
                <w:color w:val="333333"/>
                <w:sz w:val="24"/>
                <w:szCs w:val="24"/>
              </w:rPr>
              <w:t>, периода за който се отнася исканата компенсация за нетните разходи и правилата, които трябва да се спазват при изчислението и одита на размера на нетните разходи.</w:t>
            </w:r>
          </w:p>
          <w:p w14:paraId="111D23D7" w14:textId="77777777" w:rsidR="007D3739" w:rsidRDefault="007D3739" w:rsidP="00F14050">
            <w:pPr>
              <w:rPr>
                <w:rFonts w:ascii="Times New Roman" w:hAnsi="Times New Roman" w:cs="Times New Roman"/>
                <w:color w:val="333333"/>
                <w:sz w:val="24"/>
                <w:szCs w:val="24"/>
              </w:rPr>
            </w:pPr>
            <w:r>
              <w:rPr>
                <w:rFonts w:ascii="Times New Roman" w:hAnsi="Times New Roman" w:cs="Times New Roman"/>
                <w:color w:val="333333"/>
                <w:sz w:val="24"/>
                <w:szCs w:val="24"/>
              </w:rPr>
              <w:t>В случай, че не бъде приета бележката, следва да бъде предвидено въвеждане на дефиниция на понятието „действителни нетни разходи“, както и връзката му с методиката по чл. 15, ал. 1, т. 11 от ЗПУ.</w:t>
            </w:r>
          </w:p>
          <w:p w14:paraId="25F4977E" w14:textId="77777777" w:rsidR="007D3739" w:rsidRPr="00F14050" w:rsidRDefault="007D3739" w:rsidP="00F14050">
            <w:pPr>
              <w:rPr>
                <w:rFonts w:ascii="Times New Roman" w:hAnsi="Times New Roman" w:cs="Times New Roman"/>
                <w:color w:val="333333"/>
                <w:sz w:val="24"/>
                <w:szCs w:val="24"/>
              </w:rPr>
            </w:pPr>
            <w:r>
              <w:rPr>
                <w:rFonts w:ascii="Times New Roman" w:hAnsi="Times New Roman" w:cs="Times New Roman"/>
                <w:color w:val="333333"/>
                <w:sz w:val="24"/>
                <w:szCs w:val="24"/>
              </w:rPr>
              <w:t>Допълнително, следва да се има предвид, че ако законопроекта влезе в сила през 2024 г. следва да се предвиди преходна разпоредба, уреждаща реда, по който ще се извърши компенсацията през 2024 г. за 2023 г.</w:t>
            </w:r>
          </w:p>
        </w:tc>
        <w:tc>
          <w:tcPr>
            <w:tcW w:w="1701" w:type="dxa"/>
            <w:tcBorders>
              <w:top w:val="single" w:sz="4" w:space="0" w:color="auto"/>
              <w:bottom w:val="single" w:sz="4" w:space="0" w:color="auto"/>
            </w:tcBorders>
          </w:tcPr>
          <w:p w14:paraId="336492F1" w14:textId="77777777" w:rsidR="00F14050" w:rsidRPr="00EB5510" w:rsidRDefault="00BE463D" w:rsidP="003B50A9">
            <w:pPr>
              <w:rPr>
                <w:rFonts w:ascii="Times New Roman" w:eastAsia="Times New Roman" w:hAnsi="Times New Roman" w:cs="Times New Roman"/>
                <w:bCs/>
                <w:sz w:val="24"/>
                <w:szCs w:val="24"/>
              </w:rPr>
            </w:pPr>
            <w:r w:rsidRPr="00EB5510">
              <w:rPr>
                <w:rFonts w:ascii="Times New Roman" w:eastAsia="Times New Roman" w:hAnsi="Times New Roman" w:cs="Times New Roman"/>
                <w:bCs/>
                <w:sz w:val="24"/>
                <w:szCs w:val="24"/>
              </w:rPr>
              <w:lastRenderedPageBreak/>
              <w:t>Не се приема</w:t>
            </w:r>
          </w:p>
        </w:tc>
        <w:tc>
          <w:tcPr>
            <w:tcW w:w="4252" w:type="dxa"/>
            <w:tcBorders>
              <w:top w:val="single" w:sz="4" w:space="0" w:color="auto"/>
              <w:bottom w:val="single" w:sz="4" w:space="0" w:color="auto"/>
              <w:right w:val="single" w:sz="4" w:space="0" w:color="auto"/>
            </w:tcBorders>
          </w:tcPr>
          <w:p w14:paraId="3465FD0C" w14:textId="77777777" w:rsidR="009D0E10" w:rsidRPr="00EB5510" w:rsidRDefault="00BE463D" w:rsidP="009D0E10">
            <w:pPr>
              <w:rPr>
                <w:rFonts w:ascii="Times New Roman" w:eastAsia="Times New Roman" w:hAnsi="Times New Roman" w:cs="Times New Roman"/>
                <w:bCs/>
                <w:sz w:val="24"/>
                <w:szCs w:val="24"/>
              </w:rPr>
            </w:pPr>
            <w:r w:rsidRPr="00EB5510">
              <w:rPr>
                <w:rFonts w:ascii="Times New Roman" w:eastAsia="Times New Roman" w:hAnsi="Times New Roman" w:cs="Times New Roman"/>
                <w:bCs/>
                <w:sz w:val="24"/>
                <w:szCs w:val="24"/>
              </w:rPr>
              <w:t>Законът отразява принципите на компенсиране на дружеството</w:t>
            </w:r>
            <w:r w:rsidR="009D0E10" w:rsidRPr="00EB5510">
              <w:rPr>
                <w:rFonts w:ascii="Times New Roman" w:eastAsia="Times New Roman" w:hAnsi="Times New Roman" w:cs="Times New Roman"/>
                <w:bCs/>
                <w:sz w:val="24"/>
                <w:szCs w:val="24"/>
              </w:rPr>
              <w:t>.</w:t>
            </w:r>
          </w:p>
          <w:p w14:paraId="47A97280" w14:textId="77777777" w:rsidR="00F14050" w:rsidRPr="00EB5510" w:rsidRDefault="00F14050" w:rsidP="003B50A9">
            <w:pPr>
              <w:rPr>
                <w:rFonts w:ascii="Times New Roman" w:eastAsia="Times New Roman" w:hAnsi="Times New Roman" w:cs="Times New Roman"/>
                <w:bCs/>
                <w:sz w:val="24"/>
                <w:szCs w:val="24"/>
              </w:rPr>
            </w:pPr>
          </w:p>
        </w:tc>
      </w:tr>
    </w:tbl>
    <w:p w14:paraId="236336CB" w14:textId="77777777" w:rsidR="00314A5A" w:rsidRDefault="00314A5A" w:rsidP="00314A5A"/>
    <w:p w14:paraId="3039E1F0" w14:textId="77777777" w:rsidR="005D7D2F" w:rsidRDefault="005D7D2F"/>
    <w:sectPr w:rsidR="005D7D2F" w:rsidSect="009544B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D8A"/>
    <w:multiLevelType w:val="hybridMultilevel"/>
    <w:tmpl w:val="FC7A5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E6A6D50"/>
    <w:multiLevelType w:val="hybridMultilevel"/>
    <w:tmpl w:val="F0C8EF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5401AC2"/>
    <w:multiLevelType w:val="hybridMultilevel"/>
    <w:tmpl w:val="51BE71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66213D0E"/>
    <w:multiLevelType w:val="hybridMultilevel"/>
    <w:tmpl w:val="7DBAE8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5A"/>
    <w:rsid w:val="000A3814"/>
    <w:rsid w:val="000E2F47"/>
    <w:rsid w:val="002132D6"/>
    <w:rsid w:val="002340ED"/>
    <w:rsid w:val="002428C8"/>
    <w:rsid w:val="002A3B31"/>
    <w:rsid w:val="00314A5A"/>
    <w:rsid w:val="00592BB7"/>
    <w:rsid w:val="005D7D2F"/>
    <w:rsid w:val="00733075"/>
    <w:rsid w:val="007D3739"/>
    <w:rsid w:val="0099088C"/>
    <w:rsid w:val="009D0E10"/>
    <w:rsid w:val="00A725D7"/>
    <w:rsid w:val="00BE463D"/>
    <w:rsid w:val="00CB2FA3"/>
    <w:rsid w:val="00EB5510"/>
    <w:rsid w:val="00F140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F275"/>
  <w15:chartTrackingRefBased/>
  <w15:docId w15:val="{2DF4D0BA-233E-4EF9-938C-CF1E8CA6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5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A5A"/>
    <w:pPr>
      <w:ind w:left="720"/>
      <w:contextualSpacing/>
    </w:pPr>
  </w:style>
  <w:style w:type="character" w:styleId="CommentReference">
    <w:name w:val="annotation reference"/>
    <w:basedOn w:val="DefaultParagraphFont"/>
    <w:uiPriority w:val="99"/>
    <w:semiHidden/>
    <w:unhideWhenUsed/>
    <w:rsid w:val="00BE463D"/>
    <w:rPr>
      <w:sz w:val="16"/>
      <w:szCs w:val="16"/>
    </w:rPr>
  </w:style>
  <w:style w:type="paragraph" w:styleId="CommentText">
    <w:name w:val="annotation text"/>
    <w:basedOn w:val="Normal"/>
    <w:link w:val="CommentTextChar"/>
    <w:uiPriority w:val="99"/>
    <w:semiHidden/>
    <w:unhideWhenUsed/>
    <w:rsid w:val="00BE463D"/>
    <w:rPr>
      <w:sz w:val="20"/>
      <w:szCs w:val="20"/>
    </w:rPr>
  </w:style>
  <w:style w:type="character" w:customStyle="1" w:styleId="CommentTextChar">
    <w:name w:val="Comment Text Char"/>
    <w:basedOn w:val="DefaultParagraphFont"/>
    <w:link w:val="CommentText"/>
    <w:uiPriority w:val="99"/>
    <w:semiHidden/>
    <w:rsid w:val="00BE463D"/>
    <w:rPr>
      <w:sz w:val="20"/>
      <w:szCs w:val="20"/>
    </w:rPr>
  </w:style>
  <w:style w:type="paragraph" w:styleId="CommentSubject">
    <w:name w:val="annotation subject"/>
    <w:basedOn w:val="CommentText"/>
    <w:next w:val="CommentText"/>
    <w:link w:val="CommentSubjectChar"/>
    <w:uiPriority w:val="99"/>
    <w:semiHidden/>
    <w:unhideWhenUsed/>
    <w:rsid w:val="00BE463D"/>
    <w:rPr>
      <w:b/>
      <w:bCs/>
    </w:rPr>
  </w:style>
  <w:style w:type="character" w:customStyle="1" w:styleId="CommentSubjectChar">
    <w:name w:val="Comment Subject Char"/>
    <w:basedOn w:val="CommentTextChar"/>
    <w:link w:val="CommentSubject"/>
    <w:uiPriority w:val="99"/>
    <w:semiHidden/>
    <w:rsid w:val="00BE463D"/>
    <w:rPr>
      <w:b/>
      <w:bCs/>
      <w:sz w:val="20"/>
      <w:szCs w:val="20"/>
    </w:rPr>
  </w:style>
  <w:style w:type="paragraph" w:styleId="BalloonText">
    <w:name w:val="Balloon Text"/>
    <w:basedOn w:val="Normal"/>
    <w:link w:val="BalloonTextChar"/>
    <w:uiPriority w:val="99"/>
    <w:semiHidden/>
    <w:unhideWhenUsed/>
    <w:rsid w:val="00BE4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9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Lachezar Vasilev</cp:lastModifiedBy>
  <cp:revision>2</cp:revision>
  <dcterms:created xsi:type="dcterms:W3CDTF">2023-11-30T13:47:00Z</dcterms:created>
  <dcterms:modified xsi:type="dcterms:W3CDTF">2023-11-30T13:47:00Z</dcterms:modified>
</cp:coreProperties>
</file>