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8B" w:rsidRPr="00BF30AE" w:rsidRDefault="00E0568B" w:rsidP="00E0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30A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0568B" w:rsidRPr="0048460D" w:rsidRDefault="00E0568B" w:rsidP="00E05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постъпилите предложения</w:t>
      </w:r>
      <w:r w:rsidRPr="0048460D">
        <w:rPr>
          <w:rFonts w:ascii="Times New Roman" w:hAnsi="Times New Roman" w:cs="Times New Roman"/>
          <w:sz w:val="24"/>
          <w:szCs w:val="24"/>
        </w:rPr>
        <w:t xml:space="preserve"> при общественото обсъждане на проекта на </w:t>
      </w:r>
      <w:r w:rsidR="003158A0" w:rsidRPr="003158A0">
        <w:rPr>
          <w:rFonts w:ascii="Times New Roman" w:hAnsi="Times New Roman" w:cs="Times New Roman"/>
          <w:sz w:val="24"/>
          <w:szCs w:val="24"/>
        </w:rPr>
        <w:t xml:space="preserve">Наредба за изменение и допълнение на Наредба № 1 от </w:t>
      </w:r>
      <w:smartTag w:uri="urn:schemas-microsoft-com:office:smarttags" w:element="metricconverter">
        <w:smartTagPr>
          <w:attr w:name="ProductID" w:val="2006 г"/>
        </w:smartTagPr>
        <w:r w:rsidR="003158A0" w:rsidRPr="003158A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3158A0" w:rsidRPr="003158A0">
        <w:rPr>
          <w:rFonts w:ascii="Times New Roman" w:hAnsi="Times New Roman" w:cs="Times New Roman"/>
          <w:sz w:val="24"/>
          <w:szCs w:val="24"/>
        </w:rPr>
        <w:t>. за условията и реда за издаване и пускане в употреба на пощенски марки, на пощенски продукти и на специални пощенски печати и за изваждане от употреба на пощенски марки</w:t>
      </w:r>
      <w:r w:rsidRPr="0048460D">
        <w:rPr>
          <w:rFonts w:ascii="Times New Roman" w:hAnsi="Times New Roman" w:cs="Times New Roman"/>
          <w:sz w:val="24"/>
          <w:szCs w:val="24"/>
        </w:rPr>
        <w:t xml:space="preserve">, проведено в периода </w:t>
      </w:r>
      <w:r w:rsidR="003158A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0E68D2">
        <w:rPr>
          <w:rFonts w:ascii="Times New Roman" w:hAnsi="Times New Roman" w:cs="Times New Roman"/>
          <w:sz w:val="24"/>
          <w:szCs w:val="24"/>
        </w:rPr>
        <w:t>.</w:t>
      </w:r>
      <w:r w:rsidR="003158A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0E68D2">
        <w:rPr>
          <w:rFonts w:ascii="Times New Roman" w:hAnsi="Times New Roman" w:cs="Times New Roman"/>
          <w:sz w:val="24"/>
          <w:szCs w:val="24"/>
        </w:rPr>
        <w:t xml:space="preserve">.2023 г.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68D2">
        <w:rPr>
          <w:rFonts w:ascii="Times New Roman" w:hAnsi="Times New Roman" w:cs="Times New Roman"/>
          <w:sz w:val="24"/>
          <w:szCs w:val="24"/>
        </w:rPr>
        <w:t xml:space="preserve"> </w:t>
      </w:r>
      <w:r w:rsidR="003158A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0E68D2">
        <w:rPr>
          <w:rFonts w:ascii="Times New Roman" w:hAnsi="Times New Roman" w:cs="Times New Roman"/>
          <w:sz w:val="24"/>
          <w:szCs w:val="24"/>
        </w:rPr>
        <w:t>.</w:t>
      </w:r>
      <w:r w:rsidR="003158A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0E68D2">
        <w:rPr>
          <w:rFonts w:ascii="Times New Roman" w:hAnsi="Times New Roman" w:cs="Times New Roman"/>
          <w:sz w:val="24"/>
          <w:szCs w:val="24"/>
        </w:rPr>
        <w:t>.2023 г</w:t>
      </w:r>
      <w:r w:rsidRPr="0048460D">
        <w:rPr>
          <w:rFonts w:ascii="Times New Roman" w:hAnsi="Times New Roman" w:cs="Times New Roman"/>
          <w:sz w:val="24"/>
          <w:szCs w:val="24"/>
        </w:rPr>
        <w:t xml:space="preserve">. по реда на чл. 26, ал. 3 от Закона за нормативните актове </w:t>
      </w:r>
    </w:p>
    <w:tbl>
      <w:tblPr>
        <w:tblW w:w="15451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237"/>
        <w:gridCol w:w="2126"/>
        <w:gridCol w:w="4252"/>
      </w:tblGrid>
      <w:tr w:rsidR="00E0568B" w:rsidRPr="00AC1D0F" w:rsidTr="00521D6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End w:id="0"/>
          <w:p w:rsidR="00E0568B" w:rsidRPr="00816308" w:rsidRDefault="00E0568B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68B" w:rsidRPr="00AC1D0F" w:rsidRDefault="00E0568B" w:rsidP="00D36E25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Подател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68B" w:rsidRPr="00AC1D0F" w:rsidRDefault="00E0568B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Бележки/ Предложения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568B" w:rsidRPr="000D01AB" w:rsidRDefault="00E0568B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Приети/</w:t>
            </w:r>
          </w:p>
          <w:p w:rsidR="00E0568B" w:rsidRPr="000D01AB" w:rsidRDefault="00E0568B" w:rsidP="00D36E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неприети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8B" w:rsidRPr="000D01AB" w:rsidRDefault="00E0568B" w:rsidP="00D36E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Мотиви</w:t>
            </w:r>
          </w:p>
        </w:tc>
      </w:tr>
      <w:tr w:rsidR="00E0568B" w:rsidRPr="00AC1D0F" w:rsidTr="00521D60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8B" w:rsidRPr="00816308" w:rsidRDefault="00E0568B" w:rsidP="00D36E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0568B" w:rsidRPr="00633E24" w:rsidRDefault="00E0568B" w:rsidP="00D36E25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Бележки, постъпили на </w:t>
            </w:r>
            <w:r w:rsidR="00AC7CBA">
              <w:rPr>
                <w:rFonts w:ascii="Times New Roman" w:hAnsi="Times New Roman" w:cs="Times New Roman"/>
                <w:sz w:val="24"/>
                <w:szCs w:val="24"/>
              </w:rPr>
              <w:t xml:space="preserve">14 ноември 2023 г.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на Портала за обществени консултации от</w:t>
            </w:r>
          </w:p>
          <w:p w:rsidR="00E0568B" w:rsidRPr="00B437E3" w:rsidRDefault="00E0568B" w:rsidP="00D36E25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B4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Antarian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A1" w:rsidRPr="002B79A1" w:rsidRDefault="002B79A1" w:rsidP="002B79A1">
            <w:pPr>
              <w:pStyle w:val="Heading4"/>
              <w:spacing w:before="0" w:beforeAutospacing="0" w:after="0" w:afterAutospacing="0"/>
              <w:rPr>
                <w:color w:val="333333"/>
              </w:rPr>
            </w:pPr>
            <w:r w:rsidRPr="002B79A1">
              <w:rPr>
                <w:color w:val="333333"/>
              </w:rPr>
              <w:t>Промяна в чл.</w:t>
            </w:r>
            <w:r w:rsidR="00347B52">
              <w:rPr>
                <w:color w:val="333333"/>
              </w:rPr>
              <w:t xml:space="preserve"> </w:t>
            </w:r>
            <w:r w:rsidRPr="002B79A1">
              <w:rPr>
                <w:color w:val="333333"/>
              </w:rPr>
              <w:t>9</w:t>
            </w:r>
          </w:p>
          <w:p w:rsidR="00AC7CBA" w:rsidRPr="00AC7CBA" w:rsidRDefault="002B79A1" w:rsidP="002B79A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="00AC7CBA"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В чл.</w:t>
            </w:r>
            <w:r w:rsidR="00347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="00AC7CBA"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9 се добавя нова ал. 7 със следния текст:</w:t>
            </w:r>
          </w:p>
          <w:p w:rsidR="00AC7CBA" w:rsidRPr="00AC7CBA" w:rsidRDefault="00AC7CBA" w:rsidP="000046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"При утвърждаване на проектите за пощенски издания, специализирания експертен съвет по </w:t>
            </w:r>
            <w:proofErr w:type="spellStart"/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маркоиздаване</w:t>
            </w:r>
            <w:proofErr w:type="spellEnd"/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стриктно се ръководи от фактологията отразяваща темата на изданието. Не се допускат художествени интерпретации на имена, титли, звания и длъжности на личности към датата на пускане в употреба на изданието."</w:t>
            </w:r>
          </w:p>
          <w:p w:rsidR="00DD33D9" w:rsidRDefault="00AC7CBA" w:rsidP="0000466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004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Мотиви: </w:t>
            </w:r>
          </w:p>
          <w:p w:rsidR="00E0568B" w:rsidRPr="00DD33D9" w:rsidRDefault="00AC7CBA" w:rsidP="0061347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Поще</w:t>
            </w:r>
            <w:r w:rsidR="00127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н</w:t>
            </w:r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ската марка е знак за цена за заплащане на пощенски услуги, който се поставя върху пощенски пратки като доказателство за платена цена на пощенски услуги. Това налага коректното изписване на имена, титли, звания и длъжности при изобразяване на личности. С предложената промяна ще бъде избегната фактологична грешка от типа на грешно изписаното звание на полковник Дрангов в пощенското издание от 2023</w:t>
            </w:r>
            <w:r w:rsidR="00127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г. „150 години от рождението на Борис Дрангов“, в което същия е изписан със звание "подполковник". Подобен казус съществува и в изданието от 2008 г. "90 години от рождението на капитан Димитър </w:t>
            </w:r>
            <w:proofErr w:type="spellStart"/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Списаревски</w:t>
            </w:r>
            <w:proofErr w:type="spellEnd"/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", в което поручик Димитър </w:t>
            </w:r>
            <w:proofErr w:type="spellStart"/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Списаревски</w:t>
            </w:r>
            <w:proofErr w:type="spellEnd"/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е изписан правилно с посмъртно присъденото му звание към 2008</w:t>
            </w:r>
            <w:r w:rsidR="00127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г. "капитан".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68B" w:rsidRPr="001E47FA" w:rsidRDefault="001E47FA" w:rsidP="00D36E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Приема се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B" w:rsidRDefault="00531C14" w:rsidP="00D36E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Отразено в проекта</w:t>
            </w:r>
            <w:r w:rsidR="003D7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D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корекция </w:t>
            </w:r>
          </w:p>
          <w:p w:rsidR="003D7EBF" w:rsidRDefault="003D7EB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  <w:p w:rsidR="003D7EBF" w:rsidRPr="003D7EBF" w:rsidRDefault="003D7E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При утвърждаване на проектите за пощенски издания, специализирания експертен съвет по </w:t>
            </w:r>
            <w:proofErr w:type="spellStart"/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маркоиздаване</w:t>
            </w:r>
            <w:proofErr w:type="spellEnd"/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спазва</w:t>
            </w:r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фактологията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, свързана с </w:t>
            </w:r>
            <w:r w:rsidRPr="00AC7C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темата на изданието. </w:t>
            </w:r>
          </w:p>
        </w:tc>
      </w:tr>
      <w:tr w:rsidR="0000466B" w:rsidRPr="00AC1D0F" w:rsidTr="00521D60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6B" w:rsidRPr="00D566A9" w:rsidRDefault="00D566A9" w:rsidP="00D56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A71" w:rsidRPr="00633E24" w:rsidRDefault="00825A71" w:rsidP="00825A71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Бележки, постъпили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ноември 2023 г.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на Портала за обществени консултации от</w:t>
            </w:r>
          </w:p>
          <w:p w:rsidR="0000466B" w:rsidRPr="00633E24" w:rsidRDefault="00825A71" w:rsidP="00825A71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Antarian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66B" w:rsidRPr="0000466B" w:rsidRDefault="0000466B" w:rsidP="00347B52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004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Промяна на предложената промяна на чл.</w:t>
            </w:r>
            <w:r w:rsidR="00347B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004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15</w:t>
            </w:r>
            <w:r w:rsidR="00347B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,</w:t>
            </w:r>
            <w:r w:rsidRPr="00004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 xml:space="preserve"> ал.</w:t>
            </w:r>
            <w:r w:rsidR="00347B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004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1</w:t>
            </w:r>
          </w:p>
          <w:p w:rsidR="0000466B" w:rsidRPr="0000466B" w:rsidRDefault="0000466B" w:rsidP="000046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004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Моля, да бъде коригирано предложението за промяна на чл.</w:t>
            </w:r>
            <w:r w:rsidR="00127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004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15 ал.</w:t>
            </w:r>
            <w:r w:rsidR="00127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004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 поради липса на смисъл в сегашната корекция.</w:t>
            </w:r>
          </w:p>
          <w:p w:rsidR="00DD33D9" w:rsidRDefault="0000466B" w:rsidP="0000466B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004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Мотиви: </w:t>
            </w:r>
          </w:p>
          <w:p w:rsidR="0000466B" w:rsidRPr="00AC7CBA" w:rsidRDefault="0000466B" w:rsidP="000046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004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Чл.</w:t>
            </w:r>
            <w:r w:rsidR="00127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004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15 ал.</w:t>
            </w:r>
            <w:r w:rsidR="00127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004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 с предложената промяна би изглеждала така: "Пощенският оператор със задължение за извършване на универсалната пощенска услуга отпечатва пощенските марки в срок и пощенските продукти в срок до 30 дни, считано от датата на</w:t>
            </w:r>
            <w:r w:rsidR="00531C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0046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получаване на проектите."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0466B" w:rsidRPr="006F7290" w:rsidRDefault="001E47FA" w:rsidP="00D36E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Приема се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6B" w:rsidRPr="0048460D" w:rsidRDefault="00531C14" w:rsidP="00D36E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81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Отразено в проекта</w:t>
            </w:r>
          </w:p>
        </w:tc>
      </w:tr>
      <w:tr w:rsidR="00825A71" w:rsidRPr="00AC1D0F" w:rsidTr="00521D60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71" w:rsidRPr="00D566A9" w:rsidRDefault="00D566A9" w:rsidP="00D56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A71" w:rsidRPr="00633E24" w:rsidRDefault="00825A71" w:rsidP="00825A71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Бележки, постъпили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ноември 2023 г.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на Портала за обществени консултации от</w:t>
            </w:r>
          </w:p>
          <w:p w:rsidR="00825A71" w:rsidRPr="00633E24" w:rsidRDefault="00825A71" w:rsidP="00825A71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Antarian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A71" w:rsidRPr="00825A71" w:rsidRDefault="00825A71" w:rsidP="00127D93">
            <w:pPr>
              <w:pStyle w:val="Heading4"/>
              <w:spacing w:before="0" w:beforeAutospacing="0" w:after="0" w:afterAutospacing="0"/>
              <w:jc w:val="both"/>
              <w:rPr>
                <w:color w:val="333333"/>
              </w:rPr>
            </w:pPr>
            <w:r w:rsidRPr="00825A71">
              <w:rPr>
                <w:color w:val="333333"/>
              </w:rPr>
              <w:t>Промяна в чл. 19</w:t>
            </w:r>
          </w:p>
          <w:p w:rsidR="00825A71" w:rsidRPr="00825A71" w:rsidRDefault="00825A71" w:rsidP="00DD33D9">
            <w:pPr>
              <w:pStyle w:val="NormalWeb"/>
              <w:spacing w:before="0" w:beforeAutospacing="0" w:after="0" w:afterAutospacing="0" w:line="210" w:lineRule="atLeast"/>
              <w:jc w:val="both"/>
              <w:rPr>
                <w:color w:val="333333"/>
              </w:rPr>
            </w:pPr>
            <w:r w:rsidRPr="00825A71">
              <w:rPr>
                <w:color w:val="333333"/>
              </w:rPr>
              <w:t>Моля, в чл. 19 след изречението "Информация за пусканите в употреба пощенски марки, пощенски продукти и специални пощенски печати се публикува на страницата на Министерството на транспорта, информационните технологии и съобщенията в интернет и в пощенските служби на пощенския оператор със задължение за извършване на универсалната пощенска услуга." да бъде добавено н</w:t>
            </w:r>
            <w:r>
              <w:rPr>
                <w:color w:val="333333"/>
              </w:rPr>
              <w:t>ово изречение със следното съдъ</w:t>
            </w:r>
            <w:r w:rsidRPr="00825A71">
              <w:rPr>
                <w:color w:val="333333"/>
              </w:rPr>
              <w:t>ржание: "Информацията да се публикува поне 7 календарни дни преди пускането в употреба. Същата да включва минимум следната информация: дата и час на пускането в употреба, тема, вид, размер, перфорация (при нужда), техника на отпечатване, вид хартия, номинална стойност, тираж, художник и изображение на проекта на изданието надпис "Образец"."</w:t>
            </w:r>
          </w:p>
          <w:p w:rsidR="00DD33D9" w:rsidRDefault="00825A71" w:rsidP="00DD33D9">
            <w:pPr>
              <w:pStyle w:val="NormalWeb"/>
              <w:spacing w:before="0" w:beforeAutospacing="0" w:after="0" w:afterAutospacing="0" w:line="210" w:lineRule="atLeast"/>
              <w:jc w:val="both"/>
              <w:rPr>
                <w:rStyle w:val="Strong"/>
                <w:color w:val="333333"/>
              </w:rPr>
            </w:pPr>
            <w:r w:rsidRPr="00825A71">
              <w:rPr>
                <w:rStyle w:val="Strong"/>
                <w:color w:val="333333"/>
              </w:rPr>
              <w:t>Мотиви: </w:t>
            </w:r>
          </w:p>
          <w:p w:rsidR="00825A71" w:rsidRPr="00825A71" w:rsidRDefault="00825A71" w:rsidP="00DD33D9">
            <w:pPr>
              <w:pStyle w:val="NormalWeb"/>
              <w:spacing w:before="0" w:beforeAutospacing="0" w:after="0" w:afterAutospacing="0" w:line="210" w:lineRule="atLeast"/>
              <w:jc w:val="both"/>
              <w:rPr>
                <w:color w:val="333333"/>
              </w:rPr>
            </w:pPr>
            <w:r w:rsidRPr="00825A71">
              <w:rPr>
                <w:color w:val="333333"/>
              </w:rPr>
              <w:t>Предложената промяна би предотвратила ситуации с некоре</w:t>
            </w:r>
            <w:r w:rsidR="00127D93">
              <w:rPr>
                <w:color w:val="333333"/>
              </w:rPr>
              <w:t>к</w:t>
            </w:r>
            <w:r w:rsidRPr="00825A71">
              <w:rPr>
                <w:color w:val="333333"/>
              </w:rPr>
              <w:t xml:space="preserve">тно или грешно изработени издания, като предварително същите могат да бъдат огледани от филателисти, художници и други членове на гражданското </w:t>
            </w:r>
            <w:r w:rsidRPr="00825A71">
              <w:rPr>
                <w:color w:val="333333"/>
              </w:rPr>
              <w:lastRenderedPageBreak/>
              <w:t>общество и при нужда да подадат сигнал за фактологична или друг вид грешка. Пресен пример за това е грешката с пощенско издание от 2022</w:t>
            </w:r>
            <w:r w:rsidR="00127D93">
              <w:rPr>
                <w:color w:val="333333"/>
              </w:rPr>
              <w:t xml:space="preserve"> </w:t>
            </w:r>
            <w:r w:rsidRPr="00825A71">
              <w:rPr>
                <w:color w:val="333333"/>
              </w:rPr>
              <w:t xml:space="preserve"> г. „125 години от рождението на Иван Милев и Иван Пенков и 80 години Съюз на българските художници“, при което ако съществуваше въпросната промяна, нямаше да се случи.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5A71" w:rsidRPr="006F7290" w:rsidRDefault="001E47FA" w:rsidP="00D36E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 се приема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1" w:rsidRPr="00F67C43" w:rsidRDefault="003D7EBF" w:rsidP="004B73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Практиката на МТС за по-голяма част от изданията</w:t>
            </w:r>
            <w:r w:rsidR="008F1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F1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  <w:proofErr w:type="spellEnd"/>
            <w:r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 публикува информация </w:t>
            </w:r>
            <w:r w:rsidR="004B73FE"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 дни преди пускане в употреба на изданието. Изключения са изданията при които има тържествено пускане в употреба и когато организацията на събитията включва и страната направила предложението. Такива издания са – годишни от дипломатически отношения, такива свързани с културни чествания и др.  </w:t>
            </w:r>
          </w:p>
          <w:p w:rsidR="004B73FE" w:rsidRPr="00F67C43" w:rsidRDefault="004B73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Публикуването на „Образец“ на изданието би било предпоставка за злоупотреби.</w:t>
            </w:r>
            <w:r w:rsidR="005761F5"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състава на Специализирания експертен съвет по </w:t>
            </w:r>
            <w:proofErr w:type="spellStart"/>
            <w:r w:rsidR="005761F5"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маркоиздаване</w:t>
            </w:r>
            <w:proofErr w:type="spellEnd"/>
            <w:r w:rsidR="005761F5"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 включени видни български творци, културолог – историк, а за част от изданията са привличани и консултанти. Допускането на технологични грешки са изключения, а не практика.</w:t>
            </w:r>
          </w:p>
        </w:tc>
      </w:tr>
      <w:tr w:rsidR="00825A71" w:rsidRPr="00AC1D0F" w:rsidTr="00521D60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A71" w:rsidRPr="00D566A9" w:rsidRDefault="00D566A9" w:rsidP="00D566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5A71" w:rsidRPr="00633E24" w:rsidRDefault="00825A71" w:rsidP="00825A71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Бележки, постъпили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ноември 2023 г.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на Портала за обществени консултации от</w:t>
            </w:r>
          </w:p>
          <w:p w:rsidR="00825A71" w:rsidRPr="00633E24" w:rsidRDefault="00825A71" w:rsidP="00825A71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Antarian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A71" w:rsidRPr="00825A71" w:rsidRDefault="00825A71" w:rsidP="00127D93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Промяна в параграф 1 т.</w:t>
            </w:r>
            <w:r w:rsidR="00127D9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825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1 на Допълнителната разпоредба</w:t>
            </w:r>
          </w:p>
          <w:p w:rsidR="00825A71" w:rsidRPr="00825A71" w:rsidRDefault="00825A71" w:rsidP="00825A7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В параграф 1 т.</w:t>
            </w:r>
            <w:r w:rsidR="00127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 на Допълнителната разпоредба, изречението "Пощенската марка задължително съдържа надписите "България", "</w:t>
            </w:r>
            <w:proofErr w:type="spellStart"/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Bulgaria</w:t>
            </w:r>
            <w:proofErr w:type="spellEnd"/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", "Поща", име на автора на проекта и годината на издаване." да бъде изменено по следния начин:</w:t>
            </w:r>
          </w:p>
          <w:p w:rsidR="00825A71" w:rsidRPr="00825A71" w:rsidRDefault="00825A71" w:rsidP="00825A7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"Пощенската марка задължително съдържа надписите "България", "</w:t>
            </w:r>
            <w:proofErr w:type="spellStart"/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Bulgaria</w:t>
            </w:r>
            <w:proofErr w:type="spellEnd"/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", "Поща", име на автора на проекта и годината на издаване, а при пощенските марки изобразяващи годишнини - и годишния времеви период на събитието."</w:t>
            </w:r>
          </w:p>
          <w:p w:rsidR="00DD33D9" w:rsidRDefault="00825A71" w:rsidP="00825A71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 </w:t>
            </w:r>
            <w:r w:rsidRPr="00825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Мотиви:</w:t>
            </w:r>
          </w:p>
          <w:p w:rsidR="00825A71" w:rsidRPr="00825A71" w:rsidRDefault="00825A71" w:rsidP="00825A7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bg-BG"/>
              </w:rPr>
              <w:t> </w:t>
            </w: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Предложената промяна дава възможност в текущата година да бъде валидира годишнина която е била с период завършващ през  предходната или друга година без да се наруши фактологията на изданието или разпоредбата на текущия параграф 1 т.</w:t>
            </w:r>
            <w:r w:rsidR="006F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 на Допълнителната разпоредба. </w:t>
            </w:r>
          </w:p>
          <w:p w:rsidR="00825A71" w:rsidRPr="00825A71" w:rsidRDefault="00825A71" w:rsidP="00825A7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Например през 2023</w:t>
            </w:r>
            <w:r w:rsidR="006F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г. бяха валидирани издания от Тематичния план за 2022</w:t>
            </w:r>
            <w:r w:rsidR="006F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г. </w:t>
            </w:r>
            <w:r w:rsidR="006F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в</w:t>
            </w: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три от тях е нарушена разпоредбата на параграф 1 т.</w:t>
            </w:r>
            <w:r w:rsidR="006F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 на Допълнителната разпоредба като за година на издаване беше отбелязана 2022</w:t>
            </w:r>
            <w:r w:rsidR="006F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г. а реално изданията са издадени (валидирани) през 2023</w:t>
            </w:r>
            <w:r w:rsidR="006F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г. Това са:</w:t>
            </w:r>
          </w:p>
          <w:p w:rsidR="00825A71" w:rsidRPr="00825A71" w:rsidRDefault="00825A71" w:rsidP="00825A7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lastRenderedPageBreak/>
              <w:t xml:space="preserve">- „125 години от рождението на Асен </w:t>
            </w:r>
            <w:proofErr w:type="spellStart"/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Разцветнико</w:t>
            </w:r>
            <w:r w:rsidR="00EB2E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в</w:t>
            </w:r>
            <w:proofErr w:type="spellEnd"/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"</w:t>
            </w:r>
          </w:p>
          <w:p w:rsidR="00825A71" w:rsidRPr="00825A71" w:rsidRDefault="00825A71" w:rsidP="00825A7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- „150 години от рождението на Борис Дрангов“</w:t>
            </w:r>
          </w:p>
          <w:p w:rsidR="00825A71" w:rsidRPr="00825A71" w:rsidRDefault="00825A71" w:rsidP="00825A7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- „200 години от рождението на Добри Чинтулов“</w:t>
            </w:r>
          </w:p>
          <w:p w:rsidR="00825A71" w:rsidRPr="00825A71" w:rsidRDefault="00825A71" w:rsidP="00825A7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825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Предложената промяна би решила и проблема с валидирано издание „110 години от създаването на Военна академия „Георги Стойков Раковски“, където годината на издаване (валидиране) е 2023 г., но годишнината е с крайна година на периода 2022 г. В случая независимо чия е била инициативата за пощенското издание, същото така изобразено е с грешна фактология.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25A71" w:rsidRPr="00F67C43" w:rsidRDefault="005761F5" w:rsidP="00D36E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 се приема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1" w:rsidRPr="0048460D" w:rsidRDefault="00006293" w:rsidP="00EB2E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Цитираните издания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във връзка с които е направено предложението,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 реализирани в условия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безпрецедентно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спиране на дейността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пускането в употреба на пощенски марки за повече от половин година и 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изпълнението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Тематичния план в пълния му обем за по-малко от четири месеца. Този прецедент в дългогодишната история на българското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маркоиздаване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е основание за допълнение в задължителните текстове  в пощенската марка.</w:t>
            </w:r>
          </w:p>
        </w:tc>
      </w:tr>
      <w:tr w:rsidR="00E0568B" w:rsidRPr="00AC1D0F" w:rsidTr="00DD33D9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68B" w:rsidRDefault="00D566A9" w:rsidP="00CF19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3477" w:rsidRPr="00633E24" w:rsidRDefault="00613477" w:rsidP="00CF19EA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Бележки,</w:t>
            </w:r>
            <w:r w:rsidR="00D9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постъпили </w:t>
            </w:r>
            <w:r w:rsidR="00521D60">
              <w:rPr>
                <w:rFonts w:ascii="Times New Roman" w:hAnsi="Times New Roman" w:cs="Times New Roman"/>
                <w:sz w:val="24"/>
                <w:szCs w:val="24"/>
              </w:rPr>
              <w:t xml:space="preserve">с писмо с вх. № 11-02-240/01.12.2023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„Български пощи“ ЕАД</w:t>
            </w:r>
          </w:p>
          <w:p w:rsidR="00E0568B" w:rsidRPr="00633E24" w:rsidRDefault="00E0568B" w:rsidP="00CF19EA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0568B" w:rsidRDefault="00DD33D9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66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В </w:t>
            </w:r>
            <w:r w:rsidR="00D566A9" w:rsidRPr="00D566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чл. 2 се правят следните изменения и допълнения:</w:t>
            </w:r>
          </w:p>
          <w:p w:rsidR="00D566A9" w:rsidRDefault="00D566A9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6A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Досегашната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ал. 7 става ал. 8 и в нея се </w:t>
            </w:r>
            <w:r w:rsidR="00015DF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заличават думи</w:t>
            </w:r>
            <w:r w:rsidR="00383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 „в блок-лист, в карнетка“</w:t>
            </w:r>
          </w:p>
          <w:p w:rsidR="003835A0" w:rsidRDefault="003835A0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5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Мотиви:</w:t>
            </w:r>
          </w:p>
          <w:p w:rsidR="003835A0" w:rsidRDefault="003835A0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835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изпълнение на чл.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71, от ЗПУ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изм. – ДВ, бр. 88 от 2005 г., бр. 37 от 2006 г., изм. и доп., бр. 87 от 2009 г., в сила от 3.11.2009 г., изм., бр. 102 от 2010 г., в сила от 30.12.2010 г., бр. 31 от 2022 г., бр. 66 от 2023 г., в сила от 5.08.2023 г.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министъра на транспорта и съобщенията издава и пуска в употреба пощенски марки, пощенски продукти – илюстровани пощенски карти и пощенски пликове, с отпечатан върху тях </w:t>
            </w:r>
            <w:r w:rsidR="001253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специален знак за ценна за заплащане на пощенската услуга и специални пощенски печати въз основа на годишен тематичен план.</w:t>
            </w:r>
          </w:p>
          <w:p w:rsidR="0012539D" w:rsidRDefault="0012539D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изпълнение на чл. 3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 Наредба № 1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изм. и доп., - ДВ, бр. 11 от 2012 г., изм., бр. 37 от 2016 г.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Годишният тематичен план съдържа наименования на темите, вид на изданията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пощенска марка, 2 пощенски марки, 4 пощенски марки, пощенска марка с винетка, 1 или 2 пощенски марки в блок, илюстрован пощенски плик</w:t>
            </w:r>
            <w:r w:rsidR="00EB2E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илюстрована пощенска карта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срок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месец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 пускане в употреба. Видът на изданието се определя от СЕС по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маркоиздаване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а начинът на отпечатване се определя от пощенския оператор.</w:t>
            </w:r>
          </w:p>
          <w:p w:rsidR="0012539D" w:rsidRDefault="0012539D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„Блок-лист“ не е вид издание, а начин на отпечатване на изданието. При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каталогиране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се създава каталожен номер на изданието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 w:rsidR="00C15B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къс пощенска марка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 w:rsidR="00C15B8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без значение по какъв начин е презентирана </w:t>
            </w:r>
            <w:r w:rsidR="00C15B88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proofErr w:type="spellStart"/>
            <w:r w:rsidR="00C15B88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отпечатана</w:t>
            </w:r>
            <w:proofErr w:type="spellEnd"/>
            <w:r w:rsidR="00C15B88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</w:p>
          <w:p w:rsidR="00C15B88" w:rsidRPr="00C15B88" w:rsidRDefault="00C15B88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„Карнетка“ не е издание, а продукт без номинална стойност, изработен с рекламна или търговска цел или за филателни и колекционерски цели, в който се влага отпечатано издание. Министъра на транспорта и съобщенията не е издател на презентационни или филателни продукти.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0568B" w:rsidRDefault="00006293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 се приема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8" w:rsidRDefault="00455838" w:rsidP="00455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Понятията блок-лист и карнетка съществуват в българското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маркоиздаване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самото му създаване. В настоящата наредба никъде не е упоменато, че това са самостоятелни издания, въпреки, че същите се разпространяват като такива в своята цялост, като много често марките в тях не могат да бъдат разкъ</w:t>
            </w:r>
            <w:r w:rsidR="009F2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свани и купувани самостоятелно.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Карнетката на тема 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Европа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например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 продавана в своята цялост с различен брой пощенски марки, които са с променен размер, различен от утвърдения от издателя проект на пощенска марка</w:t>
            </w:r>
            <w:r w:rsidR="00C567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568B" w:rsidRDefault="00455838" w:rsidP="00B03C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Съгласно ред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начин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пускан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употреба на пощенски марки и пощенски продукти, оператор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ът със задължение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извършване на 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ниверсалната пощенска услуга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определя начина на </w:t>
            </w:r>
            <w:r w:rsidR="007B2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технологично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отпечат</w:t>
            </w:r>
            <w:r w:rsidR="00B03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ване на изданията, съобразен с полиграфската база и разходите, свързани с производствения процес. Не се допускат художествени интерпретации около вече утвърдения проект, както и презентирането му в друга цялост (в блок-листа с или без винетки, допълнителни текстове и знаци)</w:t>
            </w:r>
            <w:r w:rsidR="00EB2E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03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без той да бъде утвърден от издателя. </w:t>
            </w:r>
          </w:p>
          <w:p w:rsidR="00B03C58" w:rsidRDefault="00B03C58" w:rsidP="00B03C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Карнетката може да съдържа различен брой пощенски марки без винетки, освен в случая, когато те са утвърдени от издателя, като размерът на марките трябва да отговаря на размера на вече утвърдения проект. Редно е оформлението на карнетката да се възлага на автора на изданието, като по-този начин ще бъде спазена творческата цялост</w:t>
            </w:r>
            <w:r w:rsidR="003D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неимуществените му авторски права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93259" w:rsidRPr="00AC1D0F" w:rsidTr="00DD33D9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259" w:rsidRDefault="00793259" w:rsidP="00CF19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3259" w:rsidRPr="00633E24" w:rsidRDefault="00793259" w:rsidP="00CF19EA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Бележки,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постъпили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писмо с вх. № 11-02-240/01.12.2023 г. от „Български пощи“ ЕАД</w:t>
            </w:r>
          </w:p>
          <w:p w:rsidR="00793259" w:rsidRPr="00633E24" w:rsidRDefault="00793259" w:rsidP="00CF19EA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F19EA" w:rsidRDefault="00CF19EA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566A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 чл. 2 се правят следните изменения и допълнения:</w:t>
            </w:r>
          </w:p>
          <w:p w:rsidR="00793259" w:rsidRDefault="00CF19EA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F19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Досегашната ал. 8 става ал. 9 и в нея след думите „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начинът на“ се добавя „технологично отпечатване“, след думата „изданията“ добавения „вид на печата“ се заменя с „техника на отпечатване“, след „офсет/дигитален“ се добавя „печат“, след „вид на перфорацията“, думата „размер“ се заменя с „формат“, след думата „листата“ се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заличава текстът „малки или големи и съдържанието на марките в тях“</w:t>
            </w:r>
          </w:p>
          <w:p w:rsidR="00CF19EA" w:rsidRDefault="00CF19EA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5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Мотиви:</w:t>
            </w:r>
          </w:p>
          <w:p w:rsidR="00CF19EA" w:rsidRDefault="00E0091B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Необходимо е спазването на коректната терминология.</w:t>
            </w:r>
          </w:p>
          <w:p w:rsidR="00E0091B" w:rsidRDefault="00CF3801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Конкретен размер на листата за отпечатване не се подава. Информацията, която може да бъде подадена по отношение но формата на листа, е в случаите когато пощенският оператор предлага разновидност на отпечатване.</w:t>
            </w:r>
          </w:p>
          <w:p w:rsidR="00CF3801" w:rsidRPr="00CF19EA" w:rsidRDefault="00CF3801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Броя на марките в големите листа може да бъде подаден за информация на министъра на транспорта и съобщенията, едва след предаване на окончателния проект на пощенската марка, изготвянето на електронен монтаж за отпечатване от предпечатната подготовка и изготвянето на техническа поръчка, от избраната от пощенския оператор печатница. Всеки отделен проект на пощенска марка е с различен размер, определен от техническите изисквания на печатницата. Разпределението на броя марки в един лист се конкретизира от размера на марката и белите полета на листа, вариращи според техническите</w:t>
            </w:r>
            <w:r w:rsidR="00CC2C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009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въз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можности на машините за отпечатване и перфориране на марките.</w:t>
            </w:r>
            <w:r w:rsidR="00CC2C5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Броя на марките в големите листа не </w:t>
            </w:r>
            <w:r w:rsidR="005009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подлежи на възлагане от страна на министъра на транспорта и съобщенията. Отпечатването е регламентирано в „Инструкция за реда на отпечатване и контрол върху отпечатване на пощенски марки и пощенски продукти, тяхното съхранение, отпускане, снабдяване, продажба и изтегляне от пощенската мрежа“.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3259" w:rsidRDefault="0046009A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Приема се частично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D" w:rsidRDefault="002024DD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Приетите предложения са отразени в проекта.</w:t>
            </w:r>
          </w:p>
          <w:p w:rsidR="00793259" w:rsidRDefault="002024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наше мнение, д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умата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е целесъобразно да замени действащия термин „размер“. Замяната е възможно </w:t>
            </w:r>
            <w:r w:rsidR="008F1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създаде объркване, защото форматът 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 различна смислова натовареност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5C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  <w:r w:rsidR="003D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 отнася до формата: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кръгъл, 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правоъгълен, квадратен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D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или до формата на съществуване (напр. електронен формат).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Същевременно, р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азмерът точно и ясно задава параметрите на малкия и големия – лист.</w:t>
            </w:r>
          </w:p>
        </w:tc>
      </w:tr>
      <w:tr w:rsidR="005009D6" w:rsidRPr="00AC1D0F" w:rsidTr="00DD33D9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9D6" w:rsidRDefault="005009D6" w:rsidP="00500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  <w:p w:rsidR="005009D6" w:rsidRDefault="005009D6" w:rsidP="00CF19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009D6" w:rsidRPr="00633E24" w:rsidRDefault="005009D6" w:rsidP="005009D6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Бележки,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постъпили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писмо с вх. № 11-02-240/01.12.2023 г. от „Български пощи“ ЕАД</w:t>
            </w:r>
          </w:p>
          <w:p w:rsidR="005009D6" w:rsidRPr="00633E24" w:rsidRDefault="005009D6" w:rsidP="00CF19EA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009D6" w:rsidRDefault="005009D6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 чл. 9</w:t>
            </w:r>
          </w:p>
          <w:p w:rsidR="005009D6" w:rsidRPr="00810DA5" w:rsidRDefault="005009D6" w:rsidP="00843A9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10D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 създаденат</w:t>
            </w:r>
            <w:r w:rsidR="00843A99" w:rsidRPr="00810D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а </w:t>
            </w:r>
            <w:r w:rsidRPr="00810D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нова</w:t>
            </w:r>
            <w:r w:rsidR="00843A99" w:rsidRPr="00810DA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ал. 2 се правят следните изменения:</w:t>
            </w:r>
          </w:p>
          <w:p w:rsidR="00843A99" w:rsidRDefault="00843A99" w:rsidP="00843A9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 решение на Специализирания експертен съвет по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маркоиздаване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авторите на проекти могат да бъдат определяне и чрез организиране на конкурси за изработка на проекти за пощенски марки, пощенски продукти и специални пощенски печати.</w:t>
            </w:r>
            <w:r w:rsidR="00810D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Обявата за конкурса се публикува на интернет страницата на Министерството на транспорта и съобщенията. Победителят</w:t>
            </w:r>
            <w:r w:rsidR="00FD5C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</w:t>
            </w:r>
            <w:r w:rsidR="00810D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конкурса се определя от Специализирания експертен съвет по </w:t>
            </w:r>
            <w:proofErr w:type="spellStart"/>
            <w:r w:rsidR="00810D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маркоиздаване</w:t>
            </w:r>
            <w:proofErr w:type="spellEnd"/>
            <w:r w:rsidR="00810D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“.</w:t>
            </w:r>
          </w:p>
          <w:p w:rsidR="00810DA5" w:rsidRDefault="00810DA5" w:rsidP="00810DA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5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Мотиви:</w:t>
            </w:r>
          </w:p>
          <w:p w:rsidR="00810DA5" w:rsidRDefault="00810DA5" w:rsidP="00810DA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изпълнение на чл. 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действащата Наредба № 1, пощенските марки, пощенските продукти и специалните пощенски печати се изработват по приети от Специализирания експертен съвет по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маркоиздаване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10DA5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проекти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художници.</w:t>
            </w:r>
          </w:p>
          <w:p w:rsidR="00810DA5" w:rsidRDefault="00810DA5" w:rsidP="00810DA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Конкурсите се обяв</w:t>
            </w:r>
            <w:r w:rsidR="00C968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яват за изготвяне на проекти за издание. Проектът става издание, след неговото утвърждаване и отпечатване на база изготвения проект.</w:t>
            </w:r>
          </w:p>
          <w:p w:rsidR="00C968DA" w:rsidRDefault="00C968DA" w:rsidP="00810DA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ЗПУ не фигурира понятието „пощенско-филателно издание“, поради тази причина се налага конкретизиране на текста, в съответствие с текстовете, описани в закона.</w:t>
            </w:r>
          </w:p>
          <w:p w:rsidR="00C968DA" w:rsidRPr="00810DA5" w:rsidRDefault="00C968DA" w:rsidP="00810DA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Филателните продукти се изработват на база отпечатаните издания и се предлагат в зависимост от нуждите и търсенето на филателния и колекционерския пазар.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009D6" w:rsidRDefault="0046009A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се приема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D6" w:rsidRDefault="003E7E0C" w:rsidP="004600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Пощенско-филателно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издание“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 събирателно понятие за всяко едно пощенско издание (марка, плик, карта и</w:t>
            </w:r>
            <w:r w:rsidR="00F6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пуснат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употреба от министъра на транспорта и съобщенията, предназначено за 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заплащане на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цена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пощенската услуга и 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46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колекционерска дейност.</w:t>
            </w:r>
          </w:p>
          <w:p w:rsidR="0046009A" w:rsidRDefault="0046009A" w:rsidP="004600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всички понятия, отнасящи се до пускането в употреба на пощенски марки и пощенски продукти са посочени в закона (в ЗПУ няма понятието и пощенска марка в блок). Редът и начина на пускане в употреба на пощенски марки, на пощенски продукти и на специални пощенски печати е уреден с Наредба № 1.</w:t>
            </w:r>
          </w:p>
          <w:p w:rsidR="0046009A" w:rsidRDefault="0046009A" w:rsidP="00EB6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Понятието 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пощенско-филателно издание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включено в 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допълнителните разпоредби на Наредбата.</w:t>
            </w:r>
          </w:p>
        </w:tc>
      </w:tr>
      <w:tr w:rsidR="00C968DA" w:rsidRPr="00AC1D0F" w:rsidTr="00DD33D9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8DA" w:rsidRDefault="00D844EB" w:rsidP="00500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44EB" w:rsidRPr="00633E24" w:rsidRDefault="00D844EB" w:rsidP="00D844EB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Бележки,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постъпили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писмо с вх. № 11-02-240/01.12.2023 г. от „Български пощи“ ЕАД</w:t>
            </w:r>
          </w:p>
          <w:p w:rsidR="00C968DA" w:rsidRPr="00633E24" w:rsidRDefault="00C968DA" w:rsidP="005009D6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C968DA" w:rsidRDefault="00D844EB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Чл. 11 се изменя така:</w:t>
            </w:r>
          </w:p>
          <w:p w:rsidR="00D844EB" w:rsidRDefault="00D844EB" w:rsidP="001C0C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Чл. 11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Утвърдените проекти на пощенски марки и на пощенски продукти, заедно с техническия носител и декларация </w:t>
            </w:r>
            <w:r w:rsidR="00E54C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автора</w:t>
            </w:r>
            <w:r w:rsidR="00C14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че проектът е единствен се предават за отпечатване от оправомощените служители от министерството на транспорта и съобщенията на оправомощените служители на пощенския оператор със задължение за извършване на</w:t>
            </w:r>
            <w:r w:rsidR="001C0C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универсалната пощенска услуга с приемо-предавателен протокол и </w:t>
            </w:r>
            <w:proofErr w:type="spellStart"/>
            <w:r w:rsidR="001C0C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възлагателно</w:t>
            </w:r>
            <w:proofErr w:type="spellEnd"/>
            <w:r w:rsidR="001C0C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писмо, подписано от министъра на транспорта и съобщенията или от упълномощено от него лице.“</w:t>
            </w:r>
          </w:p>
          <w:p w:rsidR="001C0C8B" w:rsidRDefault="001C0C8B" w:rsidP="001C0C8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5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Мотиви:</w:t>
            </w:r>
          </w:p>
          <w:p w:rsidR="001C0C8B" w:rsidRDefault="001C0C8B" w:rsidP="001C0C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Декларацията от автора, че проектът е единствен, се изисква за осъществяване на контрола по отпечатването на пощенски марки и пощенски продукти в изпълнение на чл. 17,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изм. – ДВ, бр. 64 от 2019 г.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Наредба № 1. Декларацията се прилага към досието на изданието, съхранявано от контролните органи на пощенския оператор. В случай на проверка от </w:t>
            </w:r>
            <w:r w:rsidR="00EE41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ДАНС, КРС, Икономическа полиция или други служби, контролните органи трябва да разполагат с документ за удостоверяване, че подадения за отпечатване проект е единствен. Същата декларация се изисква за отпечатването на всички ценни книжа, без значение кой е контролния орган. Независимо от факта, че пощенските марки не представляват ценни книжа, те служат за заплащане на услуга и са със специален статут.</w:t>
            </w:r>
          </w:p>
          <w:p w:rsidR="00EE4155" w:rsidRPr="00965306" w:rsidRDefault="00EE4155" w:rsidP="001C0C8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Отпадналия на текста по чл. 11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действащата Наредба № 1 е в противоречие с чл. 11а.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нов- ДВ, бр.103 от 2020 г.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</w:t>
            </w:r>
            <w:r w:rsidR="009653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същата. Проектите на пощенски марки и пощенски </w:t>
            </w:r>
            <w:r w:rsidR="009653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продукти се предават-приемат за отпечатване от оправомощени служители, тъй както след отпечатването им се приемат-предават от оправомощени такива. В случай, че са необходими законови действия за оправомощаване на двете страни, те могат да бъдат предприети, в съответствие с предприетите по чл. 11а. </w:t>
            </w:r>
            <w:r w:rsidR="00965306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(3)</w:t>
            </w:r>
            <w:r w:rsidR="009653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според действащото законодателство.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68DA" w:rsidRPr="006E5708" w:rsidRDefault="006E5708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 се приема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DA" w:rsidRDefault="006E5708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Авторските права се прехвърлят на издателя със сключването на граждански договор за изработка на художествен проект на пощенско-филателно издание. В случай, че </w:t>
            </w:r>
            <w:r w:rsidR="00D264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декларацията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необходима </w:t>
            </w:r>
            <w:r w:rsidR="00D264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осъществяване контрола при отпечатване следва тя да се изготвя и предоставя от оператора.</w:t>
            </w:r>
          </w:p>
          <w:p w:rsidR="00D264FC" w:rsidRDefault="00D264FC" w:rsidP="00EB6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е необходимо оправомощаването на конкретни служители от страна на 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В случай, че процесът на реализиране на едно издание, след неговото предаване на оператора със задължение за извършване на 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ниверсалната пощенска услуга, изисква оправомощаването на такива лице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 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“Български пощи“ ЕАД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би мог</w:t>
            </w:r>
            <w:r w:rsidR="00EB6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 предприеме такива действия.</w:t>
            </w:r>
          </w:p>
          <w:p w:rsidR="00DB586E" w:rsidRPr="004E7CF4" w:rsidRDefault="00DB586E" w:rsidP="00EB6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Думата „оправомощени“ ще бъде заличена в проекта на изменение и допълнение на наредбата.</w:t>
            </w:r>
          </w:p>
        </w:tc>
      </w:tr>
      <w:tr w:rsidR="00D06D38" w:rsidRPr="00AC1D0F" w:rsidTr="00DD33D9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D38" w:rsidRDefault="00015DF4" w:rsidP="00500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Pr="00633E24" w:rsidRDefault="00015DF4" w:rsidP="00015DF4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Бележки,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постъпили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писмо с вх. № 11-02-240/01.12.2023 г. от „Български пощи“ ЕАД</w:t>
            </w:r>
          </w:p>
          <w:p w:rsidR="00D06D38" w:rsidRPr="00633E24" w:rsidRDefault="00D06D38" w:rsidP="00D844EB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06D38" w:rsidRDefault="009B3D38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 изменената ал. 2 се правят следните изменения:</w:t>
            </w:r>
          </w:p>
          <w:p w:rsidR="009B3D38" w:rsidRDefault="009B3D38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Във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възлагателното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писмо по ал. 1 за пощенските марки се определят темата на изданието, вид на изданието, размер на марката/марките, вид на перфорация, техника на отпечатване, вид на хартия, номинална стойност на марката/марките, тираж на марката/марките и срок за отпечатване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 пощенските продукти се определя темата на изданието, вид на изданието – пощенски плик/пощенска карта, знак за цена на пощенската услуга – стандартен/оригинален, цена на пощенската услуга, тираж на изданието и срок на отпечатване.</w:t>
            </w:r>
          </w:p>
          <w:p w:rsidR="009B3D38" w:rsidRDefault="009B3D38" w:rsidP="009B3D38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5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Мотиви:</w:t>
            </w:r>
          </w:p>
          <w:p w:rsidR="009B3D38" w:rsidRPr="009B3D38" w:rsidRDefault="009B3D38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Възлагателното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писмо за отпечатване се отнася както за пощенски марки, така и за пощенски продукти, с конкретни текстове за всяко едно от тях, в изпълнение на Годишния тематичен план, утвърден от министъра на транспорта и съобщенията.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6D38" w:rsidRDefault="00D264FC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Приема с</w:t>
            </w:r>
            <w:r w:rsidR="00545D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98" w:rsidRDefault="00545D98" w:rsidP="00545D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1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Отразено в проекта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корекция </w:t>
            </w:r>
          </w:p>
          <w:p w:rsidR="00D06D38" w:rsidRDefault="00D06D38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45D98" w:rsidRDefault="007C738F" w:rsidP="008F1C9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C252A">
              <w:rPr>
                <w:rFonts w:ascii="Times New Roman" w:hAnsi="Times New Roman"/>
                <w:sz w:val="24"/>
                <w:szCs w:val="24"/>
              </w:rPr>
              <w:t xml:space="preserve">Във </w:t>
            </w:r>
            <w:proofErr w:type="spellStart"/>
            <w:r w:rsidRPr="004C252A">
              <w:rPr>
                <w:rFonts w:ascii="Times New Roman" w:hAnsi="Times New Roman"/>
                <w:sz w:val="24"/>
                <w:szCs w:val="24"/>
              </w:rPr>
              <w:t>възлагателното</w:t>
            </w:r>
            <w:proofErr w:type="spellEnd"/>
            <w:r w:rsidRPr="004C252A">
              <w:rPr>
                <w:rFonts w:ascii="Times New Roman" w:hAnsi="Times New Roman"/>
                <w:sz w:val="24"/>
                <w:szCs w:val="24"/>
              </w:rPr>
              <w:t xml:space="preserve"> писмо по ал. 1 за пощенските марки се определят тема на изданието, вид на изданието, размер на марката/марките, вид на перфорация, техника на отпечатване, вид на хартията, номинална стойност на марката/марките, тираж на марката/марките, срокът за отпечатване и други специфични данни. За пощенските продукти се определя темата на изданието, вид на изданието, цена на пощенската услуга, тираж и други специфични данни.</w:t>
            </w:r>
          </w:p>
        </w:tc>
      </w:tr>
      <w:tr w:rsidR="00015DF4" w:rsidRPr="00AC1D0F" w:rsidTr="00DD33D9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DF4" w:rsidRDefault="00015DF4" w:rsidP="00500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015DF4" w:rsidRDefault="00015DF4" w:rsidP="00500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Pr="00633E24" w:rsidRDefault="00015DF4" w:rsidP="00015DF4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Бележки,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постъпили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писмо с вх. № 11-02-240/01.12.2023 г.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„Български пощи“ ЕАД</w:t>
            </w:r>
          </w:p>
          <w:p w:rsidR="00015DF4" w:rsidRPr="00633E24" w:rsidRDefault="00015DF4" w:rsidP="00015DF4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Default="00631110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В чл. 18, ал 1 се заличава „размер на листата и съдържанието на марките в тях.</w:t>
            </w:r>
          </w:p>
          <w:p w:rsidR="00631110" w:rsidRDefault="00631110" w:rsidP="0063111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5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Мотиви:</w:t>
            </w:r>
          </w:p>
          <w:p w:rsidR="00631110" w:rsidRDefault="00631110" w:rsidP="0063111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Необходимо е спазването на коректната терминология.</w:t>
            </w:r>
          </w:p>
          <w:p w:rsidR="00631110" w:rsidRDefault="00631110" w:rsidP="0063111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Конкретен размер на листата за отпечатване не се подава. Информацията, която може да бъде подадена по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отношение но формата на листа, е в случаите когато пощенският оператор предлага разновидност на отпечатване.</w:t>
            </w:r>
          </w:p>
          <w:p w:rsidR="00631110" w:rsidRDefault="00631110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Броя на марките в големите листа може да бъде подаден за информация на министъра на транспорта и съобщенията, едва след предаване на окончателния проект на пощенската марка, изготвянето на електронен монтаж за отпечатване от предпечатната подготовка и изготвянето на техническа поръчка, от избраната от пощенския оператор печатница. Всеки отделен проект на пощенска марка е с различен размер, определен от техническите изисквания на печатницата. Разпределението на броя марки в един лист се конкретизира от размера на марката и белите полета на листа, вариращи според техническите възможности на машините за отпечатване и перфориране на марките. Броя на марките в големите листа не подлежи на възлагане от страна на министъра на транспорта и съобщенията. Отпечатването е регламентирано в „Инструкция за реда на отпечатване и контрол върху отпечатване на пощенски марки и пощенски продукти, тяхното съхранение, отпускане, снабдяване, продажба и изтегляне от пощенската мрежа“.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Default="00D264FC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Приема се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F4" w:rsidRDefault="002024DD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Отразено в проекта</w:t>
            </w:r>
          </w:p>
        </w:tc>
      </w:tr>
      <w:tr w:rsidR="00015DF4" w:rsidRPr="00AC1D0F" w:rsidTr="00DD33D9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DF4" w:rsidRDefault="00015DF4" w:rsidP="00500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Pr="00633E24" w:rsidRDefault="00015DF4" w:rsidP="00015DF4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Бележки,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постъпили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писмо с вх. № 11-02-240/01.12.2023 г. от „Български пощи“ ЕАД</w:t>
            </w:r>
          </w:p>
          <w:p w:rsidR="00015DF4" w:rsidRPr="00633E24" w:rsidRDefault="00015DF4" w:rsidP="00015DF4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Default="00631110" w:rsidP="00CF19EA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 чл. 28, ал. 2 след „5“ се добавя „работни“.</w:t>
            </w:r>
          </w:p>
          <w:p w:rsidR="00631110" w:rsidRDefault="00631110" w:rsidP="0063111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5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Мотиви:</w:t>
            </w:r>
          </w:p>
          <w:p w:rsidR="00631110" w:rsidRPr="00631110" w:rsidRDefault="00631110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Изработването на филателни продукти се извършва в предвидените от закона работни дни. В случай, че срокът от 5 дни съвпадне с почивни, срокът за работа със специалния пощенски печат за изработване на филателни продукти е недостатъчен.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Default="00DB586E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се приема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F4" w:rsidRDefault="00DB586E" w:rsidP="00504B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Установената практика показва, че 5 дни са напълно достатъчен срок за работа със специалния пощенски печат, преди </w:t>
            </w:r>
            <w:r w:rsidR="0050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пощенско-филателното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издание да бъда пуснато в употреба.</w:t>
            </w:r>
          </w:p>
        </w:tc>
      </w:tr>
      <w:tr w:rsidR="00015DF4" w:rsidRPr="00AC1D0F" w:rsidTr="00DD33D9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DF4" w:rsidRDefault="00015DF4" w:rsidP="005009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Pr="00633E24" w:rsidRDefault="00015DF4" w:rsidP="00015DF4">
            <w:pPr>
              <w:keepNext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Бележки,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постъпили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писмо с вх. № 11-02-240/01.12.2023 г. от „Български пощи“ ЕАД</w:t>
            </w:r>
          </w:p>
          <w:p w:rsidR="00015DF4" w:rsidRPr="00633E24" w:rsidRDefault="00015DF4" w:rsidP="00015DF4">
            <w:pPr>
              <w:keepNext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Default="00D53FD0" w:rsidP="00CF19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В </w:t>
            </w:r>
            <w:r w:rsidRPr="00D53FD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§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от Допълнителна разпоредба се заличават създадените нови т. 13-15.</w:t>
            </w:r>
          </w:p>
          <w:p w:rsidR="00D53FD0" w:rsidRDefault="00D53FD0" w:rsidP="00D53FD0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35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Мотиви:</w:t>
            </w:r>
          </w:p>
          <w:p w:rsidR="00D53FD0" w:rsidRDefault="00D53FD0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Създадената т. 13 „Блок-лист“ се отнася към начина на отпечатване, а не към издание и не е предмет на Наредбата.</w:t>
            </w:r>
          </w:p>
          <w:p w:rsidR="00D53FD0" w:rsidRDefault="00D53FD0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Създадената т. 14 „Малък-лист/голям-лист“ представлява производствен термин и не е предмет на Наредбата.</w:t>
            </w:r>
          </w:p>
          <w:p w:rsidR="00D53FD0" w:rsidRPr="00D53FD0" w:rsidRDefault="00D53FD0" w:rsidP="00CF19E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Създадената т. 15 „Карнетка“ е понятие, което се включва в Допълнителна разпоредба, т. 11 „Филателен продукт“ от действащата Наредба № 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5DF4" w:rsidRDefault="00D264FC" w:rsidP="00CF19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се приема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F4" w:rsidRDefault="009F2A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Начинът на отпечатване е репликирането на издания, съобразено с полиграфската база и разходите, свързани с производствения процес. Когато едно издание се предлага в друга цялост и когато темата е доразвита художествено, извън вече утвърдения от издателя проект не се говори за начин на отпечатване, а за отделен продукт. Това са понятия, които освен производствена същност</w:t>
            </w:r>
            <w:r w:rsidR="00504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(малък и голям лист) се отнасят и до </w:t>
            </w:r>
            <w:r w:rsidR="003D7E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вида на изданието.</w:t>
            </w:r>
          </w:p>
        </w:tc>
      </w:tr>
    </w:tbl>
    <w:p w:rsidR="00E0568B" w:rsidRDefault="00E0568B" w:rsidP="00CF19EA"/>
    <w:p w:rsidR="001C4216" w:rsidRPr="003158A0" w:rsidRDefault="001C4216">
      <w:pPr>
        <w:rPr>
          <w:lang w:val="en-US"/>
        </w:rPr>
      </w:pPr>
    </w:p>
    <w:sectPr w:rsidR="001C4216" w:rsidRPr="003158A0" w:rsidSect="009544B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D8A"/>
    <w:multiLevelType w:val="hybridMultilevel"/>
    <w:tmpl w:val="FC7A57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01AC2"/>
    <w:multiLevelType w:val="hybridMultilevel"/>
    <w:tmpl w:val="51BE71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B"/>
    <w:rsid w:val="0000466B"/>
    <w:rsid w:val="00006293"/>
    <w:rsid w:val="00015DF4"/>
    <w:rsid w:val="0012539D"/>
    <w:rsid w:val="00127D93"/>
    <w:rsid w:val="001C0C8B"/>
    <w:rsid w:val="001C1BF7"/>
    <w:rsid w:val="001C4216"/>
    <w:rsid w:val="001E47FA"/>
    <w:rsid w:val="002024DD"/>
    <w:rsid w:val="00242119"/>
    <w:rsid w:val="00281FD4"/>
    <w:rsid w:val="002B79A1"/>
    <w:rsid w:val="002C4BC7"/>
    <w:rsid w:val="003158A0"/>
    <w:rsid w:val="00347B52"/>
    <w:rsid w:val="003835A0"/>
    <w:rsid w:val="003D7EBF"/>
    <w:rsid w:val="003E7E0C"/>
    <w:rsid w:val="00455838"/>
    <w:rsid w:val="0046009A"/>
    <w:rsid w:val="004B73FE"/>
    <w:rsid w:val="004E7CF4"/>
    <w:rsid w:val="005009D6"/>
    <w:rsid w:val="00504BEB"/>
    <w:rsid w:val="00521D60"/>
    <w:rsid w:val="00531C14"/>
    <w:rsid w:val="00545D98"/>
    <w:rsid w:val="005761F5"/>
    <w:rsid w:val="00613477"/>
    <w:rsid w:val="00631110"/>
    <w:rsid w:val="006E5708"/>
    <w:rsid w:val="006F7A95"/>
    <w:rsid w:val="00781A6B"/>
    <w:rsid w:val="00793259"/>
    <w:rsid w:val="007B2670"/>
    <w:rsid w:val="007C738F"/>
    <w:rsid w:val="00810DA5"/>
    <w:rsid w:val="00825A71"/>
    <w:rsid w:val="00843A99"/>
    <w:rsid w:val="008F1C93"/>
    <w:rsid w:val="00965306"/>
    <w:rsid w:val="009B3D38"/>
    <w:rsid w:val="009F2A40"/>
    <w:rsid w:val="00A11F11"/>
    <w:rsid w:val="00A5318E"/>
    <w:rsid w:val="00AC7CBA"/>
    <w:rsid w:val="00B03C58"/>
    <w:rsid w:val="00B331B9"/>
    <w:rsid w:val="00C145F7"/>
    <w:rsid w:val="00C15B88"/>
    <w:rsid w:val="00C56716"/>
    <w:rsid w:val="00C968DA"/>
    <w:rsid w:val="00CC2C56"/>
    <w:rsid w:val="00CF19EA"/>
    <w:rsid w:val="00CF3801"/>
    <w:rsid w:val="00D06D38"/>
    <w:rsid w:val="00D264FC"/>
    <w:rsid w:val="00D53FD0"/>
    <w:rsid w:val="00D566A9"/>
    <w:rsid w:val="00D844EB"/>
    <w:rsid w:val="00D92A51"/>
    <w:rsid w:val="00DA3C59"/>
    <w:rsid w:val="00DB586E"/>
    <w:rsid w:val="00DD33D9"/>
    <w:rsid w:val="00E0091B"/>
    <w:rsid w:val="00E0568B"/>
    <w:rsid w:val="00E277FF"/>
    <w:rsid w:val="00E54C66"/>
    <w:rsid w:val="00EA6FB7"/>
    <w:rsid w:val="00EB2E01"/>
    <w:rsid w:val="00EB6E43"/>
    <w:rsid w:val="00EE4155"/>
    <w:rsid w:val="00EF7F05"/>
    <w:rsid w:val="00F67C43"/>
    <w:rsid w:val="00FD5C7C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20569-874A-400E-99DA-6ED902BF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8B"/>
    <w:pPr>
      <w:spacing w:after="0" w:line="240" w:lineRule="auto"/>
      <w:jc w:val="both"/>
    </w:pPr>
  </w:style>
  <w:style w:type="paragraph" w:styleId="Heading4">
    <w:name w:val="heading 4"/>
    <w:basedOn w:val="Normal"/>
    <w:link w:val="Heading4Char"/>
    <w:uiPriority w:val="9"/>
    <w:qFormat/>
    <w:rsid w:val="0000466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7CB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0466B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825A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85EC-E952-482F-90AD-4BFF8FC8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Plamen Stoyanov</cp:lastModifiedBy>
  <cp:revision>2</cp:revision>
  <dcterms:created xsi:type="dcterms:W3CDTF">2024-01-16T12:32:00Z</dcterms:created>
  <dcterms:modified xsi:type="dcterms:W3CDTF">2024-01-16T12:32:00Z</dcterms:modified>
</cp:coreProperties>
</file>