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5802"/>
        <w:gridCol w:w="1560"/>
        <w:gridCol w:w="4191"/>
      </w:tblGrid>
      <w:tr w:rsidR="00D3407A" w14:paraId="4E9A21AA" w14:textId="77777777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14:paraId="1C09E18C" w14:textId="77777777" w:rsidR="00D3407A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СПРАВКА</w:t>
            </w:r>
          </w:p>
          <w:p w14:paraId="421E7201" w14:textId="77777777" w:rsidR="00DD09C7" w:rsidRDefault="00D3407A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 xml:space="preserve">ЗА ОТРАЗЯВАНЕ НА ПОСТЪПИЛИТЕ ПРЕДЛОЖЕНИЯ ОТ </w:t>
            </w:r>
          </w:p>
          <w:p w14:paraId="25086868" w14:textId="77777777" w:rsidR="00D3407A" w:rsidRDefault="00D3407A" w:rsidP="003A69BB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 xml:space="preserve">ОБЩЕСТВЕНОТО ОБСЪЖДАНЕ </w:t>
            </w:r>
            <w:r w:rsidRPr="00EE7553">
              <w:rPr>
                <w:b/>
                <w:sz w:val="23"/>
                <w:szCs w:val="23"/>
                <w:lang w:val="en-US"/>
              </w:rPr>
              <w:t xml:space="preserve">В ПЕРИОДА </w:t>
            </w:r>
            <w:r w:rsidR="003A69BB">
              <w:rPr>
                <w:b/>
                <w:sz w:val="23"/>
                <w:szCs w:val="23"/>
              </w:rPr>
              <w:t>1</w:t>
            </w:r>
            <w:r w:rsidR="003A69BB">
              <w:rPr>
                <w:b/>
                <w:sz w:val="23"/>
                <w:szCs w:val="23"/>
                <w:lang w:val="en-US"/>
              </w:rPr>
              <w:t>9</w:t>
            </w:r>
            <w:r w:rsidRPr="00EE7553">
              <w:rPr>
                <w:b/>
                <w:sz w:val="23"/>
                <w:szCs w:val="23"/>
              </w:rPr>
              <w:t>.</w:t>
            </w:r>
            <w:r w:rsidR="00DD09C7">
              <w:rPr>
                <w:b/>
                <w:sz w:val="23"/>
                <w:szCs w:val="23"/>
              </w:rPr>
              <w:t>04.2022</w:t>
            </w:r>
            <w:r w:rsidRPr="00EE7553">
              <w:rPr>
                <w:b/>
                <w:sz w:val="23"/>
                <w:szCs w:val="23"/>
              </w:rPr>
              <w:t xml:space="preserve"> – </w:t>
            </w:r>
            <w:r w:rsidR="003A69BB">
              <w:rPr>
                <w:b/>
                <w:sz w:val="23"/>
                <w:szCs w:val="23"/>
                <w:lang w:val="en-US"/>
              </w:rPr>
              <w:t>03</w:t>
            </w:r>
            <w:r w:rsidR="003A69BB">
              <w:rPr>
                <w:b/>
                <w:sz w:val="23"/>
                <w:szCs w:val="23"/>
              </w:rPr>
              <w:t>.05</w:t>
            </w:r>
            <w:r w:rsidR="00EE7553" w:rsidRPr="00EE7553">
              <w:rPr>
                <w:b/>
                <w:sz w:val="23"/>
                <w:szCs w:val="23"/>
              </w:rPr>
              <w:t>.2022</w:t>
            </w:r>
            <w:r w:rsidRPr="00EE7553">
              <w:rPr>
                <w:b/>
                <w:sz w:val="23"/>
                <w:szCs w:val="23"/>
              </w:rPr>
              <w:t xml:space="preserve"> Г. НА </w:t>
            </w:r>
            <w:r w:rsidR="003A69BB" w:rsidRPr="003A69BB">
              <w:rPr>
                <w:b/>
                <w:sz w:val="23"/>
                <w:szCs w:val="23"/>
              </w:rPr>
              <w:t>ПРОЕКТ НА НАРЕДБА ЗА ИЗМЕНЕНИЕ И ДОПЪЛНЕНИЕ НА НАРЕДБА № 9 ОТ 17.10.2013 Г. ЗА ИЗИСКВАНИЯТА ЗА ЕКСПЛОАТАЦИОННА ГОДНОСТ НА ПРИСТАНИЩАТА И СПЕЦИАЛИЗИРАНИТЕ ПРИСТАНИЩНИ ОБЕКТИ</w:t>
            </w:r>
          </w:p>
        </w:tc>
      </w:tr>
      <w:tr w:rsidR="00D3407A" w14:paraId="1B422E39" w14:textId="77777777" w:rsidTr="00EA0F91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14:paraId="0A0A6654" w14:textId="77777777"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14:paraId="4C0469C0" w14:textId="77777777"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14:paraId="6059BE4B" w14:textId="77777777"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  <w:p w14:paraId="6DE63163" w14:textId="77777777" w:rsidR="009B1D1A" w:rsidRDefault="009B1D1A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802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14:paraId="3301A39E" w14:textId="77777777"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56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14:paraId="60EEB997" w14:textId="77777777"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14:paraId="4152C3DA" w14:textId="77777777"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4191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14:paraId="1F304E8D" w14:textId="77777777"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3A69BB" w14:paraId="1313006D" w14:textId="77777777" w:rsidTr="00EA0F91">
        <w:trPr>
          <w:trHeight w:val="596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14:paraId="54F4009F" w14:textId="77777777" w:rsidR="003A69BB" w:rsidRDefault="003A69BB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14:paraId="2FC8AB47" w14:textId="77777777" w:rsidR="003A69BB" w:rsidRPr="0030734B" w:rsidRDefault="009B1D1A" w:rsidP="009B1D1A">
            <w:pPr>
              <w:rPr>
                <w:b/>
              </w:rPr>
            </w:pPr>
            <w:r w:rsidRPr="0030734B">
              <w:t xml:space="preserve">По електронен път – становище от 20.04.2022 г. в Портала за обществени консултации от потребител </w:t>
            </w:r>
            <w:proofErr w:type="spellStart"/>
            <w:r w:rsidRPr="0030734B">
              <w:t>akmail</w:t>
            </w:r>
            <w:proofErr w:type="spellEnd"/>
            <w:r w:rsidRPr="0030734B">
              <w:t>.</w:t>
            </w:r>
          </w:p>
        </w:tc>
        <w:tc>
          <w:tcPr>
            <w:tcW w:w="5802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14:paraId="405FA2A0" w14:textId="77777777" w:rsidR="00545A6C" w:rsidRPr="00A818E9" w:rsidRDefault="00545A6C" w:rsidP="00545A6C">
            <w:pPr>
              <w:jc w:val="both"/>
            </w:pPr>
            <w:r w:rsidRPr="00A818E9">
              <w:t>Възразявам срещу формулировката на предлаганото ново определение за "плавателен съд за отдих", поради следното:</w:t>
            </w:r>
          </w:p>
          <w:p w14:paraId="2FEEBA2E" w14:textId="77777777" w:rsidR="00545A6C" w:rsidRPr="00A818E9" w:rsidRDefault="00545A6C" w:rsidP="00545A6C">
            <w:pPr>
              <w:jc w:val="both"/>
            </w:pPr>
            <w:r w:rsidRPr="00A818E9">
              <w:t>- в Наредбата за съществените изисквания и оценяване на съответствието на плавателните съдове за отдих и на плавателните съдове за лично ползване, приета с ПМС № 388 от 30.12.2015 г., се съдържа определение за "плавателен съд за отдих", така че това понятие има вече утвърдено правно значение;</w:t>
            </w:r>
          </w:p>
          <w:p w14:paraId="74693952" w14:textId="77777777" w:rsidR="00545A6C" w:rsidRPr="00A818E9" w:rsidRDefault="00545A6C" w:rsidP="00545A6C">
            <w:pPr>
              <w:jc w:val="both"/>
            </w:pPr>
            <w:r w:rsidRPr="00A818E9">
              <w:t>- в чл. 37, ал. 1 от Указ № 883 от 24.04.1974 г. относно прилагането на ЗНА изрично е указано, че думи и изрази с утвърдено правно значение трябва да се използват в един и същ смисъл във всички нормативни актове.</w:t>
            </w:r>
          </w:p>
          <w:p w14:paraId="03C8EAFD" w14:textId="77777777" w:rsidR="009B1D1A" w:rsidRPr="00A818E9" w:rsidRDefault="00545A6C" w:rsidP="0030734B">
            <w:pPr>
              <w:jc w:val="both"/>
            </w:pPr>
            <w:r w:rsidRPr="00A818E9">
              <w:t>С оглед на горното смятам, че ако е наложително да се даде определение за "плавателен съд за отдих" в Наредба № 9, то трябва да се напише, че този израз има смисъла по §</w:t>
            </w:r>
            <w:r w:rsidR="0030734B" w:rsidRPr="00A818E9">
              <w:t> </w:t>
            </w:r>
            <w:r w:rsidRPr="00A818E9">
              <w:t xml:space="preserve">1, ал. 1, т. 2 от Допълнителните разпоредби на Наредбата за съществените изисквания и оценяване на съответствието на плавателните съдове за отдих и на плавателните съдове за лично ползване, приета с ПМС № </w:t>
            </w:r>
            <w:r w:rsidR="00EA0F91" w:rsidRPr="00A818E9">
              <w:rPr>
                <w:lang w:val="en-US"/>
              </w:rPr>
              <w:t> </w:t>
            </w:r>
            <w:r w:rsidRPr="00A818E9">
              <w:t>388 от 30.12.2015 г.</w:t>
            </w:r>
          </w:p>
        </w:tc>
        <w:tc>
          <w:tcPr>
            <w:tcW w:w="1560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14:paraId="4DEBAA7A" w14:textId="77777777" w:rsidR="003A69BB" w:rsidRPr="00A818E9" w:rsidRDefault="00EA0F91">
            <w:r w:rsidRPr="00A818E9">
              <w:t xml:space="preserve">Не се приема </w:t>
            </w:r>
          </w:p>
        </w:tc>
        <w:tc>
          <w:tcPr>
            <w:tcW w:w="4191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14:paraId="64F7D77F" w14:textId="727DB77F" w:rsidR="003A69BB" w:rsidRPr="00A818E9" w:rsidRDefault="00EA0F91" w:rsidP="004B0DCC">
            <w:pPr>
              <w:jc w:val="both"/>
            </w:pPr>
            <w:r w:rsidRPr="00A818E9">
              <w:t>Понятието „плавателен съд за отдих“ има специфично значение за целите на Директива (ЕС) 2019/883 на Европейския парламент и на Съвета от 17 април 2019 г. относно пристанищните приемни съоръжения за предаване на отпадъци от кораби, за изменение на Директива 2010/65/ЕС и за отмяна на Директива 2000/59/ЕО (O</w:t>
            </w:r>
            <w:r w:rsidRPr="00A818E9">
              <w:rPr>
                <w:lang w:val="en-US"/>
              </w:rPr>
              <w:t>B,</w:t>
            </w:r>
            <w:r w:rsidRPr="00A818E9">
              <w:t xml:space="preserve"> L 151, 7.6.2019</w:t>
            </w:r>
            <w:r w:rsidRPr="00A818E9">
              <w:rPr>
                <w:lang w:val="en-US"/>
              </w:rPr>
              <w:t xml:space="preserve"> </w:t>
            </w:r>
            <w:r w:rsidRPr="00A818E9">
              <w:t xml:space="preserve">г.) (Директива (ЕС) 2019/883). В </w:t>
            </w:r>
            <w:r w:rsidR="00D523CE" w:rsidRPr="00A818E9">
              <w:t xml:space="preserve">§ 1, т. 6 от допълнителните разпоредби на </w:t>
            </w:r>
            <w:r w:rsidRPr="00A818E9">
              <w:t>наредбата понятието се използва в смисъла</w:t>
            </w:r>
            <w:r w:rsidR="00D523CE" w:rsidRPr="00A818E9">
              <w:t>,</w:t>
            </w:r>
            <w:r w:rsidRPr="00A818E9">
              <w:t xml:space="preserve"> посочен в чл. 2, т. 8 от Директива (ЕС) 2019/883. </w:t>
            </w:r>
          </w:p>
        </w:tc>
      </w:tr>
      <w:tr w:rsidR="009B1D1A" w14:paraId="4A612660" w14:textId="77777777" w:rsidTr="00EA0F91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right w:val="single" w:sz="18" w:space="0" w:color="2E74B5"/>
            </w:tcBorders>
          </w:tcPr>
          <w:p w14:paraId="5B040E8B" w14:textId="77777777" w:rsidR="009B1D1A" w:rsidRDefault="009B1D1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right w:val="single" w:sz="18" w:space="0" w:color="2E74B5"/>
            </w:tcBorders>
          </w:tcPr>
          <w:p w14:paraId="45AEC622" w14:textId="77777777" w:rsidR="009B1D1A" w:rsidRPr="0030734B" w:rsidRDefault="009B1D1A" w:rsidP="009B1D1A">
            <w:pPr>
              <w:rPr>
                <w:b/>
              </w:rPr>
            </w:pPr>
            <w:r w:rsidRPr="0030734B">
              <w:t>По електронен път – становище от 03.05.2022 г. в Портала за обществени консултации от потребител Jelez_1972.</w:t>
            </w:r>
          </w:p>
        </w:tc>
        <w:tc>
          <w:tcPr>
            <w:tcW w:w="5802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14:paraId="5CF3E5CF" w14:textId="77777777" w:rsidR="009B1D1A" w:rsidRPr="00A818E9" w:rsidRDefault="009B1D1A" w:rsidP="004B0DCC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A818E9">
              <w:t>Предвид изпълнението на контрола по чл. 3, считам че е необходимо в чл.</w:t>
            </w:r>
            <w:r w:rsidR="00880C5F" w:rsidRPr="00A818E9">
              <w:t xml:space="preserve"> </w:t>
            </w:r>
            <w:r w:rsidRPr="00A818E9">
              <w:t xml:space="preserve">4 да се предвиди осигуряването на достъп на служителите по контрола до всички обекти, на които е възможно </w:t>
            </w:r>
            <w:proofErr w:type="spellStart"/>
            <w:r w:rsidRPr="00A818E9">
              <w:t>швартоването</w:t>
            </w:r>
            <w:proofErr w:type="spellEnd"/>
            <w:r w:rsidRPr="00A818E9">
              <w:t xml:space="preserve"> и приставането на плавателни средства, в това число и на тези, които не са регистрирани по надлежния ред;</w:t>
            </w:r>
          </w:p>
        </w:tc>
        <w:tc>
          <w:tcPr>
            <w:tcW w:w="1560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14:paraId="13C41FC7" w14:textId="74C9E555" w:rsidR="009B1D1A" w:rsidRPr="00A818E9" w:rsidRDefault="00B933C7">
            <w:r w:rsidRPr="00A818E9">
              <w:t>Не се приема</w:t>
            </w:r>
          </w:p>
        </w:tc>
        <w:tc>
          <w:tcPr>
            <w:tcW w:w="4191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14:paraId="39D563C4" w14:textId="03F21AF6" w:rsidR="009B1D1A" w:rsidRPr="00A818E9" w:rsidRDefault="00B933C7" w:rsidP="00B933C7">
            <w:pPr>
              <w:jc w:val="both"/>
            </w:pPr>
            <w:r>
              <w:t>Предложението не е съобразено с предметния обхват на наредбата, дефиниран в чл. 1 от същата. Наредбата урежда изискванията за експлоатационна годност на пристанищата и специализираните пристанищни обекти.</w:t>
            </w:r>
          </w:p>
        </w:tc>
      </w:tr>
      <w:tr w:rsidR="009B1D1A" w14:paraId="76768B9F" w14:textId="77777777" w:rsidTr="00EA0F91">
        <w:trPr>
          <w:trHeight w:val="596"/>
        </w:trPr>
        <w:tc>
          <w:tcPr>
            <w:tcW w:w="622" w:type="dxa"/>
            <w:vMerge/>
            <w:tcBorders>
              <w:left w:val="single" w:sz="36" w:space="0" w:color="2E74B5"/>
              <w:right w:val="single" w:sz="18" w:space="0" w:color="2E74B5"/>
            </w:tcBorders>
          </w:tcPr>
          <w:p w14:paraId="0C0A185B" w14:textId="77777777" w:rsidR="009B1D1A" w:rsidRDefault="009B1D1A" w:rsidP="003A69BB">
            <w:pPr>
              <w:tabs>
                <w:tab w:val="left" w:pos="192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left w:val="single" w:sz="18" w:space="0" w:color="2E74B5"/>
              <w:right w:val="single" w:sz="18" w:space="0" w:color="2E74B5"/>
            </w:tcBorders>
          </w:tcPr>
          <w:p w14:paraId="7A55089D" w14:textId="77777777" w:rsidR="009B1D1A" w:rsidRPr="0030734B" w:rsidRDefault="009B1D1A">
            <w:pPr>
              <w:rPr>
                <w:b/>
              </w:rPr>
            </w:pPr>
          </w:p>
        </w:tc>
        <w:tc>
          <w:tcPr>
            <w:tcW w:w="5802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14:paraId="2B3859A9" w14:textId="77777777" w:rsidR="009B1D1A" w:rsidRPr="00A818E9" w:rsidRDefault="009B1D1A" w:rsidP="004B0DCC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A818E9">
              <w:t>В чл. 22, ал. (1), т. 2  следва да се предвиди възможността плановете за отпадъци от кораби да се изготвят и от оператора на пристанището, съгласувано със собственика, тъй като някои от пристанищата по чл. 107-109 от Наредбата са отдадени дългосрочно под наем и собствениците нямат компетенциите и възможностите за изготвяне на такива планове;</w:t>
            </w:r>
          </w:p>
        </w:tc>
        <w:tc>
          <w:tcPr>
            <w:tcW w:w="1560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14:paraId="2BD46E28" w14:textId="77777777" w:rsidR="009B1D1A" w:rsidRPr="00A818E9" w:rsidRDefault="003646EB">
            <w:r w:rsidRPr="00A818E9">
              <w:t>Не се приема</w:t>
            </w:r>
          </w:p>
        </w:tc>
        <w:tc>
          <w:tcPr>
            <w:tcW w:w="4191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14:paraId="130DD09D" w14:textId="224B9A89" w:rsidR="001B7E62" w:rsidRPr="00A818E9" w:rsidRDefault="0030734B" w:rsidP="001B7E62">
            <w:pPr>
              <w:jc w:val="both"/>
            </w:pPr>
            <w:r w:rsidRPr="00A818E9">
              <w:t xml:space="preserve">Възможно е операторите </w:t>
            </w:r>
            <w:r w:rsidR="00E75865" w:rsidRPr="00A818E9">
              <w:t xml:space="preserve">в пристанище </w:t>
            </w:r>
            <w:r w:rsidRPr="00A818E9">
              <w:t xml:space="preserve">да са повече от един и/или да извършват дейност въз </w:t>
            </w:r>
            <w:r w:rsidR="001B7E62" w:rsidRPr="00A818E9">
              <w:t xml:space="preserve">основа на краткосрочни договори; съгласно чл.  46 от наредбата  пристанищните услуги се предоставят от пристанищни оператори, притежаващи и/или наемащи работна сила, която съставлява управленческия и оперативно-изпълнителския персонал на пристанището. </w:t>
            </w:r>
          </w:p>
          <w:p w14:paraId="6AA2B06E" w14:textId="67B2F319" w:rsidR="0030734B" w:rsidRPr="00A818E9" w:rsidRDefault="001B7E62" w:rsidP="00F61283">
            <w:pPr>
              <w:jc w:val="both"/>
            </w:pPr>
            <w:r w:rsidRPr="00A818E9">
              <w:t>По тази причина о</w:t>
            </w:r>
            <w:r w:rsidR="0030734B" w:rsidRPr="00A818E9">
              <w:t xml:space="preserve">тговорност </w:t>
            </w:r>
            <w:r w:rsidR="00A50A90" w:rsidRPr="00A818E9">
              <w:t>за изготвянето на план</w:t>
            </w:r>
            <w:r w:rsidR="0050600C" w:rsidRPr="00A818E9">
              <w:t xml:space="preserve">овете за приемане и обработване на отпадъци от кораби </w:t>
            </w:r>
            <w:r w:rsidRPr="00A818E9">
              <w:t>следва</w:t>
            </w:r>
            <w:r w:rsidR="0050600C" w:rsidRPr="00A818E9">
              <w:t xml:space="preserve"> </w:t>
            </w:r>
            <w:r w:rsidR="0030734B" w:rsidRPr="00A818E9">
              <w:t>да се възложи на</w:t>
            </w:r>
            <w:r w:rsidR="0050600C" w:rsidRPr="00A818E9">
              <w:t>:</w:t>
            </w:r>
            <w:r w:rsidR="00A50A90" w:rsidRPr="00A818E9">
              <w:t xml:space="preserve"> </w:t>
            </w:r>
          </w:p>
          <w:p w14:paraId="7E574ECA" w14:textId="77777777" w:rsidR="009B1D1A" w:rsidRPr="00A818E9" w:rsidRDefault="0030734B" w:rsidP="0030734B">
            <w:pPr>
              <w:jc w:val="both"/>
            </w:pPr>
            <w:r w:rsidRPr="00A818E9">
              <w:t>Държавно предприятие </w:t>
            </w:r>
            <w:r w:rsidR="0050600C" w:rsidRPr="00A818E9">
              <w:t>„</w:t>
            </w:r>
            <w:r w:rsidRPr="00A818E9">
              <w:t>П</w:t>
            </w:r>
            <w:r w:rsidR="0050600C" w:rsidRPr="00A818E9">
              <w:t xml:space="preserve">ристанищна инфраструктура“ за пристанищата за обществен транспорт по чл. 106а от ЗМПВВППРБ и за другите пристанища за обществен транспорт – държавна </w:t>
            </w:r>
            <w:r w:rsidRPr="00A818E9">
              <w:t>собственост, респективно</w:t>
            </w:r>
            <w:r w:rsidR="0050600C" w:rsidRPr="00A818E9">
              <w:t xml:space="preserve"> </w:t>
            </w:r>
            <w:r w:rsidRPr="00A818E9">
              <w:t xml:space="preserve">собственика на територията и пристанищната инфраструктура – за </w:t>
            </w:r>
            <w:r w:rsidRPr="00A818E9">
              <w:lastRenderedPageBreak/>
              <w:t>останалите пристанища по чл.</w:t>
            </w:r>
            <w:r w:rsidR="004B0DCC" w:rsidRPr="00A818E9">
              <w:t xml:space="preserve"> </w:t>
            </w:r>
            <w:r w:rsidRPr="00A818E9">
              <w:t>107-109 от ЗМПВВППРБ.</w:t>
            </w:r>
            <w:r w:rsidR="00F61283" w:rsidRPr="00A818E9">
              <w:t xml:space="preserve"> </w:t>
            </w:r>
          </w:p>
        </w:tc>
      </w:tr>
      <w:tr w:rsidR="009B1D1A" w14:paraId="27E9962E" w14:textId="77777777" w:rsidTr="00EA0F91">
        <w:trPr>
          <w:trHeight w:val="596"/>
        </w:trPr>
        <w:tc>
          <w:tcPr>
            <w:tcW w:w="622" w:type="dxa"/>
            <w:vMerge/>
            <w:tcBorders>
              <w:left w:val="single" w:sz="36" w:space="0" w:color="2E74B5"/>
              <w:right w:val="single" w:sz="18" w:space="0" w:color="2E74B5"/>
            </w:tcBorders>
          </w:tcPr>
          <w:p w14:paraId="3CD756DC" w14:textId="77777777" w:rsidR="009B1D1A" w:rsidRDefault="009B1D1A" w:rsidP="003A69BB">
            <w:pPr>
              <w:tabs>
                <w:tab w:val="left" w:pos="192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left w:val="single" w:sz="18" w:space="0" w:color="2E74B5"/>
              <w:right w:val="single" w:sz="18" w:space="0" w:color="2E74B5"/>
            </w:tcBorders>
          </w:tcPr>
          <w:p w14:paraId="2C2C18C1" w14:textId="77777777" w:rsidR="009B1D1A" w:rsidRPr="0030734B" w:rsidRDefault="009B1D1A">
            <w:pPr>
              <w:rPr>
                <w:b/>
              </w:rPr>
            </w:pPr>
          </w:p>
        </w:tc>
        <w:tc>
          <w:tcPr>
            <w:tcW w:w="5802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14:paraId="32BE6DFE" w14:textId="77777777" w:rsidR="009B1D1A" w:rsidRPr="00A818E9" w:rsidRDefault="009B1D1A" w:rsidP="004B0DCC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A818E9">
              <w:t>Чл. 25, ал. (1), т. 6 - да се допълни уточнението "ако само такива кораби с техника за третиране на борда посещават съответното пристанище";</w:t>
            </w:r>
          </w:p>
        </w:tc>
        <w:tc>
          <w:tcPr>
            <w:tcW w:w="1560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14:paraId="4E8E86DC" w14:textId="77777777" w:rsidR="009B1D1A" w:rsidRPr="00A818E9" w:rsidRDefault="00880C5F">
            <w:r w:rsidRPr="00A818E9">
              <w:t>Приема се</w:t>
            </w:r>
          </w:p>
        </w:tc>
        <w:tc>
          <w:tcPr>
            <w:tcW w:w="4191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14:paraId="4CD87ABE" w14:textId="77777777" w:rsidR="009B1D1A" w:rsidRPr="00A818E9" w:rsidRDefault="009B1D1A"/>
        </w:tc>
      </w:tr>
      <w:tr w:rsidR="009B1D1A" w14:paraId="157A819C" w14:textId="77777777" w:rsidTr="00A50A90">
        <w:trPr>
          <w:trHeight w:val="2046"/>
        </w:trPr>
        <w:tc>
          <w:tcPr>
            <w:tcW w:w="622" w:type="dxa"/>
            <w:vMerge/>
            <w:tcBorders>
              <w:left w:val="single" w:sz="36" w:space="0" w:color="2E74B5"/>
              <w:right w:val="single" w:sz="18" w:space="0" w:color="2E74B5"/>
            </w:tcBorders>
          </w:tcPr>
          <w:p w14:paraId="47331D4E" w14:textId="77777777" w:rsidR="009B1D1A" w:rsidRDefault="009B1D1A" w:rsidP="003A69BB">
            <w:pPr>
              <w:tabs>
                <w:tab w:val="left" w:pos="192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left w:val="single" w:sz="18" w:space="0" w:color="2E74B5"/>
              <w:right w:val="single" w:sz="18" w:space="0" w:color="2E74B5"/>
            </w:tcBorders>
          </w:tcPr>
          <w:p w14:paraId="0EF814D4" w14:textId="77777777" w:rsidR="009B1D1A" w:rsidRPr="0030734B" w:rsidRDefault="009B1D1A">
            <w:pPr>
              <w:rPr>
                <w:b/>
              </w:rPr>
            </w:pPr>
          </w:p>
        </w:tc>
        <w:tc>
          <w:tcPr>
            <w:tcW w:w="5802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14:paraId="5E43B42C" w14:textId="77777777" w:rsidR="009B1D1A" w:rsidRPr="00A818E9" w:rsidRDefault="009B1D1A" w:rsidP="004B0DCC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A818E9">
              <w:t>В чл. 28, ал. (3), т.</w:t>
            </w:r>
            <w:r w:rsidR="00880C5F" w:rsidRPr="00A818E9">
              <w:t xml:space="preserve"> </w:t>
            </w:r>
            <w:r w:rsidRPr="00A818E9">
              <w:t>2 следва да се предвиди възможността технологичният план да се изготвя и от оператора, съгласувано със собственика, тъй като някои от пристанищата по чл. 107-109 от Наредбата са отдадени дългосрочно под наем и собствениците нямат компетенциите и възможностите за изготвяне на такива планове;</w:t>
            </w:r>
          </w:p>
        </w:tc>
        <w:tc>
          <w:tcPr>
            <w:tcW w:w="1560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14:paraId="6663EDCC" w14:textId="77777777" w:rsidR="009B1D1A" w:rsidRPr="00A818E9" w:rsidRDefault="003646EB">
            <w:r w:rsidRPr="00A818E9">
              <w:t>Не се приема</w:t>
            </w:r>
          </w:p>
        </w:tc>
        <w:tc>
          <w:tcPr>
            <w:tcW w:w="4191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14:paraId="22A6A7F1" w14:textId="279B9534" w:rsidR="00A50A90" w:rsidRPr="00A818E9" w:rsidRDefault="00A50A90" w:rsidP="00A50A90">
            <w:pPr>
              <w:jc w:val="both"/>
            </w:pPr>
            <w:r w:rsidRPr="00A818E9">
              <w:t>Възможно е операторите</w:t>
            </w:r>
            <w:r w:rsidR="00E75865" w:rsidRPr="00A818E9">
              <w:t xml:space="preserve"> в пристанище </w:t>
            </w:r>
            <w:r w:rsidRPr="00A818E9">
              <w:t xml:space="preserve"> да са повече от един и/или да извършват дейност въз основа на краткосрочни договори. По тази причина  отговорен за изготвянето на технологичния план на пристанището е необходимо да бъде собственик</w:t>
            </w:r>
            <w:r w:rsidR="001B7E62" w:rsidRPr="00A818E9">
              <w:t>ът</w:t>
            </w:r>
            <w:r w:rsidR="0050600C" w:rsidRPr="00A818E9">
              <w:t xml:space="preserve"> на територията и пристанищната инфраструктура на пристанище по чл. </w:t>
            </w:r>
            <w:r w:rsidR="001B7E62" w:rsidRPr="00A818E9">
              <w:t> </w:t>
            </w:r>
            <w:r w:rsidR="0050600C" w:rsidRPr="00A818E9">
              <w:t>107-109 от ЗМПВВППРБ</w:t>
            </w:r>
            <w:r w:rsidRPr="00A818E9">
              <w:t xml:space="preserve">. </w:t>
            </w:r>
          </w:p>
          <w:p w14:paraId="6E85938D" w14:textId="77777777" w:rsidR="009B1D1A" w:rsidRPr="00A818E9" w:rsidRDefault="009B1D1A" w:rsidP="00A50A90"/>
        </w:tc>
      </w:tr>
      <w:tr w:rsidR="009B1D1A" w14:paraId="6A048958" w14:textId="77777777" w:rsidTr="00EA0F91">
        <w:trPr>
          <w:trHeight w:val="596"/>
        </w:trPr>
        <w:tc>
          <w:tcPr>
            <w:tcW w:w="622" w:type="dxa"/>
            <w:vMerge/>
            <w:tcBorders>
              <w:left w:val="single" w:sz="36" w:space="0" w:color="2E74B5"/>
              <w:right w:val="single" w:sz="18" w:space="0" w:color="2E74B5"/>
            </w:tcBorders>
          </w:tcPr>
          <w:p w14:paraId="17CAFB0A" w14:textId="77777777" w:rsidR="009B1D1A" w:rsidRDefault="009B1D1A" w:rsidP="003A69BB">
            <w:pPr>
              <w:tabs>
                <w:tab w:val="left" w:pos="192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left w:val="single" w:sz="18" w:space="0" w:color="2E74B5"/>
              <w:right w:val="single" w:sz="18" w:space="0" w:color="2E74B5"/>
            </w:tcBorders>
          </w:tcPr>
          <w:p w14:paraId="610D7F67" w14:textId="77777777" w:rsidR="009B1D1A" w:rsidRPr="0030734B" w:rsidRDefault="009B1D1A">
            <w:pPr>
              <w:rPr>
                <w:b/>
              </w:rPr>
            </w:pPr>
          </w:p>
        </w:tc>
        <w:tc>
          <w:tcPr>
            <w:tcW w:w="5802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14:paraId="5DDD8B47" w14:textId="77777777" w:rsidR="009B1D1A" w:rsidRPr="00A818E9" w:rsidRDefault="009B1D1A" w:rsidP="004B0DCC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A818E9">
              <w:t xml:space="preserve">Аналогично на чл. 22 и чл. 28 предлагам в чл. 42, ал. </w:t>
            </w:r>
            <w:r w:rsidR="00880C5F" w:rsidRPr="00A818E9">
              <w:t> </w:t>
            </w:r>
            <w:r w:rsidRPr="00A818E9">
              <w:t>(2) да се добави и оператора;</w:t>
            </w:r>
          </w:p>
        </w:tc>
        <w:tc>
          <w:tcPr>
            <w:tcW w:w="1560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14:paraId="1734FC1C" w14:textId="77777777" w:rsidR="009B1D1A" w:rsidRPr="00A818E9" w:rsidRDefault="003646EB">
            <w:r w:rsidRPr="00A818E9">
              <w:t>Не се приема</w:t>
            </w:r>
          </w:p>
        </w:tc>
        <w:tc>
          <w:tcPr>
            <w:tcW w:w="4191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14:paraId="66B8856D" w14:textId="3611A7A7" w:rsidR="00A50A90" w:rsidRPr="00A818E9" w:rsidRDefault="00A50A90" w:rsidP="00A50A90">
            <w:pPr>
              <w:jc w:val="both"/>
            </w:pPr>
            <w:r w:rsidRPr="00A818E9">
              <w:t xml:space="preserve">Възможно е операторите </w:t>
            </w:r>
            <w:r w:rsidR="00E75865" w:rsidRPr="00A818E9">
              <w:t xml:space="preserve">в пристанище </w:t>
            </w:r>
            <w:r w:rsidRPr="00A818E9">
              <w:t xml:space="preserve">да са повече от един и/или да извършват дейност въз основа на краткосрочни договори. По тази причина  отговорен за разработването на правилник за организацията на работата в пристанището е необходимо да бъде собственикът на </w:t>
            </w:r>
            <w:r w:rsidR="0050600C" w:rsidRPr="00A818E9">
              <w:t>територията и пристанищната инфраструктура на всяко пристанище по чл. 107-109 от ЗМПВВППРБ</w:t>
            </w:r>
            <w:r w:rsidRPr="00A818E9">
              <w:t xml:space="preserve">. </w:t>
            </w:r>
          </w:p>
          <w:p w14:paraId="4FE39CD5" w14:textId="77777777" w:rsidR="009B1D1A" w:rsidRPr="00A818E9" w:rsidRDefault="009B1D1A"/>
        </w:tc>
      </w:tr>
      <w:tr w:rsidR="009B1D1A" w14:paraId="64742851" w14:textId="77777777" w:rsidTr="00EA0F91">
        <w:trPr>
          <w:trHeight w:val="596"/>
        </w:trPr>
        <w:tc>
          <w:tcPr>
            <w:tcW w:w="622" w:type="dxa"/>
            <w:vMerge/>
            <w:tcBorders>
              <w:left w:val="single" w:sz="36" w:space="0" w:color="2E74B5"/>
              <w:right w:val="single" w:sz="18" w:space="0" w:color="2E74B5"/>
            </w:tcBorders>
          </w:tcPr>
          <w:p w14:paraId="4B15D95F" w14:textId="77777777" w:rsidR="009B1D1A" w:rsidRDefault="009B1D1A" w:rsidP="003A69BB">
            <w:pPr>
              <w:tabs>
                <w:tab w:val="left" w:pos="192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left w:val="single" w:sz="18" w:space="0" w:color="2E74B5"/>
              <w:right w:val="single" w:sz="18" w:space="0" w:color="2E74B5"/>
            </w:tcBorders>
          </w:tcPr>
          <w:p w14:paraId="2040FAA3" w14:textId="77777777" w:rsidR="009B1D1A" w:rsidRPr="0030734B" w:rsidRDefault="009B1D1A">
            <w:pPr>
              <w:rPr>
                <w:b/>
              </w:rPr>
            </w:pPr>
          </w:p>
        </w:tc>
        <w:tc>
          <w:tcPr>
            <w:tcW w:w="5802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14:paraId="77DC12FB" w14:textId="77777777" w:rsidR="009B1D1A" w:rsidRPr="00A818E9" w:rsidRDefault="009B1D1A" w:rsidP="004B0DCC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A818E9">
              <w:t xml:space="preserve">Аналогично на чл. 22 и чл. 28 предлагам в чл. 43 а, ал. </w:t>
            </w:r>
            <w:r w:rsidR="00880C5F" w:rsidRPr="00A818E9">
              <w:t> </w:t>
            </w:r>
            <w:r w:rsidRPr="00A818E9">
              <w:t>(1) да се добавят и операторите;</w:t>
            </w:r>
          </w:p>
        </w:tc>
        <w:tc>
          <w:tcPr>
            <w:tcW w:w="1560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14:paraId="50D12A3C" w14:textId="77777777" w:rsidR="009B1D1A" w:rsidRPr="00A818E9" w:rsidRDefault="003646EB">
            <w:r w:rsidRPr="00A818E9">
              <w:t>Не се приема</w:t>
            </w:r>
          </w:p>
        </w:tc>
        <w:tc>
          <w:tcPr>
            <w:tcW w:w="4191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14:paraId="034E0DCD" w14:textId="0B275279" w:rsidR="009B1D1A" w:rsidRPr="00A818E9" w:rsidRDefault="00A50A90" w:rsidP="001B7E62">
            <w:pPr>
              <w:jc w:val="both"/>
            </w:pPr>
            <w:r w:rsidRPr="00A818E9">
              <w:t xml:space="preserve">Възможно е операторите </w:t>
            </w:r>
            <w:r w:rsidR="00E75865" w:rsidRPr="00A818E9">
              <w:t xml:space="preserve">в пристанище </w:t>
            </w:r>
            <w:r w:rsidRPr="00A818E9">
              <w:t xml:space="preserve">да са повече от един и/или да </w:t>
            </w:r>
            <w:r w:rsidRPr="00A818E9">
              <w:lastRenderedPageBreak/>
              <w:t>извършват дейност въз основа на краткосрочни договори. По тази причина  отговор</w:t>
            </w:r>
            <w:r w:rsidR="001B7E62" w:rsidRPr="00A818E9">
              <w:t>ни</w:t>
            </w:r>
            <w:r w:rsidRPr="00A818E9">
              <w:t xml:space="preserve"> за предоставянето на данни за обема и количеството на пасивно уловените отпадъци  в пристанището е необходимо да бъд</w:t>
            </w:r>
            <w:r w:rsidR="0050600C" w:rsidRPr="00A818E9">
              <w:t>ат собствениците на територията и инфраструктурата на пристанищата по чл. 107 от ЗМПВВППРБ</w:t>
            </w:r>
            <w:r w:rsidRPr="00A818E9">
              <w:t xml:space="preserve">. </w:t>
            </w:r>
          </w:p>
        </w:tc>
      </w:tr>
      <w:tr w:rsidR="009B1D1A" w14:paraId="44FA0114" w14:textId="77777777" w:rsidTr="00EA0F91">
        <w:trPr>
          <w:trHeight w:val="596"/>
        </w:trPr>
        <w:tc>
          <w:tcPr>
            <w:tcW w:w="622" w:type="dxa"/>
            <w:vMerge/>
            <w:tcBorders>
              <w:left w:val="single" w:sz="36" w:space="0" w:color="2E74B5"/>
              <w:right w:val="single" w:sz="18" w:space="0" w:color="2E74B5"/>
            </w:tcBorders>
          </w:tcPr>
          <w:p w14:paraId="573BAA21" w14:textId="77777777" w:rsidR="009B1D1A" w:rsidRDefault="009B1D1A" w:rsidP="003A69BB">
            <w:pPr>
              <w:tabs>
                <w:tab w:val="left" w:pos="192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left w:val="single" w:sz="18" w:space="0" w:color="2E74B5"/>
              <w:right w:val="single" w:sz="18" w:space="0" w:color="2E74B5"/>
            </w:tcBorders>
          </w:tcPr>
          <w:p w14:paraId="26FAAAC0" w14:textId="77777777" w:rsidR="009B1D1A" w:rsidRPr="0030734B" w:rsidRDefault="009B1D1A">
            <w:pPr>
              <w:rPr>
                <w:b/>
              </w:rPr>
            </w:pPr>
          </w:p>
        </w:tc>
        <w:tc>
          <w:tcPr>
            <w:tcW w:w="5802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14:paraId="79755DC4" w14:textId="77777777" w:rsidR="009B1D1A" w:rsidRPr="00A818E9" w:rsidRDefault="009B1D1A" w:rsidP="004B0DCC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A818E9">
              <w:t>Предлагам в чл. 65 ал. (1) - да се добави точка 7 "адрес на управление";</w:t>
            </w:r>
          </w:p>
        </w:tc>
        <w:tc>
          <w:tcPr>
            <w:tcW w:w="1560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14:paraId="269B1620" w14:textId="77777777" w:rsidR="009B1D1A" w:rsidRPr="00A818E9" w:rsidRDefault="00880C5F">
            <w:r w:rsidRPr="00A818E9">
              <w:t>Приема се</w:t>
            </w:r>
          </w:p>
        </w:tc>
        <w:tc>
          <w:tcPr>
            <w:tcW w:w="4191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14:paraId="26AC8F16" w14:textId="77777777" w:rsidR="009B1D1A" w:rsidRPr="00A818E9" w:rsidRDefault="009B1D1A"/>
        </w:tc>
      </w:tr>
      <w:tr w:rsidR="009B1D1A" w14:paraId="566953D3" w14:textId="77777777" w:rsidTr="00EA0F91">
        <w:trPr>
          <w:trHeight w:val="596"/>
        </w:trPr>
        <w:tc>
          <w:tcPr>
            <w:tcW w:w="622" w:type="dxa"/>
            <w:vMerge/>
            <w:tcBorders>
              <w:left w:val="single" w:sz="36" w:space="0" w:color="2E74B5"/>
              <w:right w:val="single" w:sz="18" w:space="0" w:color="2E74B5"/>
            </w:tcBorders>
          </w:tcPr>
          <w:p w14:paraId="46083E0C" w14:textId="77777777" w:rsidR="009B1D1A" w:rsidRDefault="009B1D1A" w:rsidP="003A69BB">
            <w:pPr>
              <w:tabs>
                <w:tab w:val="left" w:pos="192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left w:val="single" w:sz="18" w:space="0" w:color="2E74B5"/>
              <w:right w:val="single" w:sz="18" w:space="0" w:color="2E74B5"/>
            </w:tcBorders>
          </w:tcPr>
          <w:p w14:paraId="45412DC6" w14:textId="77777777" w:rsidR="009B1D1A" w:rsidRPr="0030734B" w:rsidRDefault="009B1D1A">
            <w:pPr>
              <w:rPr>
                <w:b/>
              </w:rPr>
            </w:pPr>
          </w:p>
        </w:tc>
        <w:tc>
          <w:tcPr>
            <w:tcW w:w="5802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14:paraId="7085CF7B" w14:textId="77777777" w:rsidR="009B1D1A" w:rsidRPr="00A818E9" w:rsidRDefault="009B1D1A" w:rsidP="004B0DCC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A818E9">
              <w:t>Считам, че в чл.</w:t>
            </w:r>
            <w:r w:rsidR="00880C5F" w:rsidRPr="00A818E9">
              <w:t xml:space="preserve"> </w:t>
            </w:r>
            <w:r w:rsidRPr="00A818E9">
              <w:t>70, ал. (1) след текста чл.</w:t>
            </w:r>
            <w:r w:rsidR="0030734B" w:rsidRPr="00A818E9">
              <w:t xml:space="preserve"> </w:t>
            </w:r>
            <w:r w:rsidRPr="00A818E9">
              <w:t>116, ал. 2 е редно да се добави т. 2 и т. 3;</w:t>
            </w:r>
          </w:p>
        </w:tc>
        <w:tc>
          <w:tcPr>
            <w:tcW w:w="1560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14:paraId="5875979F" w14:textId="77777777" w:rsidR="009B1D1A" w:rsidRPr="00A818E9" w:rsidRDefault="00880C5F">
            <w:r w:rsidRPr="00A818E9">
              <w:t>Приема се</w:t>
            </w:r>
          </w:p>
        </w:tc>
        <w:tc>
          <w:tcPr>
            <w:tcW w:w="4191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14:paraId="32468501" w14:textId="77777777" w:rsidR="009B1D1A" w:rsidRPr="00A818E9" w:rsidRDefault="009B1D1A"/>
        </w:tc>
      </w:tr>
      <w:tr w:rsidR="009B1D1A" w14:paraId="21F07BBB" w14:textId="77777777" w:rsidTr="00EA0F91">
        <w:trPr>
          <w:trHeight w:val="596"/>
        </w:trPr>
        <w:tc>
          <w:tcPr>
            <w:tcW w:w="622" w:type="dxa"/>
            <w:vMerge/>
            <w:tcBorders>
              <w:left w:val="single" w:sz="36" w:space="0" w:color="2E74B5"/>
              <w:right w:val="single" w:sz="18" w:space="0" w:color="2E74B5"/>
            </w:tcBorders>
          </w:tcPr>
          <w:p w14:paraId="21C1A50A" w14:textId="77777777" w:rsidR="009B1D1A" w:rsidRDefault="009B1D1A" w:rsidP="003A69BB">
            <w:pPr>
              <w:tabs>
                <w:tab w:val="left" w:pos="192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left w:val="single" w:sz="18" w:space="0" w:color="2E74B5"/>
              <w:right w:val="single" w:sz="18" w:space="0" w:color="2E74B5"/>
            </w:tcBorders>
          </w:tcPr>
          <w:p w14:paraId="1CE52CE1" w14:textId="77777777" w:rsidR="009B1D1A" w:rsidRPr="0030734B" w:rsidRDefault="009B1D1A">
            <w:pPr>
              <w:rPr>
                <w:b/>
              </w:rPr>
            </w:pPr>
          </w:p>
        </w:tc>
        <w:tc>
          <w:tcPr>
            <w:tcW w:w="5802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14:paraId="1EF768B7" w14:textId="1D7CF9B6" w:rsidR="009B1D1A" w:rsidRPr="00A818E9" w:rsidRDefault="009B1D1A" w:rsidP="004B0DCC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A818E9">
              <w:t>От записаното в предложението за промяна излиза, че за обектите след 2000 г. не се изискват документи за въвеждане в експло</w:t>
            </w:r>
            <w:r w:rsidR="00083B30" w:rsidRPr="00A818E9">
              <w:t>а</w:t>
            </w:r>
            <w:r w:rsidRPr="00A818E9">
              <w:t>тация и затова предлагам в чл.72, ал. (1), т.</w:t>
            </w:r>
            <w:r w:rsidR="00880C5F" w:rsidRPr="00A818E9">
              <w:t xml:space="preserve"> </w:t>
            </w:r>
            <w:r w:rsidRPr="00A818E9">
              <w:t>3 - да се добави запетая в края на изречението и да следва пояснението, че "справката за строежи след 2000 година се извършва по служебен път";</w:t>
            </w:r>
          </w:p>
        </w:tc>
        <w:tc>
          <w:tcPr>
            <w:tcW w:w="1560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14:paraId="1478F812" w14:textId="30130EE6" w:rsidR="009B1D1A" w:rsidRPr="00A818E9" w:rsidRDefault="00DF7D37" w:rsidP="00880C5F">
            <w:r w:rsidRPr="00A818E9">
              <w:t>Не се приема</w:t>
            </w:r>
          </w:p>
        </w:tc>
        <w:tc>
          <w:tcPr>
            <w:tcW w:w="4191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14:paraId="3E9E6FCA" w14:textId="77777777" w:rsidR="009907B4" w:rsidRPr="00A818E9" w:rsidRDefault="009907B4" w:rsidP="009907B4">
            <w:pPr>
              <w:jc w:val="both"/>
            </w:pPr>
            <w:r w:rsidRPr="00A818E9">
              <w:t>Предложената промяна не е необходима, доколкото на общо основание се прилага чл. 72, ал. 5, т. 8:</w:t>
            </w:r>
          </w:p>
          <w:p w14:paraId="5F336A21" w14:textId="77777777" w:rsidR="009907B4" w:rsidRPr="00A818E9" w:rsidRDefault="009907B4" w:rsidP="009907B4">
            <w:pPr>
              <w:shd w:val="clear" w:color="auto" w:fill="FFFFFF"/>
              <w:jc w:val="both"/>
              <w:rPr>
                <w:i/>
                <w:spacing w:val="-2"/>
              </w:rPr>
            </w:pPr>
            <w:r w:rsidRPr="00A818E9">
              <w:rPr>
                <w:i/>
              </w:rPr>
              <w:t xml:space="preserve">чл. 72 </w:t>
            </w:r>
            <w:r w:rsidRPr="00A818E9">
              <w:rPr>
                <w:i/>
                <w:spacing w:val="-2"/>
              </w:rPr>
              <w:t>(5) Факти и обстоятелства, които се считат служебно известни на Изпълнителна агенция "Морска администрация" и не се нуждаят от доказване в производството по издаване на първо удостоверение за експлоатационна годност на пристанище, са:</w:t>
            </w:r>
          </w:p>
          <w:p w14:paraId="527B5458" w14:textId="77777777" w:rsidR="009907B4" w:rsidRPr="00A818E9" w:rsidRDefault="009907B4" w:rsidP="009907B4">
            <w:pPr>
              <w:shd w:val="clear" w:color="auto" w:fill="FFFFFF"/>
              <w:jc w:val="both"/>
              <w:rPr>
                <w:i/>
                <w:spacing w:val="-2"/>
              </w:rPr>
            </w:pPr>
            <w:r w:rsidRPr="00A818E9">
              <w:rPr>
                <w:i/>
                <w:spacing w:val="-2"/>
              </w:rPr>
              <w:t>8. всички други факти и обстоятелства, които са от значение в производството и се съдържат в публични регистри или са били надлежно доказани в рамките на друго производство пред агенцията.</w:t>
            </w:r>
          </w:p>
          <w:p w14:paraId="7FD177DE" w14:textId="22A7A38C" w:rsidR="009B1D1A" w:rsidRPr="00A818E9" w:rsidRDefault="009B1D1A" w:rsidP="009907B4">
            <w:pPr>
              <w:jc w:val="both"/>
            </w:pPr>
          </w:p>
        </w:tc>
      </w:tr>
      <w:tr w:rsidR="009B1D1A" w14:paraId="0543C5EF" w14:textId="77777777" w:rsidTr="00EA0F91">
        <w:trPr>
          <w:trHeight w:val="596"/>
        </w:trPr>
        <w:tc>
          <w:tcPr>
            <w:tcW w:w="622" w:type="dxa"/>
            <w:vMerge/>
            <w:tcBorders>
              <w:left w:val="single" w:sz="36" w:space="0" w:color="2E74B5"/>
              <w:right w:val="single" w:sz="18" w:space="0" w:color="2E74B5"/>
            </w:tcBorders>
          </w:tcPr>
          <w:p w14:paraId="21C786FB" w14:textId="77777777" w:rsidR="009B1D1A" w:rsidRDefault="009B1D1A" w:rsidP="003A69BB">
            <w:pPr>
              <w:tabs>
                <w:tab w:val="left" w:pos="192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left w:val="single" w:sz="18" w:space="0" w:color="2E74B5"/>
              <w:right w:val="single" w:sz="18" w:space="0" w:color="2E74B5"/>
            </w:tcBorders>
          </w:tcPr>
          <w:p w14:paraId="7E92210C" w14:textId="77777777" w:rsidR="009B1D1A" w:rsidRPr="0030734B" w:rsidRDefault="009B1D1A">
            <w:pPr>
              <w:rPr>
                <w:b/>
              </w:rPr>
            </w:pPr>
          </w:p>
        </w:tc>
        <w:tc>
          <w:tcPr>
            <w:tcW w:w="5802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14:paraId="470ACFB5" w14:textId="77777777" w:rsidR="009B1D1A" w:rsidRPr="00A818E9" w:rsidRDefault="009B1D1A" w:rsidP="004B0DCC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A818E9">
              <w:t>Аналогично на чл.</w:t>
            </w:r>
            <w:r w:rsidR="00880C5F" w:rsidRPr="00A818E9">
              <w:t xml:space="preserve"> </w:t>
            </w:r>
            <w:r w:rsidRPr="00A818E9">
              <w:t>72 в чл.</w:t>
            </w:r>
            <w:r w:rsidR="00880C5F" w:rsidRPr="00A818E9">
              <w:t xml:space="preserve"> </w:t>
            </w:r>
            <w:r w:rsidRPr="00A818E9">
              <w:t>74, ал. (3), т.</w:t>
            </w:r>
            <w:r w:rsidR="00880C5F" w:rsidRPr="00A818E9">
              <w:t xml:space="preserve"> </w:t>
            </w:r>
            <w:r w:rsidRPr="00A818E9">
              <w:t>1 - да се добави запетая в края на изречението и да следва пояснението, че "справката за строежи след 2000 годи</w:t>
            </w:r>
            <w:r w:rsidR="006A44E2" w:rsidRPr="00A818E9">
              <w:t>на се извършва по служебен път".</w:t>
            </w:r>
          </w:p>
        </w:tc>
        <w:tc>
          <w:tcPr>
            <w:tcW w:w="1560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14:paraId="04CF2075" w14:textId="40400629" w:rsidR="009B1D1A" w:rsidRPr="00A818E9" w:rsidRDefault="00DF7D37">
            <w:r w:rsidRPr="00A818E9">
              <w:t>Не се приема</w:t>
            </w:r>
          </w:p>
        </w:tc>
        <w:tc>
          <w:tcPr>
            <w:tcW w:w="4191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14:paraId="43F8EB0E" w14:textId="5D949C1C" w:rsidR="00DF7D37" w:rsidRPr="00A818E9" w:rsidRDefault="00DF7D37" w:rsidP="009907B4">
            <w:pPr>
              <w:jc w:val="both"/>
            </w:pPr>
            <w:r w:rsidRPr="00A818E9">
              <w:t>П</w:t>
            </w:r>
            <w:r w:rsidR="009907B4" w:rsidRPr="00A818E9">
              <w:t xml:space="preserve">редложената промяна </w:t>
            </w:r>
            <w:r w:rsidRPr="00A818E9">
              <w:t>не е необходима, доколкото на общо основание се прилага чл. 72, ал. 5, т. 8:</w:t>
            </w:r>
          </w:p>
          <w:p w14:paraId="3F5E47BC" w14:textId="77777777" w:rsidR="00DF7D37" w:rsidRPr="00A818E9" w:rsidRDefault="00DF7D37" w:rsidP="009907B4">
            <w:pPr>
              <w:shd w:val="clear" w:color="auto" w:fill="FFFFFF"/>
              <w:jc w:val="both"/>
              <w:rPr>
                <w:i/>
                <w:spacing w:val="-2"/>
              </w:rPr>
            </w:pPr>
            <w:r w:rsidRPr="00A818E9">
              <w:rPr>
                <w:i/>
              </w:rPr>
              <w:t xml:space="preserve">чл. 72 </w:t>
            </w:r>
            <w:r w:rsidRPr="00A818E9">
              <w:rPr>
                <w:i/>
                <w:spacing w:val="-2"/>
              </w:rPr>
              <w:t>(5) Факти и обстоятелства, които се считат служебно известни на Изпълнителна агенция "Морска администрация" и не се нуждаят от доказване в производството по издаване на първо удостоверение за експлоатационна годност на пристанище, са:</w:t>
            </w:r>
          </w:p>
          <w:p w14:paraId="1EF2D45C" w14:textId="77777777" w:rsidR="00DF7D37" w:rsidRPr="00A818E9" w:rsidRDefault="00DF7D37" w:rsidP="009907B4">
            <w:pPr>
              <w:shd w:val="clear" w:color="auto" w:fill="FFFFFF"/>
              <w:jc w:val="both"/>
              <w:rPr>
                <w:i/>
                <w:spacing w:val="-2"/>
              </w:rPr>
            </w:pPr>
            <w:r w:rsidRPr="00A818E9">
              <w:rPr>
                <w:i/>
                <w:spacing w:val="-2"/>
              </w:rPr>
              <w:t>8. всички други факти и обстоятелства, които са от значение в производството и се съдържат в публични регистри или са били надлежно доказани в рамките на друго производство пред агенцията.</w:t>
            </w:r>
          </w:p>
          <w:p w14:paraId="191CE9D8" w14:textId="62E345C8" w:rsidR="00DF7D37" w:rsidRPr="00A818E9" w:rsidRDefault="00DF7D37" w:rsidP="009907B4">
            <w:pPr>
              <w:jc w:val="both"/>
            </w:pPr>
          </w:p>
        </w:tc>
      </w:tr>
    </w:tbl>
    <w:p w14:paraId="6AD41011" w14:textId="77777777" w:rsidR="00B933C7" w:rsidRPr="003C65FA" w:rsidRDefault="00B933C7" w:rsidP="003C65FA">
      <w:pPr>
        <w:ind w:left="9912" w:right="1133" w:firstLine="708"/>
        <w:jc w:val="center"/>
        <w:textAlignment w:val="center"/>
        <w:rPr>
          <w:rFonts w:eastAsia="Calibri"/>
          <w:sz w:val="20"/>
        </w:rPr>
      </w:pPr>
    </w:p>
    <w:p w14:paraId="4D2B19C6" w14:textId="64795063" w:rsidR="00B26671" w:rsidRPr="003C65FA" w:rsidRDefault="00B26671" w:rsidP="003C65FA">
      <w:pPr>
        <w:ind w:left="9912" w:right="1133" w:firstLine="708"/>
        <w:jc w:val="center"/>
        <w:textAlignment w:val="center"/>
        <w:rPr>
          <w:rFonts w:eastAsia="Calibri"/>
          <w:color w:val="FFFFFF" w:themeColor="background1"/>
          <w:sz w:val="20"/>
        </w:rPr>
      </w:pPr>
      <w:bookmarkStart w:id="0" w:name="_GoBack"/>
      <w:r w:rsidRPr="003C65FA">
        <w:rPr>
          <w:rFonts w:eastAsia="Calibri"/>
          <w:color w:val="FFFFFF" w:themeColor="background1"/>
          <w:sz w:val="20"/>
        </w:rPr>
        <w:t>Изготвил:</w:t>
      </w:r>
    </w:p>
    <w:p w14:paraId="1D0DDBAE" w14:textId="77777777" w:rsidR="00B933C7" w:rsidRPr="003C65FA" w:rsidRDefault="00B933C7" w:rsidP="003C65FA">
      <w:pPr>
        <w:ind w:left="9912" w:right="1133" w:firstLine="708"/>
        <w:jc w:val="center"/>
        <w:textAlignment w:val="center"/>
        <w:rPr>
          <w:rFonts w:eastAsia="Calibri"/>
          <w:color w:val="FFFFFF" w:themeColor="background1"/>
          <w:sz w:val="20"/>
        </w:rPr>
      </w:pPr>
    </w:p>
    <w:p w14:paraId="0988911C" w14:textId="77777777" w:rsidR="00B26671" w:rsidRPr="003C65FA" w:rsidRDefault="00B26671" w:rsidP="003C65FA">
      <w:pPr>
        <w:ind w:left="10620"/>
        <w:jc w:val="center"/>
        <w:rPr>
          <w:rFonts w:eastAsia="Calibri"/>
          <w:b/>
          <w:color w:val="FFFFFF" w:themeColor="background1"/>
          <w:sz w:val="20"/>
        </w:rPr>
      </w:pPr>
      <w:r w:rsidRPr="003C65FA">
        <w:rPr>
          <w:rFonts w:eastAsia="Calibri"/>
          <w:b/>
          <w:color w:val="FFFFFF" w:themeColor="background1"/>
          <w:sz w:val="20"/>
        </w:rPr>
        <w:t>Елеонора Караколева</w:t>
      </w:r>
    </w:p>
    <w:p w14:paraId="573390EC" w14:textId="77777777" w:rsidR="00B26671" w:rsidRPr="003C65FA" w:rsidRDefault="00B26671" w:rsidP="003C65FA">
      <w:pPr>
        <w:jc w:val="right"/>
        <w:rPr>
          <w:color w:val="FFFFFF" w:themeColor="background1"/>
        </w:rPr>
      </w:pPr>
      <w:r w:rsidRPr="003C65FA">
        <w:rPr>
          <w:i/>
          <w:color w:val="FFFFFF" w:themeColor="background1"/>
          <w:sz w:val="20"/>
        </w:rPr>
        <w:t>Старши експерт, ППУ, ИАМА</w:t>
      </w:r>
    </w:p>
    <w:bookmarkEnd w:id="0"/>
    <w:p w14:paraId="140D19B9" w14:textId="77777777" w:rsidR="00156A88" w:rsidRPr="003C65FA" w:rsidRDefault="00156A88" w:rsidP="003C65FA"/>
    <w:sectPr w:rsidR="00156A88" w:rsidRPr="003C65FA" w:rsidSect="00D34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695C6" w14:textId="77777777" w:rsidR="001E72A1" w:rsidRDefault="001E72A1" w:rsidP="00D031B2">
      <w:r>
        <w:separator/>
      </w:r>
    </w:p>
  </w:endnote>
  <w:endnote w:type="continuationSeparator" w:id="0">
    <w:p w14:paraId="21E1365E" w14:textId="77777777" w:rsidR="001E72A1" w:rsidRDefault="001E72A1" w:rsidP="00D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F0FB4" w14:textId="77777777" w:rsidR="00D031B2" w:rsidRDefault="00D03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709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BED8C" w14:textId="24193828" w:rsidR="00D031B2" w:rsidRDefault="00D031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5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59574E" w14:textId="77777777" w:rsidR="00D031B2" w:rsidRDefault="00D03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539ED" w14:textId="77777777" w:rsidR="00D031B2" w:rsidRDefault="00D03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39E46" w14:textId="77777777" w:rsidR="001E72A1" w:rsidRDefault="001E72A1" w:rsidP="00D031B2">
      <w:r>
        <w:separator/>
      </w:r>
    </w:p>
  </w:footnote>
  <w:footnote w:type="continuationSeparator" w:id="0">
    <w:p w14:paraId="6A456F69" w14:textId="77777777" w:rsidR="001E72A1" w:rsidRDefault="001E72A1" w:rsidP="00D0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2D80B" w14:textId="77777777" w:rsidR="00D031B2" w:rsidRDefault="00D03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D54CA" w14:textId="77777777" w:rsidR="00D031B2" w:rsidRDefault="00D031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B043" w14:textId="77777777" w:rsidR="00D031B2" w:rsidRDefault="00D03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94322"/>
    <w:multiLevelType w:val="multilevel"/>
    <w:tmpl w:val="6D92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083B30"/>
    <w:rsid w:val="00156A88"/>
    <w:rsid w:val="001B7E62"/>
    <w:rsid w:val="001E72A1"/>
    <w:rsid w:val="0030734B"/>
    <w:rsid w:val="003646EB"/>
    <w:rsid w:val="003935FF"/>
    <w:rsid w:val="003A69BB"/>
    <w:rsid w:val="003C65FA"/>
    <w:rsid w:val="004B0DCC"/>
    <w:rsid w:val="004D0B94"/>
    <w:rsid w:val="0050600C"/>
    <w:rsid w:val="00541225"/>
    <w:rsid w:val="00545A6C"/>
    <w:rsid w:val="00632719"/>
    <w:rsid w:val="006A44E2"/>
    <w:rsid w:val="00880C5F"/>
    <w:rsid w:val="00925947"/>
    <w:rsid w:val="009907B4"/>
    <w:rsid w:val="009B1D1A"/>
    <w:rsid w:val="00A50A90"/>
    <w:rsid w:val="00A818E9"/>
    <w:rsid w:val="00B26671"/>
    <w:rsid w:val="00B7494C"/>
    <w:rsid w:val="00B933C7"/>
    <w:rsid w:val="00C63989"/>
    <w:rsid w:val="00CA2FB8"/>
    <w:rsid w:val="00CA7EC2"/>
    <w:rsid w:val="00D031B2"/>
    <w:rsid w:val="00D3407A"/>
    <w:rsid w:val="00D523CE"/>
    <w:rsid w:val="00DD09C7"/>
    <w:rsid w:val="00DF7D37"/>
    <w:rsid w:val="00E47F97"/>
    <w:rsid w:val="00E75865"/>
    <w:rsid w:val="00EA0F91"/>
    <w:rsid w:val="00EE7553"/>
    <w:rsid w:val="00F61283"/>
    <w:rsid w:val="00F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5722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A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A7EC2"/>
    <w:pPr>
      <w:spacing w:before="240" w:after="60"/>
      <w:outlineLvl w:val="6"/>
    </w:pPr>
    <w:rPr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6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2594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7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3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34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34B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34B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Heading7Char">
    <w:name w:val="Heading 7 Char"/>
    <w:basedOn w:val="DefaultParagraphFont"/>
    <w:link w:val="Heading7"/>
    <w:qFormat/>
    <w:rsid w:val="00CA7EC2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D031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1B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031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1B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122">
          <w:marLeft w:val="0"/>
          <w:marRight w:val="105"/>
          <w:marTop w:val="0"/>
          <w:marBottom w:val="90"/>
          <w:divBdr>
            <w:top w:val="single" w:sz="6" w:space="1" w:color="D8D8D8"/>
            <w:left w:val="single" w:sz="6" w:space="6" w:color="D8D8D8"/>
            <w:bottom w:val="single" w:sz="6" w:space="1" w:color="D8D8D8"/>
            <w:right w:val="single" w:sz="6" w:space="6" w:color="D8D8D8"/>
          </w:divBdr>
        </w:div>
        <w:div w:id="12515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700">
          <w:marLeft w:val="0"/>
          <w:marRight w:val="105"/>
          <w:marTop w:val="0"/>
          <w:marBottom w:val="90"/>
          <w:divBdr>
            <w:top w:val="single" w:sz="6" w:space="1" w:color="D8D8D8"/>
            <w:left w:val="single" w:sz="6" w:space="6" w:color="D8D8D8"/>
            <w:bottom w:val="single" w:sz="6" w:space="1" w:color="D8D8D8"/>
            <w:right w:val="single" w:sz="6" w:space="6" w:color="D8D8D8"/>
          </w:divBdr>
        </w:div>
        <w:div w:id="717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Eleonora Karakoleva</cp:lastModifiedBy>
  <cp:revision>13</cp:revision>
  <cp:lastPrinted>2024-01-05T11:33:00Z</cp:lastPrinted>
  <dcterms:created xsi:type="dcterms:W3CDTF">2023-06-19T06:34:00Z</dcterms:created>
  <dcterms:modified xsi:type="dcterms:W3CDTF">2024-01-05T11:37:00Z</dcterms:modified>
</cp:coreProperties>
</file>