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НАРЕДБА № Н-21 от 19.12.2023 г. за изискванията към чистите превозни средства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Издадена от министъра на транспорта и съобщенията, обн., ДВ, бр. 2 от 5.01.2024 г., в сила от 5.01.2024 г.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</w:t>
      </w:r>
      <w:r>
        <w:rPr>
          <w:rFonts w:ascii="Times New Roman" w:hAnsi="Times New Roman" w:cs="Times New Roman"/>
          <w:sz w:val="24"/>
          <w:szCs w:val="24"/>
          <w:lang w:val="x-none"/>
        </w:rPr>
        <w:t>. (1) С тази наредба се определят изискванията към чистите прево</w:t>
      </w:r>
      <w:r>
        <w:rPr>
          <w:rFonts w:ascii="Times New Roman" w:hAnsi="Times New Roman" w:cs="Times New Roman"/>
          <w:sz w:val="24"/>
          <w:szCs w:val="24"/>
          <w:lang w:val="x-none"/>
        </w:rPr>
        <w:t>зни средства, които се прилагат при възлагане на обществени поръчки за доставка на превозни средства от категории M1, M2, M3, N1, N2 и N3, определени в чл. 149, ал. 1 от Закона за движението по пътищата, както и при възлагане на обществени поръчки за услуг</w:t>
      </w:r>
      <w:r>
        <w:rPr>
          <w:rFonts w:ascii="Times New Roman" w:hAnsi="Times New Roman" w:cs="Times New Roman"/>
          <w:sz w:val="24"/>
          <w:szCs w:val="24"/>
          <w:lang w:val="x-none"/>
        </w:rPr>
        <w:t>и по приложение № 21 към чл. 47, ал. 5 от Закона за обществените поръчки и за услуги за превози по автобусни линии съгласно Регламент (ЕО) № 1370/2007 на Европейския парламент и на Съвета от 23 октомври 2007 г. относно обществените услуги за пътнически пре</w:t>
      </w:r>
      <w:r>
        <w:rPr>
          <w:rFonts w:ascii="Times New Roman" w:hAnsi="Times New Roman" w:cs="Times New Roman"/>
          <w:sz w:val="24"/>
          <w:szCs w:val="24"/>
          <w:lang w:val="x-none"/>
        </w:rPr>
        <w:t>воз с железопътен и автомобилен транспорт и за отмяна на регламенти (ЕИО) № 1191/69 и (ЕИО) № 1107/70 на Съвета (ОВ, L 315, 3.12.2007 г.), при извършването на които услуги се използват посочените превозни средства.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Наредбата се прилага при възлагане н</w:t>
      </w:r>
      <w:r>
        <w:rPr>
          <w:rFonts w:ascii="Times New Roman" w:hAnsi="Times New Roman" w:cs="Times New Roman"/>
          <w:sz w:val="24"/>
          <w:szCs w:val="24"/>
          <w:lang w:val="x-none"/>
        </w:rPr>
        <w:t>а обществени поръчки за доставка на превозни средства от категории M1, M2, M3, N1, N2 и N3, определени в чл. 149, ал. 1 от Закона за движението по пътищата и за доставка на превозни средства, посочени в приложение I, част А, точки 5.2 (бронирано превозно с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редство), 5.4 (катафалки) и 5.5 (превозно средство, достъпно за инвалидни колички) от Регламент (ЕС) 2018/858 на Европейския парламент и на Съвета от 30 май 2018 г. относно одобряването и надзора на пазара на моторни превозни средства и техните ремаркета, </w:t>
      </w:r>
      <w:r>
        <w:rPr>
          <w:rFonts w:ascii="Times New Roman" w:hAnsi="Times New Roman" w:cs="Times New Roman"/>
          <w:sz w:val="24"/>
          <w:szCs w:val="24"/>
          <w:lang w:val="x-none"/>
        </w:rPr>
        <w:t>както и на системи, компоненти и отделни технически възли, предназначени за такива превозни средства, за изменение на регламенти (ЕО) № 715/2007 и (ЕО) № 595/2009 и за отмяна на Директива 2007/46/ЕО (ОВ, L 151, 14.06.2018 г.) (Регламент (ЕС) 2018/858), как</w:t>
      </w:r>
      <w:r>
        <w:rPr>
          <w:rFonts w:ascii="Times New Roman" w:hAnsi="Times New Roman" w:cs="Times New Roman"/>
          <w:sz w:val="24"/>
          <w:szCs w:val="24"/>
          <w:lang w:val="x-none"/>
        </w:rPr>
        <w:t>то и при възлагане на обществени поръчки за услуги по чл. 47, ал. 5 от Закона за обществените поръчки, при извършването на които се използват посочените превозни средства.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</w:t>
      </w:r>
      <w:r>
        <w:rPr>
          <w:rFonts w:ascii="Times New Roman" w:hAnsi="Times New Roman" w:cs="Times New Roman"/>
          <w:sz w:val="24"/>
          <w:szCs w:val="24"/>
          <w:lang w:val="x-none"/>
        </w:rPr>
        <w:t>. Наредбата не се прилага при възлагане на обществени поръчки за следните прево</w:t>
      </w:r>
      <w:r>
        <w:rPr>
          <w:rFonts w:ascii="Times New Roman" w:hAnsi="Times New Roman" w:cs="Times New Roman"/>
          <w:sz w:val="24"/>
          <w:szCs w:val="24"/>
          <w:lang w:val="x-none"/>
        </w:rPr>
        <w:t>зни средства: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превозни средства, посочени в член 2, параграф 2, буква "а" (земеделски и горски превозни средства, както са определени в Регламент (ЕО) № 167/2013 на Европейския парламент и на Съвета от 5 февруари 2013 г. относно одобряването и надзора </w:t>
      </w:r>
      <w:r>
        <w:rPr>
          <w:rFonts w:ascii="Times New Roman" w:hAnsi="Times New Roman" w:cs="Times New Roman"/>
          <w:sz w:val="24"/>
          <w:szCs w:val="24"/>
          <w:lang w:val="x-none"/>
        </w:rPr>
        <w:t>на пазара на земеделски и горски превозни средства (OВ, L 60, 2.03.2013 г.), буква "б" (дву-, три- и четириколесни превозни средства, както са определени в Регламент (ЕС) № 168/2013 на Европейския парламент и на Съвета от 15 януари 2013 г. относно одобрява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нето и надзора на пазара на дву-, три- и четириколесни превозни средства (OВ, L 60, 2.03.2013 г.) и буква "в" (верижни превозни средства) и в член 2, параграф 3, буква "в" (превозни средства, движещи се на собствен ход, проектирани и произведени специално </w:t>
      </w:r>
      <w:r>
        <w:rPr>
          <w:rFonts w:ascii="Times New Roman" w:hAnsi="Times New Roman" w:cs="Times New Roman"/>
          <w:sz w:val="24"/>
          <w:szCs w:val="24"/>
          <w:lang w:val="x-none"/>
        </w:rPr>
        <w:t>за извършване на работа, които поради конструктивните си характеристики не са подходящи за превоз на пътници или товари и които не представляват машини, монтирани на шасито на моторно превозно средство) от Регламент (ЕС) 2018/858;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превозни средства от </w:t>
      </w:r>
      <w:r>
        <w:rPr>
          <w:rFonts w:ascii="Times New Roman" w:hAnsi="Times New Roman" w:cs="Times New Roman"/>
          <w:sz w:val="24"/>
          <w:szCs w:val="24"/>
          <w:lang w:val="x-none"/>
        </w:rPr>
        <w:t>категория М3, различни от превозни средства от клас I и клас A, определени съответно в чл. 149, ал. 2, т. 1 и ал. 3, т. 1 от Закона за движението по пътищата;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превозни средства, посочени в член 2, параграф 2, буква "г" (превозни средства,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проектирани 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произведени, или адаптирани за използване единствено от въоръжените сили), параграф 3, букви "а" (превозни средства, проектирани и произведени за употреба предимно на строителни обекти или в кариери, пристанища и летища) и "б" (превозни средства, проектир</w:t>
      </w:r>
      <w:r>
        <w:rPr>
          <w:rFonts w:ascii="Times New Roman" w:hAnsi="Times New Roman" w:cs="Times New Roman"/>
          <w:sz w:val="24"/>
          <w:szCs w:val="24"/>
          <w:lang w:val="x-none"/>
        </w:rPr>
        <w:t>ани и произведени или адаптирани за употреба от гражданската защита, противопожарните служби и службите, отговорни за поддържане на обществения ред) и в приложение I, част А, точки 5.3 (линейки) и 5.7 (автокранове) от Регламент (ЕС) 2018/858.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</w:t>
      </w:r>
      <w:r>
        <w:rPr>
          <w:rFonts w:ascii="Times New Roman" w:hAnsi="Times New Roman" w:cs="Times New Roman"/>
          <w:sz w:val="24"/>
          <w:szCs w:val="24"/>
          <w:lang w:val="x-none"/>
        </w:rPr>
        <w:t>. Емисии</w:t>
      </w:r>
      <w:r>
        <w:rPr>
          <w:rFonts w:ascii="Times New Roman" w:hAnsi="Times New Roman" w:cs="Times New Roman"/>
          <w:sz w:val="24"/>
          <w:szCs w:val="24"/>
          <w:lang w:val="x-none"/>
        </w:rPr>
        <w:t>те на чистите леки превозни средства от категории М1, М2 и N1 не трябва да надвишават пределните стойности, посочени в приложението.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</w:t>
      </w:r>
      <w:r>
        <w:rPr>
          <w:rFonts w:ascii="Times New Roman" w:hAnsi="Times New Roman" w:cs="Times New Roman"/>
          <w:sz w:val="24"/>
          <w:szCs w:val="24"/>
          <w:lang w:val="x-none"/>
        </w:rPr>
        <w:t>. Когато в резултат на преоборудване в съответствие с Наредба № Н-3 от 18.02.2013 г. за изменение в конструкцията на р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егистрираните пътни превозни средства и индивидуално одобряване на пътни превозни средства, регистрирани извън държавите – членки на Европейския съюз, или друга държава – страна по Споразумението за Европейското икономическо пространство (обн., ДВ, бр. 21 </w:t>
      </w:r>
      <w:r>
        <w:rPr>
          <w:rFonts w:ascii="Times New Roman" w:hAnsi="Times New Roman" w:cs="Times New Roman"/>
          <w:sz w:val="24"/>
          <w:szCs w:val="24"/>
          <w:lang w:val="x-none"/>
        </w:rPr>
        <w:t>от 2013 г.; посл. изм., бр. 55 от 2019 г.) превозните средства отговарят на определението в § 1, т. 1, същите могат да се считат за чисти превозни средства или за превозни средства с нулеви емисии за целите на спазването на изискванията към чистите превозн</w:t>
      </w:r>
      <w:r>
        <w:rPr>
          <w:rFonts w:ascii="Times New Roman" w:hAnsi="Times New Roman" w:cs="Times New Roman"/>
          <w:sz w:val="24"/>
          <w:szCs w:val="24"/>
          <w:lang w:val="x-none"/>
        </w:rPr>
        <w:t>и средства, които се прилагат при възлагането на обществени поръчки.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ДОПЪЛНИТЕЛНИ РАЗПОРЕДБИ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1</w:t>
      </w:r>
      <w:r>
        <w:rPr>
          <w:rFonts w:ascii="Times New Roman" w:hAnsi="Times New Roman" w:cs="Times New Roman"/>
          <w:sz w:val="24"/>
          <w:szCs w:val="24"/>
          <w:lang w:val="x-none"/>
        </w:rPr>
        <w:t>. По смисъла на тази наредба: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"Чисто превозно средство" е: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a) превозно средство от категория M1, M2 или N1 с максимална емисия на отработили газове, израз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ена в CO2 g/km, и емисии на замърсители при реални условия на движение под приложимите пределни стойности на емисиите, определени в приложението, или, б) превозно средство от категория M3, N2 или N3, използващо алтернативни горива, с изключение на горива, </w:t>
      </w:r>
      <w:r>
        <w:rPr>
          <w:rFonts w:ascii="Times New Roman" w:hAnsi="Times New Roman" w:cs="Times New Roman"/>
          <w:sz w:val="24"/>
          <w:szCs w:val="24"/>
          <w:lang w:val="x-none"/>
        </w:rPr>
        <w:t>произведени от суровини с висок риск от непреки промени в земеползването, за които се наблюдава значително разширяване на производствения район в терени с високи въглеродни запаси, в съответствие с чл. 12, ал. 5 и чл. 13, ал. 4 и 5 от Закона за енергията о</w:t>
      </w:r>
      <w:r>
        <w:rPr>
          <w:rFonts w:ascii="Times New Roman" w:hAnsi="Times New Roman" w:cs="Times New Roman"/>
          <w:sz w:val="24"/>
          <w:szCs w:val="24"/>
          <w:lang w:val="x-none"/>
        </w:rPr>
        <w:t>т възобновяеми източници; при превозни средства, използващи течни биогорива, синтетични и парафинови горива, тези горива не се смесват с конвенционални изкопаеми горива;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в) тежкотоварно превозно средство с нулеви емисии, което отговаря на определението по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буква "б", без двигател с вътрешно горене или с двигател с вътрешно горене, който отделя по-малко от 1 g CO2/kWh, измерено в съответствие с Регламент (ЕО) № 595/2009 на Европейския парламент и на Съвета от 18 юни 2009 г. за одобрението на типа на моторни </w:t>
      </w:r>
      <w:r>
        <w:rPr>
          <w:rFonts w:ascii="Times New Roman" w:hAnsi="Times New Roman" w:cs="Times New Roman"/>
          <w:sz w:val="24"/>
          <w:szCs w:val="24"/>
          <w:lang w:val="x-none"/>
        </w:rPr>
        <w:t>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</w:t>
      </w:r>
      <w:r>
        <w:rPr>
          <w:rFonts w:ascii="Times New Roman" w:hAnsi="Times New Roman" w:cs="Times New Roman"/>
          <w:sz w:val="24"/>
          <w:szCs w:val="24"/>
          <w:lang w:val="x-none"/>
        </w:rPr>
        <w:t>а на директиви 80/1269/ЕИО, 2005/55/ЕО и 2005/78/ЕО (ОВ, L 188, 18.07.2009 г.) и мерките за неговото изпълнение, или което отделя по-малко от 1 g CO2/km, измерено в съответствие с Регламент (ЕО) № 715/2007 на Европейския парламент и на Съвета от 20 юни 200</w:t>
      </w:r>
      <w:r>
        <w:rPr>
          <w:rFonts w:ascii="Times New Roman" w:hAnsi="Times New Roman" w:cs="Times New Roman"/>
          <w:sz w:val="24"/>
          <w:szCs w:val="24"/>
          <w:lang w:val="x-none"/>
        </w:rPr>
        <w:t>7 г.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171, 29.06.200</w:t>
      </w:r>
      <w:r>
        <w:rPr>
          <w:rFonts w:ascii="Times New Roman" w:hAnsi="Times New Roman" w:cs="Times New Roman"/>
          <w:sz w:val="24"/>
          <w:szCs w:val="24"/>
          <w:lang w:val="x-none"/>
        </w:rPr>
        <w:t>7 г.) и мерките за неговото изпълнение.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"Алтернативни горива" са горива или източници на захранване, които поне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отчасти служат за заместител на изкопаемите нефтени източници при снабдяването с енергия на транспорта и имат потенциал да допринесат за нег</w:t>
      </w:r>
      <w:r>
        <w:rPr>
          <w:rFonts w:ascii="Times New Roman" w:hAnsi="Times New Roman" w:cs="Times New Roman"/>
          <w:sz w:val="24"/>
          <w:szCs w:val="24"/>
          <w:lang w:val="x-none"/>
        </w:rPr>
        <w:t>овата декарбонизация и да повишат екологичните показатели на транспортния сектор. За алтернативни горива се приемат, но не само: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– електроенергия;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– водород;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– биогорива;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– синтетични и парафинови горива;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– природен газ, включително биометан, в газооб</w:t>
      </w:r>
      <w:r>
        <w:rPr>
          <w:rFonts w:ascii="Times New Roman" w:hAnsi="Times New Roman" w:cs="Times New Roman"/>
          <w:sz w:val="24"/>
          <w:szCs w:val="24"/>
          <w:lang w:val="x-none"/>
        </w:rPr>
        <w:t>разна форма (сгъстен природен газ (СПГ) и втечнена форма (втечнен природен газ (ВПГ);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– втечнен нефтен газ (ВНГ).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"Биогорива" са течни или газообразни горива в транспорта, произведени от биомаса.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2</w:t>
      </w:r>
      <w:r>
        <w:rPr>
          <w:rFonts w:ascii="Times New Roman" w:hAnsi="Times New Roman" w:cs="Times New Roman"/>
          <w:sz w:val="24"/>
          <w:szCs w:val="24"/>
          <w:lang w:val="x-none"/>
        </w:rPr>
        <w:t>. Тази наредба въвежда изисквания на Директива (ЕС</w:t>
      </w:r>
      <w:r>
        <w:rPr>
          <w:rFonts w:ascii="Times New Roman" w:hAnsi="Times New Roman" w:cs="Times New Roman"/>
          <w:sz w:val="24"/>
          <w:szCs w:val="24"/>
          <w:lang w:val="x-none"/>
        </w:rPr>
        <w:t>) 2019/1161 на Европейския парламент и на Съвета от 20 юни 2019 г. за изменение на Директива 2009/33/ЕО за насърчаването на чисти и енергийноефективни пътни превозни средства (ОВ, L 188, 12.07.2019 г.).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ЗАКЛЮЧИТЕЛНИ РАЗПОРЕДБИ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3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Наредбата се издава на </w:t>
      </w:r>
      <w:r>
        <w:rPr>
          <w:rFonts w:ascii="Times New Roman" w:hAnsi="Times New Roman" w:cs="Times New Roman"/>
          <w:sz w:val="24"/>
          <w:szCs w:val="24"/>
          <w:lang w:val="x-none"/>
        </w:rPr>
        <w:t>основание чл. 47, ал. 8 от Закона за обществените поръчки.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4</w:t>
      </w:r>
      <w:r>
        <w:rPr>
          <w:rFonts w:ascii="Times New Roman" w:hAnsi="Times New Roman" w:cs="Times New Roman"/>
          <w:sz w:val="24"/>
          <w:szCs w:val="24"/>
          <w:lang w:val="x-none"/>
        </w:rPr>
        <w:t>. Тази наредба отменя Наредба № Н-18 от 8 август 2016 г. за определяне на методиката за изчисляване на определени разходи за целия жизнен цикъл на пътните превозни средства (ДВ, бр. 66 от 2016 г</w:t>
      </w:r>
      <w:r>
        <w:rPr>
          <w:rFonts w:ascii="Times New Roman" w:hAnsi="Times New Roman" w:cs="Times New Roman"/>
          <w:sz w:val="24"/>
          <w:szCs w:val="24"/>
          <w:lang w:val="x-none"/>
        </w:rPr>
        <w:t>.).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5</w:t>
      </w:r>
      <w:r>
        <w:rPr>
          <w:rFonts w:ascii="Times New Roman" w:hAnsi="Times New Roman" w:cs="Times New Roman"/>
          <w:sz w:val="24"/>
          <w:szCs w:val="24"/>
          <w:lang w:val="x-none"/>
        </w:rPr>
        <w:t>. Наредбата влиза в сила от обнародването й в "Държавен вестник".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>Приложение</w:t>
      </w:r>
    </w:p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към чл. 3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000000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Пределни стойности на емисиите за чисти леки превозни средства</w:t>
            </w:r>
          </w:p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tbl>
            <w:tblPr>
              <w:tblW w:w="0" w:type="auto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"/>
              <w:gridCol w:w="585"/>
              <w:gridCol w:w="1350"/>
              <w:gridCol w:w="795"/>
              <w:gridCol w:w="1440"/>
              <w:gridCol w:w="1545"/>
              <w:gridCol w:w="1410"/>
              <w:gridCol w:w="1455"/>
            </w:tblGrid>
            <w:tr w:rsidR="00000000">
              <w:trPr>
                <w:tblCellSpacing w:w="0" w:type="dxa"/>
              </w:trPr>
              <w:tc>
                <w:tcPr>
                  <w:tcW w:w="9570" w:type="dxa"/>
                  <w:gridSpan w:val="8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До 31 декември 2025 г.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9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Категории превозни средства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Клас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Референтна маса</w:t>
                  </w: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(RM) (kg) (3)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CO2 (g/km)</w:t>
                  </w:r>
                </w:p>
              </w:tc>
              <w:tc>
                <w:tcPr>
                  <w:tcW w:w="5850" w:type="dxa"/>
                  <w:gridSpan w:val="4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Емисии на замърсители на въздуха при реални условия на движение (1)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9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Брой на частиците (PN) (#/km)</w:t>
                  </w:r>
                </w:p>
              </w:tc>
              <w:tc>
                <w:tcPr>
                  <w:tcW w:w="2865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Маса на азотните оксиди (NOx) (mg/km)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9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Двигатели с принудително запалване (2)</w:t>
                  </w:r>
                </w:p>
              </w:tc>
              <w:tc>
                <w:tcPr>
                  <w:tcW w:w="154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Двигатели със запалване чрез сгъстяване</w:t>
                  </w:r>
                </w:p>
              </w:tc>
              <w:tc>
                <w:tcPr>
                  <w:tcW w:w="14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Двигатели с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инудително запалване</w:t>
                  </w:r>
                </w:p>
              </w:tc>
              <w:tc>
                <w:tcPr>
                  <w:tcW w:w="14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Двигатели със запалване чрез сгъстяване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M1</w:t>
                  </w:r>
                </w:p>
              </w:tc>
              <w:tc>
                <w:tcPr>
                  <w:tcW w:w="5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50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54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4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48</w:t>
                  </w:r>
                </w:p>
              </w:tc>
              <w:tc>
                <w:tcPr>
                  <w:tcW w:w="14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64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M2</w:t>
                  </w:r>
                </w:p>
              </w:tc>
              <w:tc>
                <w:tcPr>
                  <w:tcW w:w="5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50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54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4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48</w:t>
                  </w:r>
                </w:p>
              </w:tc>
              <w:tc>
                <w:tcPr>
                  <w:tcW w:w="14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64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N1</w:t>
                  </w:r>
                </w:p>
              </w:tc>
              <w:tc>
                <w:tcPr>
                  <w:tcW w:w="5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I</w:t>
                  </w:r>
                </w:p>
              </w:tc>
              <w:tc>
                <w:tcPr>
                  <w:tcW w:w="13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RM ? 1305</w:t>
                  </w:r>
                </w:p>
              </w:tc>
              <w:tc>
                <w:tcPr>
                  <w:tcW w:w="7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50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54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4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48</w:t>
                  </w:r>
                </w:p>
              </w:tc>
              <w:tc>
                <w:tcPr>
                  <w:tcW w:w="14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64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II</w:t>
                  </w:r>
                </w:p>
              </w:tc>
              <w:tc>
                <w:tcPr>
                  <w:tcW w:w="13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1305 &lt; RM ? 1760</w:t>
                  </w:r>
                </w:p>
              </w:tc>
              <w:tc>
                <w:tcPr>
                  <w:tcW w:w="7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50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54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4,8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х 1011</w:t>
                  </w:r>
                </w:p>
              </w:tc>
              <w:tc>
                <w:tcPr>
                  <w:tcW w:w="14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60</w:t>
                  </w:r>
                </w:p>
              </w:tc>
              <w:tc>
                <w:tcPr>
                  <w:tcW w:w="14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84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III</w:t>
                  </w:r>
                </w:p>
              </w:tc>
              <w:tc>
                <w:tcPr>
                  <w:tcW w:w="13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1760 &lt; RM</w:t>
                  </w:r>
                </w:p>
              </w:tc>
              <w:tc>
                <w:tcPr>
                  <w:tcW w:w="7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50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54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4,8 х 1011</w:t>
                  </w:r>
                </w:p>
              </w:tc>
              <w:tc>
                <w:tcPr>
                  <w:tcW w:w="14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65,6</w:t>
                  </w:r>
                </w:p>
              </w:tc>
              <w:tc>
                <w:tcPr>
                  <w:tcW w:w="14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100</w:t>
                  </w:r>
                </w:p>
              </w:tc>
            </w:tr>
          </w:tbl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00000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5"/>
              <w:gridCol w:w="900"/>
              <w:gridCol w:w="2250"/>
              <w:gridCol w:w="1380"/>
              <w:gridCol w:w="2910"/>
            </w:tblGrid>
            <w:tr w:rsidR="00000000">
              <w:trPr>
                <w:tblCellSpacing w:w="0" w:type="dxa"/>
              </w:trPr>
              <w:tc>
                <w:tcPr>
                  <w:tcW w:w="9495" w:type="dxa"/>
                  <w:gridSpan w:val="5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От 1 януари 2026 г.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0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Категории превозни средства</w:t>
                  </w:r>
                </w:p>
              </w:tc>
              <w:tc>
                <w:tcPr>
                  <w:tcW w:w="9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Клас</w:t>
                  </w:r>
                </w:p>
              </w:tc>
              <w:tc>
                <w:tcPr>
                  <w:tcW w:w="22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Референтна маса</w:t>
                  </w: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(RM) (kg) (3)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CO2 (g/km)</w:t>
                  </w:r>
                </w:p>
              </w:tc>
              <w:tc>
                <w:tcPr>
                  <w:tcW w:w="29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Емисии на замърсители на въздуха при реални условия на движение (1)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0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M1</w:t>
                  </w:r>
                </w:p>
              </w:tc>
              <w:tc>
                <w:tcPr>
                  <w:tcW w:w="9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22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0</w:t>
                  </w:r>
                </w:p>
              </w:tc>
              <w:tc>
                <w:tcPr>
                  <w:tcW w:w="29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Не се прилага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0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M2</w:t>
                  </w:r>
                </w:p>
              </w:tc>
              <w:tc>
                <w:tcPr>
                  <w:tcW w:w="9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22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0</w:t>
                  </w:r>
                </w:p>
              </w:tc>
              <w:tc>
                <w:tcPr>
                  <w:tcW w:w="29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Не се прилага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0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N1</w:t>
                  </w:r>
                </w:p>
              </w:tc>
              <w:tc>
                <w:tcPr>
                  <w:tcW w:w="9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I</w:t>
                  </w:r>
                </w:p>
              </w:tc>
              <w:tc>
                <w:tcPr>
                  <w:tcW w:w="22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RM ? 1305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0</w:t>
                  </w:r>
                </w:p>
              </w:tc>
              <w:tc>
                <w:tcPr>
                  <w:tcW w:w="29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Не се прилага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0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II</w:t>
                  </w:r>
                </w:p>
              </w:tc>
              <w:tc>
                <w:tcPr>
                  <w:tcW w:w="22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1305 &lt; RM ? 1760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0</w:t>
                  </w:r>
                </w:p>
              </w:tc>
              <w:tc>
                <w:tcPr>
                  <w:tcW w:w="29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Не се прилага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0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III</w:t>
                  </w:r>
                </w:p>
              </w:tc>
              <w:tc>
                <w:tcPr>
                  <w:tcW w:w="22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1760 &lt; RM</w:t>
                  </w:r>
                </w:p>
              </w:tc>
              <w:tc>
                <w:tcPr>
                  <w:tcW w:w="138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0</w:t>
                  </w:r>
                </w:p>
              </w:tc>
              <w:tc>
                <w:tcPr>
                  <w:tcW w:w="29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Не се прилага</w:t>
                  </w:r>
                </w:p>
              </w:tc>
            </w:tr>
          </w:tbl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000000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i/>
          <w:iCs/>
          <w:sz w:val="20"/>
          <w:szCs w:val="20"/>
          <w:lang w:val="x-none"/>
        </w:rPr>
      </w:pPr>
      <w:r>
        <w:rPr>
          <w:rFonts w:ascii="Courier New" w:hAnsi="Courier New" w:cs="Courier New"/>
          <w:i/>
          <w:iCs/>
          <w:sz w:val="20"/>
          <w:szCs w:val="20"/>
          <w:lang w:val="x-none"/>
        </w:rPr>
        <w:t xml:space="preserve"> Забележки: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000000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(1) Декларирани максимални стойности на емисиите на ултрафини частици при реал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 условия на движение в mg/km (като брой на праховите частици, PN) и на азотни оксиди (NOx) в mg/km, както са посочени в т. 48.2 от сертификата за съответствие, както е описано в приложение VIII към Регламент за изпълнение (ЕС) 2020/683 на Комисията от 15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април 2020 г. относно изпълнението на Регламент (ЕС) 2018/858 на Европейския парламент и на Съвета по отношение на административните изисквания за одобряването и надзора на пазара на моторни превозни средства и техните ремаркета, както и на системи, компо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ненти и отделни технически възли, предназначени за такива превозни средства (ОВ, L, 26.05.2020 г.) за цялостни и градски пътувания в реални условия на движение.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000000">
              <w:trPr>
                <w:tblCellSpacing w:w="15" w:type="dxa"/>
              </w:trPr>
              <w:tc>
                <w:tcPr>
                  <w:tcW w:w="9555" w:type="dxa"/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00000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(2) Пределните стойности за броя на частиците при двигатели с принудително запалване се пр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илагат само за превозни средства с двигатели с директно впръскване на горивото.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000000">
              <w:trPr>
                <w:tblCellSpacing w:w="15" w:type="dxa"/>
              </w:trPr>
              <w:tc>
                <w:tcPr>
                  <w:tcW w:w="9555" w:type="dxa"/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00000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(3) "Референтна маса" е масата на превозното средство в готовност за движение, намалена с масата на водача, равна на 75 кг, и увеличена с постоянна маса от 100 кг.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000000">
              <w:trPr>
                <w:tblCellSpacing w:w="15" w:type="dxa"/>
              </w:trPr>
              <w:tc>
                <w:tcPr>
                  <w:tcW w:w="9555" w:type="dxa"/>
                </w:tcPr>
                <w:p w:rsidR="00000000" w:rsidRDefault="00E4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000000" w:rsidRDefault="00E4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E44E68" w:rsidRDefault="00E44E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i/>
          <w:iCs/>
          <w:sz w:val="20"/>
          <w:szCs w:val="20"/>
          <w:lang w:val="x-none"/>
        </w:rPr>
      </w:pPr>
    </w:p>
    <w:sectPr w:rsidR="00E44E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10"/>
    <w:rsid w:val="00A10610"/>
    <w:rsid w:val="00E4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0A74F3-A21F-418D-BFEA-49B4E128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2</cp:revision>
  <dcterms:created xsi:type="dcterms:W3CDTF">2024-02-16T13:46:00Z</dcterms:created>
  <dcterms:modified xsi:type="dcterms:W3CDTF">2024-02-16T13:46:00Z</dcterms:modified>
</cp:coreProperties>
</file>