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5105"/>
        <w:gridCol w:w="4111"/>
        <w:gridCol w:w="2337"/>
      </w:tblGrid>
      <w:tr w:rsidR="00D3407A" w:rsidRPr="00F17964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Pr="00F17964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  <w:r w:rsidRPr="00F17964">
              <w:rPr>
                <w:b/>
              </w:rPr>
              <w:t>СПРАВКА</w:t>
            </w:r>
          </w:p>
          <w:p w:rsidR="00D3407A" w:rsidRPr="00F17964" w:rsidRDefault="00D3407A">
            <w:pPr>
              <w:jc w:val="center"/>
              <w:rPr>
                <w:b/>
              </w:rPr>
            </w:pPr>
            <w:r w:rsidRPr="00F17964">
              <w:rPr>
                <w:b/>
              </w:rPr>
              <w:t xml:space="preserve">ЗА ОТРАЗЯВАНЕ НА ПОСТЪПИЛИТЕ ПРЕДЛОЖЕНИЯ ОТ ОБЩЕСТВЕНОТО ОБСЪЖДАНЕ </w:t>
            </w:r>
            <w:r w:rsidRPr="00F17964">
              <w:rPr>
                <w:b/>
                <w:lang w:val="en-US"/>
              </w:rPr>
              <w:t xml:space="preserve">В ПЕРИОДА </w:t>
            </w:r>
            <w:r w:rsidR="006F4EAF" w:rsidRPr="00F17964">
              <w:rPr>
                <w:b/>
              </w:rPr>
              <w:t>03.11</w:t>
            </w:r>
            <w:r w:rsidRPr="00F17964">
              <w:rPr>
                <w:b/>
              </w:rPr>
              <w:t xml:space="preserve">.2021 – </w:t>
            </w:r>
            <w:r w:rsidR="006F4EAF" w:rsidRPr="00F17964">
              <w:rPr>
                <w:b/>
              </w:rPr>
              <w:t>03.12</w:t>
            </w:r>
            <w:r w:rsidR="00D26961" w:rsidRPr="00F17964">
              <w:rPr>
                <w:b/>
              </w:rPr>
              <w:t>.2021 г.</w:t>
            </w:r>
          </w:p>
          <w:p w:rsidR="00F17964" w:rsidRPr="00F17964" w:rsidRDefault="00D3407A" w:rsidP="000C6114">
            <w:pPr>
              <w:jc w:val="center"/>
              <w:rPr>
                <w:b/>
              </w:rPr>
            </w:pPr>
            <w:r w:rsidRPr="00F17964">
              <w:rPr>
                <w:b/>
              </w:rPr>
              <w:t xml:space="preserve"> НА ПРОЕКТА НА </w:t>
            </w:r>
            <w:r w:rsidR="006F4EAF" w:rsidRPr="00F17964">
              <w:rPr>
                <w:b/>
              </w:rPr>
              <w:t xml:space="preserve">НАРЕДБА ЗА ИЗМЕНЕНИЕ И ДОПЪЛНЕНИЕ НА </w:t>
            </w:r>
            <w:r w:rsidR="006F4EAF" w:rsidRPr="00F17964">
              <w:rPr>
                <w:b/>
                <w:lang w:val="en-US"/>
              </w:rPr>
              <w:t>НАРЕДБА № 6 ОТ 17</w:t>
            </w:r>
            <w:r w:rsidR="006F4EAF" w:rsidRPr="00F17964">
              <w:rPr>
                <w:b/>
              </w:rPr>
              <w:t>.06.</w:t>
            </w:r>
            <w:r w:rsidR="006F4EAF" w:rsidRPr="00F17964">
              <w:rPr>
                <w:b/>
                <w:lang w:val="en-US"/>
              </w:rPr>
              <w:t>2021 Г. ЗА КОМПЕТЕНТНОСТ НА МОРСКИТЕ ЛИЦА В РЕПУБЛИКА БЪЛГАРИЯ</w:t>
            </w:r>
            <w:r w:rsidR="006F4EAF" w:rsidRPr="00F17964">
              <w:rPr>
                <w:b/>
              </w:rPr>
              <w:t xml:space="preserve"> </w:t>
            </w:r>
            <w:r w:rsidR="006F4EAF" w:rsidRPr="00F17964">
              <w:rPr>
                <w:b/>
                <w:lang w:eastAsia="en-US"/>
              </w:rPr>
              <w:t>(обн., ДВ, бр. 54 от 2021 г.)</w:t>
            </w:r>
          </w:p>
        </w:tc>
      </w:tr>
      <w:tr w:rsidR="00D3407A" w:rsidRPr="00F17964" w:rsidTr="00026E6C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F17964" w:rsidRDefault="00D3407A">
            <w:pPr>
              <w:tabs>
                <w:tab w:val="left" w:pos="192"/>
              </w:tabs>
              <w:jc w:val="center"/>
              <w:rPr>
                <w:b/>
              </w:rPr>
            </w:pPr>
            <w:r w:rsidRPr="00F17964">
              <w:rPr>
                <w:b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F17964" w:rsidRDefault="00D3407A">
            <w:pPr>
              <w:jc w:val="center"/>
              <w:rPr>
                <w:b/>
              </w:rPr>
            </w:pPr>
            <w:r w:rsidRPr="00F17964">
              <w:rPr>
                <w:b/>
              </w:rPr>
              <w:t>Организация/потребител</w:t>
            </w:r>
          </w:p>
          <w:p w:rsidR="00D3407A" w:rsidRPr="00F17964" w:rsidRDefault="00D3407A">
            <w:pPr>
              <w:jc w:val="center"/>
              <w:rPr>
                <w:b/>
                <w:lang w:val="ru-RU"/>
              </w:rPr>
            </w:pPr>
            <w:r w:rsidRPr="00F17964">
              <w:rPr>
                <w:b/>
                <w:lang w:val="ru-RU"/>
              </w:rPr>
              <w:t>/</w:t>
            </w:r>
            <w:r w:rsidRPr="00F17964">
              <w:rPr>
                <w:b/>
              </w:rPr>
              <w:t>вкл. начина на получаване на предложението</w:t>
            </w:r>
            <w:r w:rsidRPr="00F17964">
              <w:rPr>
                <w:b/>
                <w:lang w:val="ru-RU"/>
              </w:rPr>
              <w:t>/</w:t>
            </w:r>
          </w:p>
        </w:tc>
        <w:tc>
          <w:tcPr>
            <w:tcW w:w="510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F17964" w:rsidRDefault="00D3407A">
            <w:pPr>
              <w:jc w:val="center"/>
              <w:rPr>
                <w:b/>
              </w:rPr>
            </w:pPr>
            <w:r w:rsidRPr="00F17964">
              <w:rPr>
                <w:b/>
              </w:rPr>
              <w:t>Бележки и предложения</w:t>
            </w:r>
          </w:p>
        </w:tc>
        <w:tc>
          <w:tcPr>
            <w:tcW w:w="4111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Pr="00F17964" w:rsidRDefault="00D3407A">
            <w:pPr>
              <w:jc w:val="center"/>
              <w:rPr>
                <w:b/>
              </w:rPr>
            </w:pPr>
            <w:r w:rsidRPr="00F17964">
              <w:rPr>
                <w:b/>
              </w:rPr>
              <w:t>Приети/</w:t>
            </w:r>
          </w:p>
          <w:p w:rsidR="00D3407A" w:rsidRPr="00F17964" w:rsidRDefault="00D3407A">
            <w:pPr>
              <w:jc w:val="center"/>
              <w:rPr>
                <w:b/>
              </w:rPr>
            </w:pPr>
            <w:r w:rsidRPr="00F17964">
              <w:rPr>
                <w:b/>
              </w:rPr>
              <w:t>неприети</w:t>
            </w:r>
          </w:p>
        </w:tc>
        <w:tc>
          <w:tcPr>
            <w:tcW w:w="2337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Pr="00F17964" w:rsidRDefault="00D3407A">
            <w:pPr>
              <w:jc w:val="center"/>
            </w:pPr>
            <w:r w:rsidRPr="00F17964">
              <w:rPr>
                <w:b/>
              </w:rPr>
              <w:t>Мотиви</w:t>
            </w:r>
          </w:p>
        </w:tc>
      </w:tr>
      <w:tr w:rsidR="00D26961" w:rsidRPr="00F17964" w:rsidTr="00026E6C">
        <w:trPr>
          <w:trHeight w:val="596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26961" w:rsidRPr="00F17964" w:rsidRDefault="00D26961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26961" w:rsidRPr="00F17964" w:rsidRDefault="00D26961" w:rsidP="006F4EAF">
            <w:r w:rsidRPr="00F17964">
              <w:t>По електронен път – становище</w:t>
            </w:r>
            <w:r w:rsidR="000B1F08">
              <w:t xml:space="preserve"> от 01.12.2021 г.</w:t>
            </w:r>
            <w:r w:rsidRPr="00F17964">
              <w:t xml:space="preserve"> на</w:t>
            </w:r>
            <w:r w:rsidR="006F4EAF" w:rsidRPr="00F17964">
              <w:t xml:space="preserve"> сдружение „Черноморски изгрев“</w:t>
            </w:r>
            <w:r w:rsidRPr="00F17964">
              <w:t>.</w:t>
            </w:r>
          </w:p>
        </w:tc>
        <w:tc>
          <w:tcPr>
            <w:tcW w:w="510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6F4EAF" w:rsidRPr="00F17964" w:rsidRDefault="006F4EAF" w:rsidP="006969BD">
            <w:pPr>
              <w:ind w:firstLine="37"/>
            </w:pPr>
            <w:r w:rsidRPr="00F17964">
              <w:rPr>
                <w:rFonts w:eastAsiaTheme="minorHAnsi"/>
                <w:bCs/>
                <w:iCs/>
                <w:lang w:eastAsia="en-US"/>
              </w:rPr>
              <w:t>Направени са</w:t>
            </w:r>
            <w:r w:rsidRPr="00F17964">
              <w:t xml:space="preserve"> следните предложения: </w:t>
            </w:r>
          </w:p>
          <w:p w:rsidR="006F4EAF" w:rsidRPr="00F17964" w:rsidRDefault="00E37794" w:rsidP="006F4EAF">
            <w:pPr>
              <w:ind w:firstLine="318"/>
              <w:jc w:val="both"/>
            </w:pPr>
            <w:r>
              <w:t>1.  </w:t>
            </w:r>
            <w:r w:rsidR="006F4EAF" w:rsidRPr="00F17964">
              <w:t xml:space="preserve">В </w:t>
            </w:r>
            <w:r>
              <w:t xml:space="preserve"> </w:t>
            </w:r>
            <w:r w:rsidR="006F4EAF" w:rsidRPr="00F17964">
              <w:t>Приложение 5 А. Щурмански състав, в частта Забележки да се добави т. 4 със следното съдържание:</w:t>
            </w:r>
          </w:p>
          <w:p w:rsidR="006F4EAF" w:rsidRPr="00F17964" w:rsidRDefault="006F4EAF" w:rsidP="006F4EAF">
            <w:pPr>
              <w:ind w:firstLine="318"/>
              <w:jc w:val="both"/>
            </w:pPr>
            <w:r w:rsidRPr="00F17964">
              <w:rPr>
                <w:i/>
                <w:iCs/>
              </w:rPr>
              <w:t>„Риболовни кораби с големина до 200 БТ и продължителност на плаване по-малко от 12 часа в денонощието имат 1 капитан и двама моряци“;</w:t>
            </w:r>
          </w:p>
          <w:p w:rsidR="006F4EAF" w:rsidRPr="00F17964" w:rsidRDefault="00E37794" w:rsidP="006F4EAF">
            <w:pPr>
              <w:ind w:firstLine="318"/>
              <w:jc w:val="both"/>
            </w:pPr>
            <w:r>
              <w:t xml:space="preserve">2.  В </w:t>
            </w:r>
            <w:r w:rsidR="006F4EAF" w:rsidRPr="00F17964">
              <w:t>Приложение 5 Б., в таблицата за Технически състав на екипажите, в частта Забележки да се добави нова т. 3 със следното съдържание:</w:t>
            </w:r>
          </w:p>
          <w:p w:rsidR="006F4EAF" w:rsidRPr="00F17964" w:rsidRDefault="006F4EAF" w:rsidP="006F4EAF">
            <w:pPr>
              <w:ind w:firstLine="318"/>
              <w:jc w:val="both"/>
            </w:pPr>
            <w:r w:rsidRPr="00F17964">
              <w:rPr>
                <w:i/>
                <w:iCs/>
              </w:rPr>
              <w:t>„Риболовни кораби с пропулсивна мощност на КСУ до 500 кВт. имат в екипажа си моторист с техническа подготовка, доказана с придобита правоспособност Водач на  кораб до 40 БТ. Изключението се прилага за риболовни кораби с достигната степен на автоматизация и управление от мостика на палубните и машинните механизми на кораба.“ </w:t>
            </w:r>
          </w:p>
          <w:p w:rsidR="00F17964" w:rsidRPr="00F17964" w:rsidRDefault="00026E6C" w:rsidP="000C6114">
            <w:pPr>
              <w:spacing w:line="257" w:lineRule="auto"/>
              <w:jc w:val="both"/>
              <w:rPr>
                <w:b/>
              </w:rPr>
            </w:pPr>
            <w:r w:rsidRPr="00F17964">
              <w:lastRenderedPageBreak/>
              <w:t xml:space="preserve">Основната цел на предложенията </w:t>
            </w:r>
            <w:r w:rsidR="006F4EAF" w:rsidRPr="00F17964">
              <w:t xml:space="preserve">е риболовните кораби до 200 БТ да могат да плават без рулеви, като при риболовните кораби с пропулсивна мощност на КСУ до 500 кВт и висока степен на автоматизация същите да имат един моторист, която длъжност да може да се изпълнява и от някой от моряците. </w:t>
            </w:r>
          </w:p>
        </w:tc>
        <w:tc>
          <w:tcPr>
            <w:tcW w:w="4111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6F4EAF" w:rsidRPr="00F17964" w:rsidRDefault="00D26961" w:rsidP="00C775B6">
            <w:pPr>
              <w:jc w:val="both"/>
            </w:pPr>
            <w:r w:rsidRPr="00F17964">
              <w:lastRenderedPageBreak/>
              <w:t>Приема се</w:t>
            </w:r>
            <w:r w:rsidR="009F59DB" w:rsidRPr="00F17964">
              <w:t xml:space="preserve"> по принцип</w:t>
            </w:r>
            <w:r w:rsidR="006F4EAF" w:rsidRPr="00F17964">
              <w:t xml:space="preserve"> </w:t>
            </w:r>
            <w:r w:rsidR="009F59DB" w:rsidRPr="00F17964">
              <w:t xml:space="preserve">с нова </w:t>
            </w:r>
            <w:r w:rsidR="006969BD" w:rsidRPr="00F17964">
              <w:t xml:space="preserve"> редакция на § </w:t>
            </w:r>
            <w:r w:rsidR="00C775B6" w:rsidRPr="00F17964">
              <w:t>17 от проекта</w:t>
            </w:r>
            <w:r w:rsidR="006969BD" w:rsidRPr="00F17964">
              <w:t xml:space="preserve"> (преномериран като § 19)</w:t>
            </w:r>
            <w:r w:rsidR="00C775B6" w:rsidRPr="00F17964">
              <w:t>, както следва:</w:t>
            </w:r>
          </w:p>
          <w:p w:rsidR="006969BD" w:rsidRPr="00F17964" w:rsidRDefault="006969BD" w:rsidP="00C775B6">
            <w:pPr>
              <w:jc w:val="both"/>
            </w:pPr>
            <w:r w:rsidRPr="00F17964">
              <w:t>§ 19. В Приложение № 5 се правят следните изменения:</w:t>
            </w:r>
          </w:p>
          <w:p w:rsidR="00C775B6" w:rsidRPr="00F17964" w:rsidRDefault="00C775B6" w:rsidP="00C775B6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17964">
              <w:rPr>
                <w:rFonts w:eastAsiaTheme="minorHAnsi"/>
                <w:color w:val="000000"/>
                <w:lang w:eastAsia="en-US"/>
              </w:rPr>
              <w:t>1.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17964">
              <w:rPr>
                <w:rFonts w:eastAsiaTheme="minorHAnsi"/>
                <w:color w:val="000000"/>
                <w:lang w:eastAsia="en-US"/>
              </w:rPr>
              <w:t xml:space="preserve">В 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 xml:space="preserve">т. </w:t>
            </w:r>
            <w:r w:rsidRPr="00F17964">
              <w:rPr>
                <w:rFonts w:eastAsiaTheme="minorHAnsi"/>
                <w:color w:val="000000"/>
                <w:lang w:eastAsia="en-US"/>
              </w:rPr>
              <w:t>А. Щурмански състав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 xml:space="preserve"> се създава т.  4</w:t>
            </w:r>
            <w:r w:rsidRPr="00F17964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C775B6" w:rsidRPr="00F17964" w:rsidRDefault="00C775B6" w:rsidP="00C775B6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>„</w:t>
            </w:r>
            <w:r w:rsidR="006969BD" w:rsidRPr="00F1796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4. </w:t>
            </w: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>Риболовни кораби до 200 БТ и продължителност на плаване по-малко от 12 часа в денонощието имат 1 капитан и двама моряци, поне единия</w:t>
            </w:r>
            <w:r w:rsidR="006969BD" w:rsidRPr="00F17964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от които притежава правоспособност „Водач на кораб до 40 БТ“ ;</w:t>
            </w:r>
          </w:p>
          <w:p w:rsidR="00C775B6" w:rsidRPr="00F17964" w:rsidRDefault="00C775B6" w:rsidP="00C775B6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17964">
              <w:rPr>
                <w:rFonts w:eastAsiaTheme="minorHAnsi"/>
                <w:color w:val="000000"/>
                <w:lang w:eastAsia="en-US"/>
              </w:rPr>
              <w:t>2.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> </w:t>
            </w:r>
            <w:r w:rsidRPr="00F17964">
              <w:rPr>
                <w:rFonts w:eastAsiaTheme="minorHAnsi"/>
                <w:color w:val="000000"/>
                <w:lang w:eastAsia="en-US"/>
              </w:rPr>
              <w:t xml:space="preserve">В 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 xml:space="preserve">т. </w:t>
            </w:r>
            <w:r w:rsidRPr="00F17964">
              <w:rPr>
                <w:rFonts w:eastAsiaTheme="minorHAnsi"/>
                <w:color w:val="000000"/>
                <w:lang w:eastAsia="en-US"/>
              </w:rPr>
              <w:t>Б.</w:t>
            </w:r>
            <w:r w:rsidR="00E37794">
              <w:rPr>
                <w:rFonts w:eastAsiaTheme="minorHAnsi"/>
                <w:color w:val="000000"/>
                <w:lang w:eastAsia="en-US"/>
              </w:rPr>
              <w:t xml:space="preserve"> Технически състав на екипажите</w:t>
            </w:r>
            <w:r w:rsidRPr="00F1796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969BD" w:rsidRPr="00F17964">
              <w:rPr>
                <w:rFonts w:eastAsiaTheme="minorHAnsi"/>
                <w:color w:val="000000"/>
                <w:lang w:eastAsia="en-US"/>
              </w:rPr>
              <w:t>се създава т. 3</w:t>
            </w:r>
            <w:r w:rsidRPr="00F17964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C775B6" w:rsidRPr="00F17964" w:rsidRDefault="00C775B6" w:rsidP="00042D7D">
            <w:pPr>
              <w:jc w:val="both"/>
            </w:pP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>„</w:t>
            </w:r>
            <w:r w:rsidR="006969BD" w:rsidRPr="00F1796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3. </w:t>
            </w: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>Риболовни кораби с пропул</w:t>
            </w:r>
            <w:r w:rsidR="00E37794">
              <w:rPr>
                <w:rFonts w:eastAsiaTheme="minorHAnsi"/>
                <w:i/>
                <w:iCs/>
                <w:color w:val="000000"/>
                <w:lang w:eastAsia="en-US"/>
              </w:rPr>
              <w:t>сивна мощност на КСУ до 500 кВт</w:t>
            </w: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осъществяващи плаване по-малко от 12 часа в денонощието, се допуска да плават без технически състав, ако за </w:t>
            </w:r>
            <w:r w:rsidRPr="00F1796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техническата им поддръжка е назначено лице, отговарящо на изискванията на чл. 44, т. 5 или чл. 46, т. 3.“</w:t>
            </w:r>
          </w:p>
        </w:tc>
        <w:tc>
          <w:tcPr>
            <w:tcW w:w="2337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26961" w:rsidRPr="00F17964" w:rsidRDefault="00D26961"/>
        </w:tc>
      </w:tr>
      <w:tr w:rsidR="000B1F08" w:rsidRPr="00F17964" w:rsidTr="00026E6C">
        <w:trPr>
          <w:trHeight w:val="596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0B1F08" w:rsidRPr="00F17964" w:rsidRDefault="000B1F08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0B1F08" w:rsidRPr="00F17964" w:rsidRDefault="000B1F08" w:rsidP="006F4EAF">
            <w:r w:rsidRPr="00F17964">
              <w:t>По електронен път – становище</w:t>
            </w:r>
            <w:r>
              <w:t xml:space="preserve"> от 03.12.2021 г.</w:t>
            </w:r>
            <w:r w:rsidRPr="00F17964">
              <w:t xml:space="preserve"> на сдружение „Черноморски изгрев“.</w:t>
            </w:r>
          </w:p>
        </w:tc>
        <w:tc>
          <w:tcPr>
            <w:tcW w:w="510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0B1F08" w:rsidRPr="000B1F08" w:rsidRDefault="000B1F08" w:rsidP="000B1F08">
            <w:pPr>
              <w:ind w:firstLine="318"/>
              <w:jc w:val="both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Предлага се допълнение на</w:t>
            </w:r>
            <w:r w:rsidRPr="00F17964">
              <w:t xml:space="preserve"> </w:t>
            </w:r>
            <w:r>
              <w:t>новата</w:t>
            </w:r>
            <w:r w:rsidRPr="00F17964">
              <w:t xml:space="preserve"> т. 3</w:t>
            </w:r>
            <w:r>
              <w:t xml:space="preserve"> в  частта Забележки от Приложение 5 Б.</w:t>
            </w:r>
            <w:r w:rsidRPr="00F17964">
              <w:t>,</w:t>
            </w:r>
            <w:r>
              <w:t xml:space="preserve"> както следва</w:t>
            </w:r>
            <w:r w:rsidRPr="00F17964">
              <w:t>:</w:t>
            </w:r>
          </w:p>
          <w:p w:rsidR="000B1F08" w:rsidRPr="00F17964" w:rsidRDefault="000B1F08" w:rsidP="000C6114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0B1F08">
              <w:rPr>
                <w:rFonts w:eastAsiaTheme="minorHAnsi"/>
                <w:bCs/>
                <w:i/>
                <w:iCs/>
                <w:lang w:eastAsia="en-US"/>
              </w:rPr>
              <w:t>„Риболовни кораби с пропулсивна мощност на КСУ до 500 кВт, осъществяващи плаване над 12 часа в денонощието, се допуска да плават без технически състав, ако имат достигната степен на автоматизация и управление от мостика на палубните и машинните механизми на кораба и за техническата им поддръжка е назначено лице, отговарящо на изискванията на чл. 44, т. 5 или чл. 46, т. 3. Достигната степен на автоматизация се  удостоверява  с протокол от ИАМА."</w:t>
            </w:r>
          </w:p>
        </w:tc>
        <w:tc>
          <w:tcPr>
            <w:tcW w:w="4111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0B1F08" w:rsidRPr="00F17964" w:rsidRDefault="000B1F08" w:rsidP="00C775B6">
            <w:pPr>
              <w:jc w:val="both"/>
            </w:pPr>
            <w:r>
              <w:t xml:space="preserve">Не се приема. </w:t>
            </w:r>
          </w:p>
        </w:tc>
        <w:tc>
          <w:tcPr>
            <w:tcW w:w="2337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0B1F08" w:rsidRPr="00F17964" w:rsidRDefault="00CE06B9" w:rsidP="000C5E14">
            <w:r>
              <w:t xml:space="preserve">Предложението не се приема, тъй като </w:t>
            </w:r>
            <w:r w:rsidR="000C5E14">
              <w:t xml:space="preserve">при </w:t>
            </w:r>
            <w:r>
              <w:t>режим на плаване над 12 часа</w:t>
            </w:r>
            <w:r w:rsidR="000C5E14">
              <w:t xml:space="preserve"> </w:t>
            </w:r>
            <w:r>
              <w:t xml:space="preserve"> </w:t>
            </w:r>
            <w:r w:rsidR="000C5E14">
              <w:t xml:space="preserve">продължителността на плаването е значителна и </w:t>
            </w:r>
            <w:r w:rsidR="00832EF9">
              <w:t xml:space="preserve">същата </w:t>
            </w:r>
            <w:r w:rsidR="000C5E14">
              <w:t>се свързва с повишен риск за безопасността на корабоплаването.</w:t>
            </w:r>
          </w:p>
        </w:tc>
      </w:tr>
      <w:tr w:rsidR="004D3EF0" w:rsidRPr="00F17964" w:rsidTr="00026E6C">
        <w:trPr>
          <w:trHeight w:val="1282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D3EF0" w:rsidRPr="00F17964" w:rsidRDefault="004D3EF0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D3EF0" w:rsidRPr="00F17964" w:rsidRDefault="006F4EAF">
            <w:pPr>
              <w:rPr>
                <w:b/>
              </w:rPr>
            </w:pPr>
            <w:r w:rsidRPr="00F17964">
              <w:t>По електронен път – становище на дирекция МНРК, ИАМА.</w:t>
            </w:r>
          </w:p>
        </w:tc>
        <w:tc>
          <w:tcPr>
            <w:tcW w:w="510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C775B6" w:rsidRPr="00F17964" w:rsidRDefault="00C775B6" w:rsidP="00C775B6">
            <w:pPr>
              <w:jc w:val="both"/>
            </w:pPr>
            <w:r w:rsidRPr="00F17964">
              <w:t>Предлага се създаване на т. 68 -73  в §10 от Допълнителните разпоредби:</w:t>
            </w:r>
          </w:p>
          <w:p w:rsidR="00C775B6" w:rsidRPr="00F17964" w:rsidRDefault="00C775B6" w:rsidP="00C775B6">
            <w:pPr>
              <w:jc w:val="both"/>
            </w:pPr>
            <w:r w:rsidRPr="00F17964">
              <w:t xml:space="preserve">68.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7.01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rPr>
                <w:lang w:val="en-US"/>
              </w:rPr>
              <w:t xml:space="preserve"> </w:t>
            </w:r>
            <w:r w:rsidR="000C6114">
              <w:t>на</w:t>
            </w:r>
            <w:r w:rsidRPr="00F17964">
              <w:t xml:space="preserve"> Международната морска организация, покриващ в пълна степен компетентностите, посочени в таблица </w:t>
            </w:r>
            <w:r w:rsidRPr="00F17964">
              <w:rPr>
                <w:lang w:val="en-US"/>
              </w:rPr>
              <w:t>A-II/2</w:t>
            </w:r>
            <w:r w:rsidRPr="00F17964">
              <w:t xml:space="preserve"> на Кодекс </w:t>
            </w:r>
            <w:r w:rsidRPr="00F17964">
              <w:rPr>
                <w:lang w:val="en-US"/>
              </w:rPr>
              <w:t>STCW</w:t>
            </w:r>
            <w:r w:rsidRPr="00F17964">
              <w:t>;</w:t>
            </w:r>
          </w:p>
          <w:p w:rsidR="00C775B6" w:rsidRPr="00F17964" w:rsidRDefault="00C775B6" w:rsidP="00C775B6">
            <w:pPr>
              <w:jc w:val="both"/>
            </w:pPr>
            <w:r w:rsidRPr="00F17964">
              <w:t xml:space="preserve">69.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7.03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t xml:space="preserve"> на</w:t>
            </w:r>
            <w:r w:rsidRPr="00F17964">
              <w:t xml:space="preserve"> Международната морска организация, покриващ в пълна степен компетентностите, посочени в таблица </w:t>
            </w:r>
            <w:r w:rsidRPr="00F17964">
              <w:rPr>
                <w:lang w:val="en-US"/>
              </w:rPr>
              <w:t>A-II/</w:t>
            </w:r>
            <w:r w:rsidRPr="00F17964">
              <w:t xml:space="preserve">1 на Кодекс </w:t>
            </w:r>
            <w:r w:rsidRPr="00F17964">
              <w:rPr>
                <w:lang w:val="en-US"/>
              </w:rPr>
              <w:t>STCW</w:t>
            </w:r>
            <w:r w:rsidRPr="00F17964">
              <w:t>;</w:t>
            </w:r>
          </w:p>
          <w:p w:rsidR="00C775B6" w:rsidRPr="00F17964" w:rsidRDefault="00C775B6" w:rsidP="00C775B6">
            <w:pPr>
              <w:jc w:val="both"/>
            </w:pPr>
            <w:r w:rsidRPr="00F17964">
              <w:lastRenderedPageBreak/>
              <w:t xml:space="preserve">70.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7.02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t xml:space="preserve"> на</w:t>
            </w:r>
            <w:r w:rsidRPr="00F17964">
              <w:t xml:space="preserve"> Международната морска организация, покриващ в пълна степен компетентностите, посочени в таблица </w:t>
            </w:r>
            <w:r w:rsidRPr="00F17964">
              <w:rPr>
                <w:lang w:val="en-US"/>
              </w:rPr>
              <w:t>A-III/</w:t>
            </w:r>
            <w:r w:rsidRPr="00F17964">
              <w:t xml:space="preserve">2 на Кодекс </w:t>
            </w:r>
            <w:r w:rsidRPr="00F17964">
              <w:rPr>
                <w:lang w:val="en-US"/>
              </w:rPr>
              <w:t>STCW</w:t>
            </w:r>
            <w:r w:rsidRPr="00F17964">
              <w:t>;</w:t>
            </w:r>
          </w:p>
          <w:p w:rsidR="00C775B6" w:rsidRPr="00F17964" w:rsidRDefault="00C775B6" w:rsidP="00C775B6">
            <w:pPr>
              <w:jc w:val="both"/>
            </w:pPr>
            <w:r w:rsidRPr="00F17964">
              <w:t xml:space="preserve">71.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7.04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t xml:space="preserve"> на</w:t>
            </w:r>
            <w:r w:rsidRPr="00F17964">
              <w:t xml:space="preserve"> Международната морска организация, покриващ в пълна степен компетентностите, посочени в таблица </w:t>
            </w:r>
            <w:r w:rsidRPr="00F17964">
              <w:rPr>
                <w:lang w:val="en-US"/>
              </w:rPr>
              <w:t>A-III/</w:t>
            </w:r>
            <w:r w:rsidRPr="00F17964">
              <w:t xml:space="preserve">1 на Кодекс </w:t>
            </w:r>
            <w:r w:rsidRPr="00F17964">
              <w:rPr>
                <w:lang w:val="en-US"/>
              </w:rPr>
              <w:t>STCW</w:t>
            </w:r>
            <w:r w:rsidRPr="00F17964">
              <w:t>;</w:t>
            </w:r>
          </w:p>
          <w:p w:rsidR="00C775B6" w:rsidRPr="00F17964" w:rsidRDefault="00C775B6" w:rsidP="00C775B6">
            <w:pPr>
              <w:jc w:val="both"/>
            </w:pPr>
            <w:r w:rsidRPr="00F17964">
              <w:t xml:space="preserve">72.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7.08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t xml:space="preserve"> на</w:t>
            </w:r>
            <w:r w:rsidRPr="00F17964">
              <w:t xml:space="preserve"> Международната морска организация, покриващ в пълна степен компетентностите, посочени в таблица </w:t>
            </w:r>
            <w:r w:rsidRPr="00F17964">
              <w:rPr>
                <w:lang w:val="en-US"/>
              </w:rPr>
              <w:t>A-III/</w:t>
            </w:r>
            <w:r w:rsidRPr="00F17964">
              <w:t xml:space="preserve">6 на Кодекс </w:t>
            </w:r>
            <w:r w:rsidRPr="00F17964">
              <w:rPr>
                <w:lang w:val="en-US"/>
              </w:rPr>
              <w:t>STCW</w:t>
            </w:r>
            <w:r w:rsidRPr="00F17964">
              <w:t>;</w:t>
            </w:r>
          </w:p>
          <w:p w:rsidR="00C775B6" w:rsidRPr="00F17964" w:rsidRDefault="00C775B6" w:rsidP="00C775B6">
            <w:pPr>
              <w:jc w:val="both"/>
            </w:pPr>
            <w:r w:rsidRPr="00F17964">
              <w:t xml:space="preserve">73. </w:t>
            </w:r>
            <w:r w:rsidRPr="00F17964">
              <w:rPr>
                <w:color w:val="222222"/>
                <w:shd w:val="clear" w:color="auto" w:fill="FFFFFF"/>
              </w:rPr>
              <w:t>"</w:t>
            </w:r>
            <w:r w:rsidRPr="00F17964">
              <w:t>моделен курс 1.31</w:t>
            </w:r>
            <w:r w:rsidRPr="00F17964">
              <w:rPr>
                <w:color w:val="222222"/>
                <w:shd w:val="clear" w:color="auto" w:fill="FFFFFF"/>
              </w:rPr>
              <w:t>" </w:t>
            </w:r>
            <w:r w:rsidRPr="00F17964">
              <w:t xml:space="preserve"> е моделен курс</w:t>
            </w:r>
            <w:r w:rsidR="000C6114">
              <w:t xml:space="preserve"> на</w:t>
            </w:r>
            <w:r w:rsidRPr="00F17964">
              <w:t xml:space="preserve"> Международната морска организация, покриващ в пълна степен компетентностите за Корабен радиоелектроник за СМСББ втори клас.</w:t>
            </w:r>
          </w:p>
          <w:p w:rsidR="004D3EF0" w:rsidRPr="00F17964" w:rsidRDefault="00C775B6" w:rsidP="000C6114">
            <w:pPr>
              <w:jc w:val="both"/>
            </w:pPr>
            <w:r w:rsidRPr="00F17964">
              <w:t xml:space="preserve">Предложението цели прецизиране на изискванията за посочените моделни курсове в съответствие с изискванията на </w:t>
            </w:r>
            <w:r w:rsidRPr="00F17964">
              <w:rPr>
                <w:lang w:val="en-US"/>
              </w:rPr>
              <w:t>Кодекс</w:t>
            </w:r>
            <w:r w:rsidRPr="00F17964">
              <w:t>а</w:t>
            </w:r>
            <w:r w:rsidRPr="00F17964">
              <w:rPr>
                <w:lang w:val="en-US"/>
              </w:rPr>
              <w:t xml:space="preserve"> за подготовка и освидетелстване на моряците и носенето на вахта (Кодекс SТСW)</w:t>
            </w:r>
            <w:r w:rsidRPr="00F17964">
              <w:t xml:space="preserve"> (о</w:t>
            </w:r>
            <w:r w:rsidRPr="00F17964">
              <w:rPr>
                <w:lang w:val="en-US"/>
              </w:rPr>
              <w:t>бн.</w:t>
            </w:r>
            <w:r w:rsidRPr="00F17964">
              <w:t>,</w:t>
            </w:r>
            <w:r w:rsidRPr="00F17964">
              <w:rPr>
                <w:lang w:val="en-US"/>
              </w:rPr>
              <w:t xml:space="preserve"> ДВ., бр.</w:t>
            </w:r>
            <w:r w:rsidRPr="00F17964">
              <w:t xml:space="preserve"> </w:t>
            </w:r>
            <w:r w:rsidRPr="00F17964">
              <w:rPr>
                <w:lang w:val="en-US"/>
              </w:rPr>
              <w:t>31 от 2005г., изм., бр.</w:t>
            </w:r>
            <w:r w:rsidRPr="00F17964">
              <w:t xml:space="preserve"> </w:t>
            </w:r>
            <w:r w:rsidRPr="00F17964">
              <w:rPr>
                <w:lang w:val="en-US"/>
              </w:rPr>
              <w:t>33 от 2014г., бр.</w:t>
            </w:r>
            <w:r w:rsidRPr="00F17964">
              <w:t xml:space="preserve"> </w:t>
            </w:r>
            <w:r w:rsidRPr="00F17964">
              <w:rPr>
                <w:lang w:val="en-US"/>
              </w:rPr>
              <w:t>90 от 2018г., попр., бр.</w:t>
            </w:r>
            <w:r w:rsidRPr="00F17964">
              <w:t xml:space="preserve"> </w:t>
            </w:r>
            <w:r w:rsidRPr="00F17964">
              <w:rPr>
                <w:lang w:val="en-US"/>
              </w:rPr>
              <w:t>107 от 2018г.</w:t>
            </w:r>
            <w:r w:rsidRPr="00F17964">
              <w:t>).</w:t>
            </w:r>
          </w:p>
        </w:tc>
        <w:tc>
          <w:tcPr>
            <w:tcW w:w="4111" w:type="dxa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</w:tcPr>
          <w:p w:rsidR="004D3EF0" w:rsidRPr="00F17964" w:rsidRDefault="00C775B6" w:rsidP="00077948">
            <w:r w:rsidRPr="00F17964">
              <w:lastRenderedPageBreak/>
              <w:t xml:space="preserve">Приема се. </w:t>
            </w:r>
          </w:p>
        </w:tc>
        <w:tc>
          <w:tcPr>
            <w:tcW w:w="2337" w:type="dxa"/>
            <w:tcBorders>
              <w:top w:val="single" w:sz="36" w:space="0" w:color="2E74B5"/>
              <w:left w:val="single" w:sz="18" w:space="0" w:color="2E74B5"/>
              <w:right w:val="single" w:sz="36" w:space="0" w:color="2E74B5"/>
            </w:tcBorders>
          </w:tcPr>
          <w:p w:rsidR="004D3EF0" w:rsidRPr="00F17964" w:rsidRDefault="004D3EF0"/>
        </w:tc>
      </w:tr>
      <w:tr w:rsidR="004D3EF0" w:rsidRPr="00F17964" w:rsidTr="00026E6C">
        <w:trPr>
          <w:trHeight w:val="1282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right w:val="single" w:sz="18" w:space="0" w:color="2E74B5"/>
            </w:tcBorders>
            <w:vAlign w:val="center"/>
          </w:tcPr>
          <w:p w:rsidR="004D3EF0" w:rsidRPr="00F17964" w:rsidRDefault="004D3EF0">
            <w:pPr>
              <w:rPr>
                <w:b/>
                <w:lang w:val="en-US"/>
              </w:rPr>
            </w:pPr>
            <w:r w:rsidRPr="00F17964">
              <w:rPr>
                <w:b/>
                <w:lang w:val="en-US"/>
              </w:rPr>
              <w:t>3.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  <w:vAlign w:val="center"/>
          </w:tcPr>
          <w:p w:rsidR="004D3EF0" w:rsidRPr="00F17964" w:rsidRDefault="006F4EAF" w:rsidP="006F4EAF">
            <w:pPr>
              <w:rPr>
                <w:b/>
              </w:rPr>
            </w:pPr>
            <w:r w:rsidRPr="00F17964">
              <w:t>По електронен път – становище на дирекция ДМА-Варна, ИАМА.</w:t>
            </w:r>
          </w:p>
        </w:tc>
        <w:tc>
          <w:tcPr>
            <w:tcW w:w="5105" w:type="dxa"/>
            <w:tcBorders>
              <w:top w:val="single" w:sz="36" w:space="0" w:color="2E74B5"/>
              <w:left w:val="single" w:sz="18" w:space="0" w:color="2E74B5"/>
              <w:right w:val="single" w:sz="18" w:space="0" w:color="2E74B5"/>
            </w:tcBorders>
            <w:vAlign w:val="center"/>
          </w:tcPr>
          <w:p w:rsidR="00026E6C" w:rsidRPr="00F17964" w:rsidRDefault="00077948" w:rsidP="000C6114">
            <w:pPr>
              <w:jc w:val="both"/>
            </w:pPr>
            <w:r w:rsidRPr="00F17964">
              <w:t xml:space="preserve">Предлага се </w:t>
            </w:r>
            <w:r w:rsidR="006969BD" w:rsidRPr="00F17964">
              <w:t>прецизиране на текста на чл. </w:t>
            </w:r>
            <w:r w:rsidRPr="00F17964">
              <w:t>11, ал. 2, като думите „определен период“ се заменят с „до 3 месеца“ в съот</w:t>
            </w:r>
            <w:r w:rsidR="008D7721" w:rsidRPr="00F17964">
              <w:t xml:space="preserve">ветствие с утвърдената практика, която </w:t>
            </w:r>
            <w:r w:rsidR="006969BD" w:rsidRPr="00F17964">
              <w:t>се прилага съгласно указания № 216/04.09.2017 г. на изпълнителния директор на ИА „Морска администрация“</w:t>
            </w:r>
            <w:r w:rsidR="008D7721" w:rsidRPr="00F17964">
              <w:t>.</w:t>
            </w:r>
          </w:p>
        </w:tc>
        <w:tc>
          <w:tcPr>
            <w:tcW w:w="4111" w:type="dxa"/>
            <w:tcBorders>
              <w:top w:val="single" w:sz="18" w:space="0" w:color="2E74B5"/>
              <w:left w:val="single" w:sz="18" w:space="0" w:color="2E74B5"/>
              <w:right w:val="single" w:sz="18" w:space="0" w:color="2E74B5"/>
            </w:tcBorders>
          </w:tcPr>
          <w:p w:rsidR="004D3EF0" w:rsidRPr="00F17964" w:rsidRDefault="00077948">
            <w:r w:rsidRPr="00F17964">
              <w:t>Приема се.</w:t>
            </w:r>
          </w:p>
        </w:tc>
        <w:tc>
          <w:tcPr>
            <w:tcW w:w="2337" w:type="dxa"/>
            <w:tcBorders>
              <w:top w:val="single" w:sz="18" w:space="0" w:color="2E74B5"/>
              <w:left w:val="single" w:sz="18" w:space="0" w:color="2E74B5"/>
              <w:right w:val="single" w:sz="36" w:space="0" w:color="2E74B5"/>
            </w:tcBorders>
          </w:tcPr>
          <w:p w:rsidR="004D3EF0" w:rsidRPr="00F17964" w:rsidRDefault="004D3EF0"/>
        </w:tc>
      </w:tr>
    </w:tbl>
    <w:p w:rsidR="00156A88" w:rsidRPr="00F17964" w:rsidRDefault="00156A88" w:rsidP="00F92EC8"/>
    <w:sectPr w:rsidR="00156A88" w:rsidRPr="00F17964" w:rsidSect="00D340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F7" w:rsidRDefault="00AD4CF7" w:rsidP="00F17964">
      <w:r>
        <w:separator/>
      </w:r>
    </w:p>
  </w:endnote>
  <w:endnote w:type="continuationSeparator" w:id="0">
    <w:p w:rsidR="00AD4CF7" w:rsidRDefault="00AD4CF7" w:rsidP="00F1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035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964" w:rsidRDefault="00F179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27">
          <w:rPr>
            <w:noProof/>
          </w:rPr>
          <w:t>2</w:t>
        </w:r>
        <w:r>
          <w:rPr>
            <w:noProof/>
          </w:rPr>
          <w:fldChar w:fldCharType="end"/>
        </w:r>
        <w:r w:rsidR="000C6114">
          <w:rPr>
            <w:noProof/>
          </w:rPr>
          <w:t>/3</w:t>
        </w:r>
      </w:p>
    </w:sdtContent>
  </w:sdt>
  <w:p w:rsidR="00F17964" w:rsidRDefault="00F1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F7" w:rsidRDefault="00AD4CF7" w:rsidP="00F17964">
      <w:r>
        <w:separator/>
      </w:r>
    </w:p>
  </w:footnote>
  <w:footnote w:type="continuationSeparator" w:id="0">
    <w:p w:rsidR="00AD4CF7" w:rsidRDefault="00AD4CF7" w:rsidP="00F1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26E6C"/>
    <w:rsid w:val="0004200F"/>
    <w:rsid w:val="00042D7D"/>
    <w:rsid w:val="00077948"/>
    <w:rsid w:val="00094B64"/>
    <w:rsid w:val="000B1F08"/>
    <w:rsid w:val="000C5E14"/>
    <w:rsid w:val="000C6114"/>
    <w:rsid w:val="00156A88"/>
    <w:rsid w:val="002D131D"/>
    <w:rsid w:val="003C5194"/>
    <w:rsid w:val="00473835"/>
    <w:rsid w:val="004D0B94"/>
    <w:rsid w:val="004D3EF0"/>
    <w:rsid w:val="005157B6"/>
    <w:rsid w:val="006969BD"/>
    <w:rsid w:val="006F4EAF"/>
    <w:rsid w:val="00747602"/>
    <w:rsid w:val="00832EF9"/>
    <w:rsid w:val="00864D13"/>
    <w:rsid w:val="008D7721"/>
    <w:rsid w:val="00965D46"/>
    <w:rsid w:val="00974827"/>
    <w:rsid w:val="009F59DB"/>
    <w:rsid w:val="00AD4CF7"/>
    <w:rsid w:val="00B675C8"/>
    <w:rsid w:val="00BC764E"/>
    <w:rsid w:val="00C775B6"/>
    <w:rsid w:val="00C94B26"/>
    <w:rsid w:val="00CE06B9"/>
    <w:rsid w:val="00CF209E"/>
    <w:rsid w:val="00D26961"/>
    <w:rsid w:val="00D3407A"/>
    <w:rsid w:val="00DC5169"/>
    <w:rsid w:val="00E37794"/>
    <w:rsid w:val="00F17964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00EEE-E879-4812-BC89-51EE5B5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6F4EA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179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9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79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9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Ivan Milushev</cp:lastModifiedBy>
  <cp:revision>2</cp:revision>
  <dcterms:created xsi:type="dcterms:W3CDTF">2024-02-22T07:10:00Z</dcterms:created>
  <dcterms:modified xsi:type="dcterms:W3CDTF">2024-02-22T07:10:00Z</dcterms:modified>
</cp:coreProperties>
</file>