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1D430C">
              <w:rPr>
                <w:rFonts w:cs="Times New Roman"/>
                <w:szCs w:val="24"/>
                <w:shd w:val="clear" w:color="auto" w:fill="FFFFFF" w:themeFill="background1"/>
              </w:rPr>
            </w:r>
            <w:r w:rsidR="001D430C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6445F6" w:rsidP="000C332A">
            <w:r w:rsidRPr="006445F6">
              <w:t>Постановление на Министерския съвет за изменение на Наредбата за пенсиите и осигурителния стаж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1D430C">
              <w:rPr>
                <w:rFonts w:cs="Times New Roman"/>
                <w:szCs w:val="24"/>
              </w:rPr>
            </w:r>
            <w:r w:rsidR="001D430C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2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1D430C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5pt;height:26.2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C4473B" w:rsidP="006445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03-00-</w:t>
            </w:r>
            <w:r w:rsidR="006445F6">
              <w:rPr>
                <w:rFonts w:cs="Times New Roman"/>
                <w:szCs w:val="24"/>
              </w:rPr>
              <w:t>134</w:t>
            </w:r>
            <w:r>
              <w:rPr>
                <w:rFonts w:cs="Times New Roman"/>
                <w:szCs w:val="24"/>
              </w:rPr>
              <w:t>/</w:t>
            </w:r>
            <w:r w:rsidR="006445F6">
              <w:rPr>
                <w:rFonts w:cs="Times New Roman"/>
                <w:szCs w:val="24"/>
              </w:rPr>
              <w:t>07</w:t>
            </w:r>
            <w:r>
              <w:rPr>
                <w:rFonts w:cs="Times New Roman"/>
                <w:szCs w:val="24"/>
              </w:rPr>
              <w:t>.0</w:t>
            </w:r>
            <w:r w:rsidR="006445F6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.2024</w:t>
            </w:r>
            <w:r w:rsidR="006445F6">
              <w:rPr>
                <w:rFonts w:cs="Times New Roman"/>
                <w:szCs w:val="24"/>
              </w:rPr>
              <w:t xml:space="preserve"> г.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BB4704">
                    <w:pPr>
                      <w:jc w:val="left"/>
                    </w:pPr>
                    <w:r>
                      <w:t>Министерство на транспорта и съобщенията</w:t>
                    </w:r>
                  </w:p>
                </w:tc>
              </w:sdtContent>
            </w:sdt>
          </w:sdtContent>
        </w:sdt>
      </w:tr>
      <w:tr w:rsidR="000909A3" w:rsidRPr="00AE4869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1D430C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026" type="#_x0000_t75" alt="Microsoft Office Signature Line..." style="width:156pt;height:51.75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0C" w:rsidRDefault="001D430C" w:rsidP="004568A7">
      <w:pPr>
        <w:spacing w:after="0" w:line="240" w:lineRule="auto"/>
      </w:pPr>
      <w:r>
        <w:separator/>
      </w:r>
    </w:p>
  </w:endnote>
  <w:endnote w:type="continuationSeparator" w:id="0">
    <w:p w:rsidR="001D430C" w:rsidRDefault="001D430C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0C" w:rsidRDefault="001D430C" w:rsidP="004568A7">
      <w:pPr>
        <w:spacing w:after="0" w:line="240" w:lineRule="auto"/>
      </w:pPr>
      <w:r>
        <w:separator/>
      </w:r>
    </w:p>
  </w:footnote>
  <w:footnote w:type="continuationSeparator" w:id="0">
    <w:p w:rsidR="001D430C" w:rsidRDefault="001D430C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B3CAA"/>
    <w:rsid w:val="001D0845"/>
    <w:rsid w:val="001D430C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467AB5"/>
    <w:rsid w:val="0050294F"/>
    <w:rsid w:val="005071D8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445F6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81DE6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D4FB0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C0123"/>
    <w:rsid w:val="00BF6FA0"/>
    <w:rsid w:val="00C307F0"/>
    <w:rsid w:val="00C333F8"/>
    <w:rsid w:val="00C411BB"/>
    <w:rsid w:val="00C4473B"/>
    <w:rsid w:val="00C45E18"/>
    <w:rsid w:val="00C50551"/>
    <w:rsid w:val="00C5482E"/>
    <w:rsid w:val="00C948A8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E33AD"/>
    <w:rsid w:val="00DE350F"/>
    <w:rsid w:val="00E05D74"/>
    <w:rsid w:val="00E14879"/>
    <w:rsid w:val="00E24B74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37C2A"/>
    <w:rsid w:val="00F44D5E"/>
    <w:rsid w:val="00F562B4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573C4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E84714"/>
    <w:rsid w:val="00E93F7A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8972-17DA-4647-A1A2-7A17299C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Iliyana Karafizieva</cp:lastModifiedBy>
  <cp:revision>2</cp:revision>
  <cp:lastPrinted>2019-12-02T14:25:00Z</cp:lastPrinted>
  <dcterms:created xsi:type="dcterms:W3CDTF">2024-03-13T08:47:00Z</dcterms:created>
  <dcterms:modified xsi:type="dcterms:W3CDTF">2024-03-13T08:47:00Z</dcterms:modified>
</cp:coreProperties>
</file>