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1909F" w14:textId="77777777" w:rsidR="00156F1D" w:rsidRPr="004D3F79" w:rsidRDefault="00156F1D" w:rsidP="005D72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bg-BG" w:eastAsia="bg-BG"/>
        </w:rPr>
        <w:t>РЕПУБЛИКА БЪЛГАРИЯ</w:t>
      </w:r>
    </w:p>
    <w:p w14:paraId="3CB61B93" w14:textId="77777777" w:rsidR="00156F1D" w:rsidRPr="004D3F79" w:rsidRDefault="00156F1D" w:rsidP="00156F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bg-BG" w:eastAsia="bg-BG"/>
        </w:rPr>
        <w:t>МИНИСТЕРСКИ СЪВЕ</w:t>
      </w:r>
      <w:r w:rsidRPr="004D3F79">
        <w:rPr>
          <w:rFonts w:ascii="Times New Roman" w:eastAsia="Times New Roman" w:hAnsi="Times New Roman" w:cs="Times New Roman"/>
          <w:b/>
          <w:spacing w:val="100"/>
          <w:sz w:val="24"/>
          <w:szCs w:val="24"/>
          <w:lang w:val="bg-BG" w:eastAsia="bg-BG"/>
        </w:rPr>
        <w:t>Т</w:t>
      </w:r>
    </w:p>
    <w:p w14:paraId="314C9AE3" w14:textId="77777777" w:rsidR="00156F1D" w:rsidRPr="004D3F79" w:rsidRDefault="00156F1D" w:rsidP="00156F1D">
      <w:pPr>
        <w:spacing w:before="48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ПОСТАНОВЛЕНИЕ № </w:t>
      </w:r>
    </w:p>
    <w:p w14:paraId="62DED10D" w14:textId="77777777" w:rsidR="00156F1D" w:rsidRPr="004D3F79" w:rsidRDefault="00156F1D" w:rsidP="00156F1D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от                         20</w:t>
      </w:r>
      <w:r w:rsidRPr="004D3F7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2</w:t>
      </w:r>
      <w:r w:rsidR="00952F9B" w:rsidRPr="004D3F7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4</w:t>
      </w:r>
      <w:r w:rsidRPr="004D3F7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</w:t>
      </w:r>
    </w:p>
    <w:p w14:paraId="1906D0B8" w14:textId="77777777" w:rsidR="00156F1D" w:rsidRPr="004D3F79" w:rsidRDefault="00A63E54" w:rsidP="005A1347">
      <w:pPr>
        <w:keepNext/>
        <w:spacing w:before="240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 определяне  на звена за контакт с изпълнителите на проекти, които са част от </w:t>
      </w:r>
      <w:proofErr w:type="spellStart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Трансевропейската</w:t>
      </w:r>
      <w:proofErr w:type="spellEnd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транспортна мрежа (TEN-T)</w:t>
      </w:r>
    </w:p>
    <w:p w14:paraId="3581D306" w14:textId="77777777" w:rsidR="00156F1D" w:rsidRPr="004D3F79" w:rsidRDefault="00156F1D" w:rsidP="00156F1D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 w:eastAsia="bg-BG"/>
        </w:rPr>
        <w:t>МИНИСТЕРСКИЯТ СЪВЕТ</w:t>
      </w:r>
    </w:p>
    <w:p w14:paraId="50895F27" w14:textId="77777777" w:rsidR="00156F1D" w:rsidRPr="004D3F79" w:rsidRDefault="00156F1D" w:rsidP="00156F1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 w:eastAsia="bg-BG"/>
        </w:rPr>
        <w:t>ПОСТАНОВИ:</w:t>
      </w:r>
    </w:p>
    <w:p w14:paraId="41142A11" w14:textId="77777777" w:rsidR="000C39F0" w:rsidRPr="004D3F79" w:rsidRDefault="000C39F0" w:rsidP="00156F1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 w:eastAsia="bg-BG"/>
        </w:rPr>
      </w:pPr>
    </w:p>
    <w:p w14:paraId="3D9EB248" w14:textId="77777777" w:rsidR="000C39F0" w:rsidRPr="004D3F79" w:rsidRDefault="000C39F0" w:rsidP="000C3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1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(1) Постановлението се прилага за трансгранични проекти и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проекти от общ интерес, част от  </w:t>
      </w:r>
      <w:proofErr w:type="spellStart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Трансевропейската</w:t>
      </w:r>
      <w:proofErr w:type="spellEnd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транспортна мрежа (TEN-T) по смисъла на чл. 3, б. „а“ и б. „м“ от Регламент (ЕС) № 1315/2013 на Европейския парламент и на Съвета от 11 декември 2013 г. относно насоките на Съюза за развитието на </w:t>
      </w:r>
      <w:proofErr w:type="spellStart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трансевропейската</w:t>
      </w:r>
      <w:proofErr w:type="spellEnd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транспортна мрежа и за отмяна на Решение № 661/2010/ЕС (ОВ, L 348 от 20.12.2013 г.) (Регламент (ЕС) № 1315/2013), както следва: </w:t>
      </w:r>
    </w:p>
    <w:p w14:paraId="0C2A4169" w14:textId="77777777" w:rsidR="000C39F0" w:rsidRPr="004D3F79" w:rsidRDefault="000C39F0" w:rsidP="000C3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1. по отношение на Транспортен коридор „Източен-</w:t>
      </w:r>
      <w:proofErr w:type="spellStart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източносредиземноморски</w:t>
      </w:r>
      <w:proofErr w:type="spellEnd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 в следните му части:</w:t>
      </w:r>
    </w:p>
    <w:p w14:paraId="4C1C1709" w14:textId="77777777" w:rsidR="000C39F0" w:rsidRPr="004D3F79" w:rsidRDefault="000C39F0" w:rsidP="000C3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а) Крайова – </w:t>
      </w:r>
      <w:proofErr w:type="spellStart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Калафат</w:t>
      </w:r>
      <w:proofErr w:type="spellEnd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Видин – София – Солун (железен път);</w:t>
      </w:r>
    </w:p>
    <w:p w14:paraId="6CAC8F74" w14:textId="77777777" w:rsidR="000C39F0" w:rsidRPr="004D3F79" w:rsidRDefault="000C39F0" w:rsidP="000C3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б)  София – границата със Сърбия/границата с Република Северна Македония (железен път);</w:t>
      </w:r>
    </w:p>
    <w:p w14:paraId="33085784" w14:textId="13563C82" w:rsidR="000C39F0" w:rsidRPr="004D3F79" w:rsidRDefault="000C39F0" w:rsidP="000C3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в)  </w:t>
      </w:r>
      <w:proofErr w:type="spellStart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Дробета</w:t>
      </w:r>
      <w:proofErr w:type="spellEnd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Турну Северин/Крайова – Видин – Монтана </w:t>
      </w:r>
      <w:r w:rsidR="0054467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републикански път</w:t>
      </w:r>
      <w:r w:rsidR="0054467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62123EE3" w14:textId="77777777" w:rsidR="000C39F0" w:rsidRPr="004D3F79" w:rsidRDefault="000C39F0" w:rsidP="000C3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г)  София – границата със Сърбия (републикански път); </w:t>
      </w:r>
    </w:p>
    <w:p w14:paraId="710385CB" w14:textId="6E5BF588" w:rsidR="000C39F0" w:rsidRPr="004D3F79" w:rsidRDefault="000C39F0" w:rsidP="000C3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2. по отношение на  Транспортен коридор „Рейнско-</w:t>
      </w:r>
      <w:r w:rsidR="0054467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унавски“ в следните му части: </w:t>
      </w:r>
    </w:p>
    <w:p w14:paraId="2F30BC33" w14:textId="77777777" w:rsidR="000C39F0" w:rsidRPr="004D3F79" w:rsidRDefault="000C39F0" w:rsidP="000C3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а)  Букурещ – Гюргево – Русе (железен път);</w:t>
      </w:r>
    </w:p>
    <w:p w14:paraId="7BB0C950" w14:textId="58E745FC" w:rsidR="000C39F0" w:rsidRPr="004D3F79" w:rsidRDefault="000C39F0" w:rsidP="000C3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б)  Дунав (</w:t>
      </w:r>
      <w:proofErr w:type="spellStart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Келхайм</w:t>
      </w:r>
      <w:proofErr w:type="spellEnd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Констанца/</w:t>
      </w:r>
      <w:proofErr w:type="spellStart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Мидия</w:t>
      </w:r>
      <w:proofErr w:type="spellEnd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/</w:t>
      </w:r>
      <w:proofErr w:type="spellStart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Сулина</w:t>
      </w:r>
      <w:proofErr w:type="spellEnd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) и свързаните с тях речни басейни на Вах, Сава и Тиса </w:t>
      </w:r>
      <w:r w:rsidR="0054467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вътрешни водни пътища</w:t>
      </w:r>
      <w:r w:rsidR="0054467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5427BDAE" w14:textId="3AEA1AEE" w:rsidR="00CC616D" w:rsidRPr="004D3F79" w:rsidRDefault="000C39F0" w:rsidP="00CC6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3. за други проекти за коридорите на основната мрежа на </w:t>
      </w:r>
      <w:proofErr w:type="spellStart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Трансевропейската</w:t>
      </w:r>
      <w:proofErr w:type="spellEnd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транспортна мрежа (TEN-T), определени съгласно чл. 44, параграф 1 от Регламент (ЕС) № 1315/2013, чиято крайна стойност надхвърля 300 000 000 евро.</w:t>
      </w:r>
    </w:p>
    <w:p w14:paraId="5C7686C2" w14:textId="034AD301" w:rsidR="00ED2F74" w:rsidRPr="004D3F79" w:rsidRDefault="00ED2F74" w:rsidP="000C3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4026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</w:t>
      </w:r>
      <w:r w:rsidRPr="004D3F79">
        <w:t xml:space="preserve"> 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Съвместна структура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="0054467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създа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ден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изпълнение на трансгранични проекти по ал. 1, включително и дъщерните 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й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образувания</w:t>
      </w:r>
      <w:r w:rsidR="0054467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провеждат процедури за възлагане на обществени поръчки като прилагат националното право на една от държавите членки, участваща в 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съвместната структура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14EF4ABA" w14:textId="3C389898" w:rsidR="00D84457" w:rsidRDefault="00D84457" w:rsidP="00D84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4026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) Алинея </w:t>
      </w:r>
      <w:r w:rsidR="004026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не се прилага:</w:t>
      </w:r>
    </w:p>
    <w:p w14:paraId="0EF28587" w14:textId="0162CCFC" w:rsidR="00D84457" w:rsidRPr="004D3F79" w:rsidRDefault="00D84457" w:rsidP="00D84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1.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процедури за възлагане на обществени поръчки във връзка с изпълнението на трансграничните проекти по ал. 1, които са стартирали преди 10.08.2023г.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08F95673" w14:textId="4091DC7A" w:rsidR="00D84457" w:rsidRPr="004D3F79" w:rsidRDefault="0071723E" w:rsidP="00D84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="00D84457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за процедури за възлагане на обществени поръчки, провеждани от 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съвместна структура</w:t>
      </w:r>
      <w:r w:rsidR="00D84457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създа</w:t>
      </w:r>
      <w:r w:rsidR="00D84457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ден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D84457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преди 09.08.2021 г.</w:t>
      </w:r>
      <w:r w:rsidR="00A6631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ако процедури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</w:t>
      </w:r>
      <w:r w:rsidR="00A6631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 на тази структура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възлагане на обществен</w:t>
      </w:r>
      <w:r w:rsidR="00A6631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и поръчки продължават да се уреждат от правото, приложимо към възлаганите от структурата обществени поръчки към </w:t>
      </w:r>
      <w:r w:rsidR="00692CD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0</w:t>
      </w:r>
      <w:r w:rsidR="00A6631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9.08.2021 г. 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D84457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</w:p>
    <w:p w14:paraId="3659D070" w14:textId="39D8A2C2" w:rsidR="00CF3350" w:rsidRPr="004D3F79" w:rsidRDefault="00CF3350" w:rsidP="00CF33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4026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 Постановлението не се прилага за проекти, за които процедурите за издаване на разрешение за стро</w:t>
      </w:r>
      <w:r w:rsidR="006046E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еж са започнали преди 10.08.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2023 г.</w:t>
      </w:r>
    </w:p>
    <w:p w14:paraId="779F0AB6" w14:textId="77777777" w:rsidR="00835FAA" w:rsidRPr="004D3F79" w:rsidRDefault="00835FAA" w:rsidP="00A63E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2B099047" w14:textId="40480E09" w:rsidR="00A63E54" w:rsidRPr="004D3F79" w:rsidRDefault="005A1347" w:rsidP="00A63E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Чл. </w:t>
      </w:r>
      <w:r w:rsidR="000C39F0"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2</w:t>
      </w:r>
      <w:r w:rsidR="00AB283E"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.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A63E5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(1) Определя звена за контакт с изпълнителите на </w:t>
      </w:r>
      <w:r w:rsidR="002057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проекти по чл. </w:t>
      </w:r>
      <w:r w:rsidR="000C39F0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2057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ал. 1</w:t>
      </w:r>
      <w:r w:rsidR="00A63E5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A83090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A63E5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наричани по-нататък „</w:t>
      </w:r>
      <w:r w:rsidR="00C36A9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определени</w:t>
      </w:r>
      <w:r w:rsidR="005311F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те</w:t>
      </w:r>
      <w:r w:rsidR="00C36A9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органи</w:t>
      </w:r>
      <w:r w:rsidR="00A63E5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  <w:r w:rsidR="00A83090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</w:t>
      </w:r>
      <w:r w:rsidR="00A63E5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както следва: </w:t>
      </w:r>
    </w:p>
    <w:p w14:paraId="28F0AD57" w14:textId="77777777" w:rsidR="00A63E54" w:rsidRPr="004D3F79" w:rsidRDefault="00EE7431" w:rsidP="00AB283E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lastRenderedPageBreak/>
        <w:t>м</w:t>
      </w:r>
      <w:r w:rsidR="00A63E5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инист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ърът</w:t>
      </w:r>
      <w:r w:rsidR="00A63E5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регионалното развитие и благоустройството </w:t>
      </w:r>
      <w:r w:rsidR="00AB283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–</w:t>
      </w:r>
      <w:r w:rsidR="00A63E5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републиканска</w:t>
      </w:r>
      <w:r w:rsidR="00AB283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та</w:t>
      </w:r>
      <w:r w:rsidR="00A63E5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пътна мрежа (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републикански </w:t>
      </w:r>
      <w:r w:rsidR="00A63E5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пътища)</w:t>
      </w:r>
      <w:r w:rsidR="00AB283E" w:rsidRPr="004D3F79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;</w:t>
      </w:r>
    </w:p>
    <w:p w14:paraId="3436A944" w14:textId="77777777" w:rsidR="00A63E54" w:rsidRPr="004D3F79" w:rsidRDefault="00EE7431" w:rsidP="00AB283E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</w:t>
      </w:r>
      <w:r w:rsidR="00A63E5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инист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ърът</w:t>
      </w:r>
      <w:r w:rsidR="00A63E5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транспорта и съобщенията </w:t>
      </w:r>
      <w:r w:rsidR="00AB283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–</w:t>
      </w:r>
      <w:r w:rsidR="00A63E5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0C39F0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 железопътната мрежа (железен път) </w:t>
      </w:r>
      <w:r w:rsidR="00A63E5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 за вътрешни</w:t>
      </w:r>
      <w:r w:rsidR="00AB283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те</w:t>
      </w:r>
      <w:r w:rsidR="00A63E5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водни пътища</w:t>
      </w:r>
      <w:r w:rsidR="00EE2D39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30085432" w14:textId="77777777" w:rsidR="00EE2D39" w:rsidRPr="004D3F79" w:rsidRDefault="00EE2D39" w:rsidP="00EE2D39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B03F9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) </w:t>
      </w:r>
      <w:r w:rsidR="00D91668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Определените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органи подпомагат </w:t>
      </w:r>
      <w:r w:rsidR="00921AD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изпълнителите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и координират </w:t>
      </w:r>
      <w:r w:rsidR="00D91668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процедурите за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издаване на разрешения за строеж за проектите, част от </w:t>
      </w:r>
      <w:proofErr w:type="spellStart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Трансевропейската</w:t>
      </w:r>
      <w:proofErr w:type="spellEnd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транспортна мрежа (TEN-T) по чл. </w:t>
      </w:r>
      <w:r w:rsidR="000C39F0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="002057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ал. 1</w:t>
      </w:r>
      <w:r w:rsidR="00642B57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  <w:r w:rsidR="007E6AB9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B03F9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Всяка процедура по издаване на разрешение за строеж се координира от един орган по </w:t>
      </w:r>
      <w:r w:rsidR="00D91668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ал</w:t>
      </w:r>
      <w:r w:rsidR="00B03F9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 1.</w:t>
      </w:r>
    </w:p>
    <w:p w14:paraId="79C97BAC" w14:textId="03D5BBA1" w:rsidR="009A05CA" w:rsidRPr="004D3F79" w:rsidRDefault="00B03F9B" w:rsidP="006E738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8429F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DC06F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</w:t>
      </w:r>
      <w:r w:rsidR="008429F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) </w:t>
      </w:r>
      <w:r w:rsidR="001E1C6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</w:t>
      </w:r>
      <w:r w:rsidR="001E1C67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сички органи, които участват в проце</w:t>
      </w:r>
      <w:r w:rsidR="001E1C6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са, свързан с издаването на р</w:t>
      </w:r>
      <w:r w:rsidR="008429F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азрешенията за строеж за проектите по чл. 1, ал. 1</w:t>
      </w:r>
      <w:r w:rsidR="001E1C6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="0044382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с изключение </w:t>
      </w:r>
      <w:r w:rsidR="009A05C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 съд</w:t>
      </w:r>
      <w:r w:rsidR="0044382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ебните органи</w:t>
      </w:r>
      <w:r w:rsidR="00897EE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="0044382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542E7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координират своите действия с оглед спазване на срока, посочен в ал. </w:t>
      </w:r>
      <w:r w:rsidR="00CE08E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</w:t>
      </w:r>
      <w:r w:rsidR="001E1C6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01277A5F" w14:textId="302116D8" w:rsidR="006C656F" w:rsidRPr="004D3F79" w:rsidRDefault="006C656F" w:rsidP="006C656F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CE08E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) Срокът на процедурата за издаване на разрешение за строеж за проекти по чл. 1, ал. 1 не може да надвишава четири години, считано от датата по чл. 3, ал. </w:t>
      </w:r>
      <w:r w:rsidR="006E2EA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2, т. 1.</w:t>
      </w:r>
    </w:p>
    <w:p w14:paraId="20B5FFEA" w14:textId="70636941" w:rsidR="006C656F" w:rsidRPr="004D3F79" w:rsidRDefault="006C656F" w:rsidP="006C656F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CE08E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</w:t>
      </w:r>
      <w:r w:rsidRPr="004D3F79">
        <w:t xml:space="preserve">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Срокът от четири години, посочен в ал. </w:t>
      </w:r>
      <w:r w:rsidR="00CE08E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не засяга задълженията, произтичащи от международното право и правото на Европейския съюз и не включва сроковете, необходими за административно и съдебно обжалване</w:t>
      </w:r>
      <w:r w:rsidR="00CE08E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изпълнение на </w:t>
      </w:r>
      <w:r w:rsidR="00897EE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съдебните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решения.</w:t>
      </w:r>
    </w:p>
    <w:p w14:paraId="7C1DC5EA" w14:textId="6675D1D5" w:rsidR="00A63E54" w:rsidRPr="004D3F79" w:rsidRDefault="00A63E54" w:rsidP="00A63E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9A05C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6</w:t>
      </w:r>
      <w:r w:rsidR="002057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) </w:t>
      </w:r>
      <w:r w:rsidR="001E1C6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</w:t>
      </w:r>
      <w:r w:rsidR="000C39F0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пределени</w:t>
      </w:r>
      <w:r w:rsidR="001E1C6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те</w:t>
      </w:r>
      <w:r w:rsidR="000C39F0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органи</w:t>
      </w:r>
      <w:r w:rsidR="00642B57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осигуряват </w:t>
      </w:r>
      <w:r w:rsidR="002057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на официалната интернет страница на </w:t>
      </w:r>
      <w:r w:rsidR="00842138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ръководеното от тях </w:t>
      </w:r>
      <w:r w:rsidR="002057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министерство информация за текущото състояние на процедурите за издаване на разрешения за строеж, които координират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1D3EA74F" w14:textId="77777777" w:rsidR="00A63E54" w:rsidRPr="004D3F79" w:rsidRDefault="00A63E54" w:rsidP="000427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68C4C7B5" w14:textId="77777777" w:rsidR="004E1E3D" w:rsidRPr="004D3F79" w:rsidRDefault="00D657B8" w:rsidP="00A63E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3.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DB14A0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(1) </w:t>
      </w:r>
      <w:r w:rsidR="006F156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Изпълнителите </w:t>
      </w:r>
      <w:r w:rsidR="00AB283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на </w:t>
      </w:r>
      <w:r w:rsidR="006F156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проекти </w:t>
      </w:r>
      <w:r w:rsidR="007645A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по чл. </w:t>
      </w:r>
      <w:r w:rsidR="000C39F0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7645A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ал. 1 </w:t>
      </w:r>
      <w:r w:rsidR="006F156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уведомяват </w:t>
      </w:r>
      <w:r w:rsidR="004E1E3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писмено </w:t>
      </w:r>
      <w:r w:rsidR="006F156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компетентния</w:t>
      </w:r>
      <w:r w:rsidR="006F156E" w:rsidRPr="004D3F79">
        <w:rPr>
          <w:lang w:val="bg-BG"/>
        </w:rPr>
        <w:t xml:space="preserve"> </w:t>
      </w:r>
      <w:r w:rsidR="006F156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определен орган по чл. </w:t>
      </w:r>
      <w:r w:rsidR="00C663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="006F156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ал. 1 за </w:t>
      </w:r>
      <w:r w:rsidR="003B60A8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всеки </w:t>
      </w:r>
      <w:r w:rsidR="004E1E3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проект, като</w:t>
      </w:r>
      <w:r w:rsidR="008B2839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предоставят</w:t>
      </w:r>
      <w:r w:rsidR="004E1E3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: </w:t>
      </w:r>
    </w:p>
    <w:p w14:paraId="602E4E55" w14:textId="77777777" w:rsidR="008B2839" w:rsidRPr="004D3F79" w:rsidRDefault="00DB14A0" w:rsidP="00DB14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подробно описание на </w:t>
      </w:r>
      <w:r w:rsidR="004E1E3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проекта, включително </w:t>
      </w:r>
      <w:r w:rsidR="008B2839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избрани варианти на трасета; </w:t>
      </w:r>
    </w:p>
    <w:p w14:paraId="6B7FFC13" w14:textId="77777777" w:rsidR="00D657B8" w:rsidRPr="004D3F79" w:rsidRDefault="008B2839" w:rsidP="00DB14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резултатите от изпълнените </w:t>
      </w:r>
      <w:proofErr w:type="spellStart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предпроектни</w:t>
      </w:r>
      <w:proofErr w:type="spellEnd"/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проучвания;</w:t>
      </w:r>
    </w:p>
    <w:p w14:paraId="27F66601" w14:textId="57DED2EE" w:rsidR="00843E51" w:rsidRPr="004D3F79" w:rsidRDefault="006046EE" w:rsidP="005021D2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финансов и </w:t>
      </w:r>
      <w:r w:rsidR="00843E5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социално-икономически анализ „Разходи-ползи“ въз основа на призната методология;</w:t>
      </w:r>
    </w:p>
    <w:p w14:paraId="32B40D01" w14:textId="77777777" w:rsidR="008B2839" w:rsidRPr="004D3F79" w:rsidRDefault="008B2839" w:rsidP="00843E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технически схеми и чертежи;</w:t>
      </w:r>
    </w:p>
    <w:p w14:paraId="4063B4A2" w14:textId="77777777" w:rsidR="008B2839" w:rsidRPr="004D3F79" w:rsidRDefault="00843E51" w:rsidP="00843E51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индикативен план-график за провеждане на  необходимите процедури за издаване на разрешения за строеж за конкретния проект;</w:t>
      </w:r>
    </w:p>
    <w:p w14:paraId="4C157973" w14:textId="087FEA93" w:rsidR="00952F9B" w:rsidRDefault="006046EE" w:rsidP="00843E51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индикативен бюджет и </w:t>
      </w:r>
      <w:r w:rsidR="001F332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информация </w:t>
      </w:r>
      <w:r w:rsidR="00EE743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</w:t>
      </w:r>
      <w:r w:rsidR="001F332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източниците на финансиране на проекта.</w:t>
      </w:r>
    </w:p>
    <w:p w14:paraId="2E56CDE3" w14:textId="0074EBF7" w:rsidR="006046EE" w:rsidRDefault="006046EE" w:rsidP="00843E51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информация за техническия капацитет на изпълнителя на проекта по чл. 1, ал. 1;</w:t>
      </w:r>
    </w:p>
    <w:p w14:paraId="208D1456" w14:textId="0EC1136D" w:rsidR="006046EE" w:rsidRPr="004D3F79" w:rsidRDefault="006046EE" w:rsidP="00843E51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друга необходима информация, при поискване от определения орган по чл. 2, ал. 1</w:t>
      </w:r>
    </w:p>
    <w:p w14:paraId="146414B5" w14:textId="50FFCB65" w:rsidR="00E538C1" w:rsidRPr="004D3F79" w:rsidRDefault="000F766F" w:rsidP="00A63E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(2) </w:t>
      </w:r>
      <w:r w:rsidR="00BC271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Определени</w:t>
      </w:r>
      <w:r w:rsidR="005021D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ят</w:t>
      </w:r>
      <w:r w:rsidR="00BC271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орган по чл. </w:t>
      </w:r>
      <w:r w:rsidR="00C663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="00BC271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ал. 1 извършва оценка на годността на проект</w:t>
      </w:r>
      <w:r w:rsidR="005021D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500E66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въз основа на представените от изпълнителите документи по ал. 1</w:t>
      </w:r>
      <w:r w:rsidR="005D0DD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78288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като:</w:t>
      </w:r>
    </w:p>
    <w:p w14:paraId="4D7D5D3F" w14:textId="13086DBF" w:rsidR="00187D1D" w:rsidRPr="004D3F79" w:rsidRDefault="006E2EAB" w:rsidP="00A63E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1.</w:t>
      </w:r>
      <w:r w:rsidR="00187D1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случ</w:t>
      </w:r>
      <w:r w:rsidR="005D0DD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ай че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представените от изпълнителя документи са достатъчни за стартиране на процедура за издаване на разрешение за строеж</w:t>
      </w:r>
      <w:r w:rsidR="005D0DD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Pr="004D3F79">
        <w:t xml:space="preserve">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начална дата на процедурата се счита датата, на която определеният орган е получил уведомлението по ал. 1</w:t>
      </w:r>
      <w:r w:rsidR="005D0DD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 В този случай разрешенията за строеж се издават в срока по чл. 2, ал. 4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58A94E5E" w14:textId="35BE9337" w:rsidR="006E2EAB" w:rsidRPr="004D3F79" w:rsidRDefault="006E2EAB" w:rsidP="006E2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2. </w:t>
      </w:r>
      <w:r w:rsidR="00055A3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случай</w:t>
      </w:r>
      <w:r w:rsidR="005D0DD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че проектът не е достигнал необходимата годност за стартиране на процедурата за издаване на разрешение за строеж,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срок до 4 месеца след получаване на уведомлението по ал. 1 го отхвъ</w:t>
      </w:r>
      <w:r w:rsidR="00CD04A8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рля с обосновано решение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03C23452" w14:textId="03644C1B" w:rsidR="00061613" w:rsidRPr="004D3F79" w:rsidRDefault="00061613" w:rsidP="00A63E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6E2EA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</w:t>
      </w:r>
      <w:r w:rsidRPr="004D3F79">
        <w:t xml:space="preserve"> </w:t>
      </w:r>
      <w:r w:rsidR="00933A8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</w:t>
      </w:r>
      <w:r w:rsidR="001F6B1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надлежно обосновани от изпълнителите на проекти случаи о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пределеният орган по чл. 2, ал. 1 може да удължи срок</w:t>
      </w:r>
      <w:r w:rsidR="00E3366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посочен в чл. 2, ал. </w:t>
      </w:r>
      <w:r w:rsidR="00FB7A6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като продължителността на удължаването се определя за всеки отделен случай и се ограничава до необходимото за приключване на процедурата за издаване на разрешение за строеж</w:t>
      </w:r>
      <w:r w:rsidR="0078288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време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</w:t>
      </w:r>
      <w:r w:rsidR="00EF196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опълнително удължаван</w:t>
      </w:r>
      <w:r w:rsidR="00EF196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 може да бъде предоставено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481EC8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веднъж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при същите условия. </w:t>
      </w:r>
    </w:p>
    <w:p w14:paraId="4054C1FB" w14:textId="4DB6FFE8" w:rsidR="00A35F33" w:rsidRPr="004D3F79" w:rsidRDefault="00A35F33" w:rsidP="00A63E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(4)</w:t>
      </w:r>
      <w:r w:rsidR="00CD04A8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91244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Определеният орган уведомява изпълнителите на проекти по чл. 1, ал. 1 за удължаването на срока. </w:t>
      </w:r>
    </w:p>
    <w:p w14:paraId="0AAD88BA" w14:textId="1FBE50E3" w:rsidR="00883A94" w:rsidRPr="004D3F79" w:rsidRDefault="00883A94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 xml:space="preserve">Чл. </w:t>
      </w:r>
      <w:r w:rsidR="00843E51"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4</w:t>
      </w:r>
      <w:r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. </w:t>
      </w:r>
      <w:r w:rsidR="004E62B8" w:rsidRPr="004E62B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(1)</w:t>
      </w:r>
      <w:r w:rsidR="004E62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6F156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Определените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органи по чл. </w:t>
      </w:r>
      <w:r w:rsidR="00C663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ал. 1 </w:t>
      </w:r>
      <w:r w:rsidR="00746EE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подпомагат и координират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провеждане</w:t>
      </w:r>
      <w:r w:rsidR="00EE743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то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процедурите </w:t>
      </w:r>
      <w:r w:rsidR="00B03F9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издаване на разрешения за строеж</w:t>
      </w:r>
      <w:r w:rsidR="004A3C0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проектите по чл. </w:t>
      </w:r>
      <w:r w:rsidR="000C39F0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3B60A8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ал. 1</w:t>
      </w:r>
      <w:r w:rsidR="00B03F9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като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:</w:t>
      </w:r>
    </w:p>
    <w:p w14:paraId="3E62FECB" w14:textId="300D9952" w:rsidR="00883A94" w:rsidRPr="004D3F79" w:rsidRDefault="00883A94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1. предоставят </w:t>
      </w:r>
      <w:r w:rsidR="0023573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обобщена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информация на изпълнителите на проект</w:t>
      </w:r>
      <w:r w:rsidR="0023573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и по чл. </w:t>
      </w:r>
      <w:r w:rsidR="000C39F0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23573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ал. 1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 на компетентните органи, </w:t>
      </w:r>
      <w:r w:rsidR="00AB283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отговорни за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r w:rsidR="00AB283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/или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участващи в процедурите за издаване на разрешения за строеж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;</w:t>
      </w:r>
    </w:p>
    <w:p w14:paraId="76D58690" w14:textId="527F04AA" w:rsidR="00883A94" w:rsidRPr="004D3F79" w:rsidRDefault="00883A94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2. при необходимост и след поискване, предоставят на изпълнителя подробен план</w:t>
      </w:r>
      <w:r w:rsidRPr="004D3F79">
        <w:rPr>
          <w:lang w:val="bg-BG"/>
        </w:rPr>
        <w:t xml:space="preserve">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 </w:t>
      </w:r>
      <w:r w:rsidR="00746EE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необходимите процедури за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издаване на р</w:t>
      </w:r>
      <w:r w:rsidR="00746EE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азрешения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 </w:t>
      </w:r>
      <w:r w:rsidR="00746EE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строеж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конкретен проект</w:t>
      </w:r>
      <w:r w:rsidR="007C168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съгласно Закона за устройство на територията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включително информация относно </w:t>
      </w:r>
      <w:r w:rsidR="00746EE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срокове</w:t>
      </w:r>
      <w:r w:rsidR="00082B2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те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746EE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провеждане</w:t>
      </w:r>
      <w:r w:rsidR="00082B2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то им</w:t>
      </w:r>
      <w:r w:rsidR="00746EE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съответствие с четиригодишния срок</w:t>
      </w:r>
      <w:r w:rsidR="00082B2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по</w:t>
      </w:r>
      <w:r w:rsidR="00746EE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чл. </w:t>
      </w:r>
      <w:r w:rsidR="000C39F0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="00746EE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ал. </w:t>
      </w:r>
      <w:r w:rsidR="00CE08E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</w:t>
      </w:r>
      <w:r w:rsidR="00746EE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789833D3" w14:textId="34099C79" w:rsidR="00883A94" w:rsidRPr="004D3F79" w:rsidRDefault="00883A94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3. следят за спазване на </w:t>
      </w:r>
      <w:r w:rsidR="00082B2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плановете за провеждане на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процедурите за издаване на разрешения </w:t>
      </w:r>
      <w:r w:rsidR="00082B2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 строеж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съответствие с четиригодишния срок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по чл. </w:t>
      </w:r>
      <w:r w:rsidR="00C663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ал. </w:t>
      </w:r>
      <w:r w:rsidR="00CE08E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02092D0D" w14:textId="692FCCC4" w:rsidR="00883A94" w:rsidRPr="004D3F79" w:rsidRDefault="00235732" w:rsidP="0032552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</w:t>
      </w:r>
      <w:r w:rsidR="00325526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при поискване предоставят на изпълнителите на проекти обобщена информация относно необходим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ите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разрешени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я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решени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я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становищ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които трябва да бъдат получени и предоставени за успешно приключване на процедурите за издаване на разрешения за строеж, 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включваща най-малко:</w:t>
      </w:r>
    </w:p>
    <w:p w14:paraId="351207E4" w14:textId="77777777" w:rsidR="00883A94" w:rsidRPr="004D3F79" w:rsidRDefault="00883A94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а) обща информация за обхвата по същество и степента на подробност на информацията, която трябва да се представи от изпълнителя на проекта;</w:t>
      </w:r>
    </w:p>
    <w:p w14:paraId="10510C9E" w14:textId="77777777" w:rsidR="00ED3660" w:rsidRDefault="00883A94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б) приложимите срокове или, ако няма такива срокове, индикативни срокове; </w:t>
      </w:r>
    </w:p>
    <w:p w14:paraId="2853A53D" w14:textId="64E3C031" w:rsidR="00883A94" w:rsidRPr="004D3F79" w:rsidRDefault="00883A94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в) данни за контакт с органите и заинтересованите страни, които обикновено участват в консултациите, свързани с 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разрешения</w:t>
      </w:r>
      <w:r w:rsidR="00AB283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та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решения</w:t>
      </w:r>
      <w:r w:rsidR="00AB283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та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становища</w:t>
      </w:r>
      <w:r w:rsidR="00AB283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та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които трябва да бъдат получени и предоставени за успешно приключване на процедурите за издаване на разрешения за строеж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6AF71AC0" w14:textId="015BEE7E" w:rsidR="006871A6" w:rsidRPr="004D3F79" w:rsidRDefault="006871A6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г) съобщават на изпълнителите на проекти по чл. 1, ал. 1 за издадените и влезли в сила актове в рамките на процедурите за издаване на разрешения за строеж</w:t>
      </w:r>
      <w:r w:rsidR="004E62B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2BFA3D59" w14:textId="40908C72" w:rsidR="005D0DDC" w:rsidRPr="004D3F79" w:rsidRDefault="005D0DDC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5. </w:t>
      </w:r>
      <w:r w:rsidR="00F650C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при необходимост определените органи по чл. 2, ал. 1 предоставят на изпълнителите на проекти информация, допълваща тази по т. 4;</w:t>
      </w:r>
    </w:p>
    <w:p w14:paraId="0468D0F4" w14:textId="3ED8FC90" w:rsidR="00F650CB" w:rsidRPr="004D3F79" w:rsidRDefault="00F650CB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6. всяко изменение на информацията по т. 4 се обосновава надлежно от определения орган</w:t>
      </w:r>
      <w:r w:rsidR="004E62B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2BF6DF6A" w14:textId="62AA5EAB" w:rsidR="00883A94" w:rsidRPr="004D3F79" w:rsidRDefault="00F650CB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7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 координират процедури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те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издаване на разрешени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я за строеж</w:t>
      </w:r>
      <w:r w:rsidR="009A05C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 процедурите по възлагане на обществени поръчки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трансгранични проекти 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като си сътрудничат с определените органи от другите държави членки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 цел координация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 договаряне на съвместен 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план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27042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</w:t>
      </w:r>
      <w:r w:rsidR="005C7E7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изпълнение на 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процедур</w:t>
      </w:r>
      <w:r w:rsidR="005C7E7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ите 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издаване на разрешени</w:t>
      </w:r>
      <w:r w:rsidR="005C7E7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я за строеж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като:</w:t>
      </w:r>
    </w:p>
    <w:p w14:paraId="38E5BF93" w14:textId="09CFA11E" w:rsidR="00883A94" w:rsidRPr="004D3F79" w:rsidRDefault="00883A94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а) при необходимост вземат участие в създаването на съвместен орган</w:t>
      </w:r>
      <w:r w:rsidRPr="004D3F79">
        <w:rPr>
          <w:lang w:val="ru-RU"/>
        </w:rPr>
        <w:t xml:space="preserve">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трансгранични проекти;</w:t>
      </w:r>
    </w:p>
    <w:p w14:paraId="60F32A9D" w14:textId="77777777" w:rsidR="00883A94" w:rsidRPr="004D3F79" w:rsidRDefault="00883A94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б) в рамките на процедурите за издаване на разрешения</w:t>
      </w:r>
      <w:r w:rsidR="005C7E7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строеж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проекти, които се отнасят до две или повече държави членки</w:t>
      </w:r>
      <w:r w:rsidR="00F6741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предоставят информация и си сътрудничат с европейските координатори, определени в съответствие с чл. 45 от </w:t>
      </w:r>
      <w:r w:rsidR="005C7E7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Регламент (ЕС) № 1315/2013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6BB6BC6C" w14:textId="77777777" w:rsidR="00883A94" w:rsidRPr="004D3F79" w:rsidRDefault="00883A94" w:rsidP="00883A9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          в) при поискване и в случай на закъснение и/или неспазване на сроковете предоставят информация на съответните европейски координатори относно предприетите или планираните мерки, за да се даде възможност за приключване на процедур</w:t>
      </w:r>
      <w:r w:rsidR="005C7E7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ите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издаване на разрешени</w:t>
      </w:r>
      <w:r w:rsidR="005C7E7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я за строеж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 възможно най-малко забавяне;</w:t>
      </w:r>
    </w:p>
    <w:p w14:paraId="5C6770F2" w14:textId="623ED852" w:rsidR="00883A94" w:rsidRPr="004D3F79" w:rsidRDefault="006046EE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8. 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4E62B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а всеки две години </w:t>
      </w:r>
      <w:r w:rsidR="00907CC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предоставят информация 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 Европейската комисия относно броя на процедурите за издаване на разрешение</w:t>
      </w:r>
      <w:r w:rsidR="005C7E7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строеж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попадащи в приложното поле на Директива (ЕС) </w:t>
      </w:r>
      <w:r w:rsidR="00907CC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№ 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2021/1187</w:t>
      </w:r>
      <w:r w:rsidR="00907CC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средната продължителност на процедурите за издаване на разрешен</w:t>
      </w:r>
      <w:r w:rsidR="005C7E7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ия за строеж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броя на процедурите за издаване на разрешени</w:t>
      </w:r>
      <w:r w:rsidR="005C7E7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я за строеж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превишаващи срока и създаването на съвместен орган по</w:t>
      </w:r>
      <w:r w:rsidR="00907CC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време на периода на докладване</w:t>
      </w:r>
      <w:r w:rsidR="004E62B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4E62B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</w:t>
      </w:r>
      <w:r w:rsidR="00907CC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ървия</w:t>
      </w:r>
      <w:r w:rsidR="00510A1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доклад </w:t>
      </w:r>
      <w:r w:rsidR="00510A1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</w:t>
      </w:r>
      <w:r w:rsidR="00907CC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е </w:t>
      </w:r>
      <w:r w:rsidR="00510A1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представя </w:t>
      </w:r>
      <w:r w:rsidR="00907CC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най-късно до 10.08.</w:t>
      </w:r>
      <w:r w:rsidR="00883A9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2026 г.</w:t>
      </w:r>
      <w:r w:rsidR="004E62B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696FD58D" w14:textId="605F149D" w:rsidR="00CF39FC" w:rsidRPr="004D3F79" w:rsidRDefault="006046EE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9</w:t>
      </w:r>
      <w:r w:rsidR="00CF39F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изискват от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компетентните органи</w:t>
      </w:r>
      <w:r w:rsidR="00CF39F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участващи в процедурите за издаване на разрешения за строеж</w:t>
      </w:r>
      <w:r w:rsidR="004E62B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="00CF39F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да им представят своевременно информация </w:t>
      </w:r>
      <w:r w:rsidR="007476A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 </w:t>
      </w:r>
      <w:r w:rsidR="00CF39F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изда</w:t>
      </w:r>
      <w:r w:rsidR="007476A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дените</w:t>
      </w:r>
      <w:r w:rsidR="00CF39F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7476A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становища, решения и </w:t>
      </w:r>
      <w:r w:rsidR="00CF39FC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разрешения</w:t>
      </w:r>
      <w:r w:rsidR="007476A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свързани с процедурите</w:t>
      </w:r>
      <w:r w:rsidR="00055A3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които</w:t>
      </w:r>
      <w:r w:rsidR="007476A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координират и подпомагат. </w:t>
      </w:r>
    </w:p>
    <w:p w14:paraId="0764DB8B" w14:textId="0E1A4D24" w:rsidR="000C2843" w:rsidRDefault="004E62B8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lastRenderedPageBreak/>
        <w:t>(2)</w:t>
      </w:r>
      <w:r w:rsidRPr="004E62B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Правомощията по ал. 1 не засягат възможността на и</w:t>
      </w:r>
      <w:r w:rsidRPr="004E62B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зпълнителите на проекти по чл. 1, ал. 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да </w:t>
      </w:r>
      <w:r w:rsidRPr="004E62B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комуникират и с другите компетентни органи, издаващи становища, решения и разрешения, които са част от процедурата по издаване на разрешение за строеж.</w:t>
      </w:r>
    </w:p>
    <w:p w14:paraId="220E2723" w14:textId="77777777" w:rsidR="00493A3E" w:rsidRPr="004D3F79" w:rsidRDefault="00493A3E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43471EFD" w14:textId="3AA6BAAE" w:rsidR="001072BB" w:rsidRPr="004D3F79" w:rsidRDefault="00235732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</w:t>
      </w:r>
      <w:r w:rsidR="001072BB"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л. </w:t>
      </w:r>
      <w:r w:rsidR="00205725"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5</w:t>
      </w:r>
      <w:r w:rsidR="001072BB"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="001072B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B351D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(1) </w:t>
      </w:r>
      <w:r w:rsidR="001072B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Дейностите по чл. </w:t>
      </w:r>
      <w:r w:rsidR="00B351D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3, ал. 2</w:t>
      </w:r>
      <w:r w:rsidR="00481EC8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 </w:t>
      </w:r>
      <w:r w:rsidR="00F4799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</w:t>
      </w:r>
      <w:r w:rsidR="00B351D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 чл. 4 се извършват от работна група, назначена от </w:t>
      </w:r>
      <w:r w:rsidR="00952F9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съответния министър</w:t>
      </w:r>
      <w:r w:rsidR="007F790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="00EE743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който</w:t>
      </w:r>
      <w:r w:rsidR="007F790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е определен</w:t>
      </w:r>
      <w:r w:rsidR="008958F7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</w:t>
      </w:r>
      <w:r w:rsidR="007F790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орган по чл. </w:t>
      </w:r>
      <w:r w:rsidR="00C663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="007F790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ал. 1</w:t>
      </w:r>
      <w:r w:rsidR="00952F9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1A7CB24B" w14:textId="2954716A" w:rsidR="00B351DD" w:rsidRPr="004D3F79" w:rsidRDefault="00B351DD" w:rsidP="00B351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(2)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Решенията по чл. 3, </w:t>
      </w:r>
      <w:r w:rsidR="00C663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ал. </w:t>
      </w:r>
      <w:r w:rsidR="00481EC8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2 </w:t>
      </w:r>
      <w:r w:rsidR="00F4799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 3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се вземат с квалифицирано мнозинство от две трети от присъстващите на заседанието членове на работната група, които имат право на глас. Членовете</w:t>
      </w:r>
      <w:r w:rsidR="00C47937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гласували против, както и въздържалите се, представят своето особено мнение, което се вписва в протокола от заседанието. </w:t>
      </w:r>
    </w:p>
    <w:p w14:paraId="2CA3BC29" w14:textId="77777777" w:rsidR="00842138" w:rsidRPr="004D3F79" w:rsidRDefault="00842138" w:rsidP="008421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(3) След получаването на протокола по ал. </w:t>
      </w:r>
      <w:r w:rsidR="008958F7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министърът го утвърждава или го връща на работната група по ал. 1 с писмени указания, когато:</w:t>
      </w:r>
    </w:p>
    <w:p w14:paraId="20764378" w14:textId="6F20565E" w:rsidR="00842138" w:rsidRPr="004D3F79" w:rsidRDefault="00842138" w:rsidP="008421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1. информацията в него не е достатъчна за вземането на решение и/или</w:t>
      </w:r>
    </w:p>
    <w:p w14:paraId="74070C83" w14:textId="77777777" w:rsidR="00842138" w:rsidRPr="004D3F79" w:rsidRDefault="00842138" w:rsidP="008421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2. констатира нарушение в работата на работната група, което може да бъде отстранено. </w:t>
      </w:r>
    </w:p>
    <w:p w14:paraId="4D77E717" w14:textId="77777777" w:rsidR="00842138" w:rsidRPr="004D3F79" w:rsidRDefault="00842138" w:rsidP="008421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(4) Указанията по ал. 3 посочват:</w:t>
      </w:r>
    </w:p>
    <w:p w14:paraId="0BE92D9B" w14:textId="2B203FD6" w:rsidR="00842138" w:rsidRPr="004D3F79" w:rsidRDefault="00842138" w:rsidP="008421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1. каква информация трябва да се включи, така че да са налице достатъчно мотиви за вземане на решение по чл. 3, ал. 2</w:t>
      </w:r>
      <w:r w:rsidR="00493A3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 3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0B875B65" w14:textId="509C9EFB" w:rsidR="00842138" w:rsidRPr="004D3F79" w:rsidRDefault="00842138" w:rsidP="008421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2. нарушението, което трябва да се отстрани в случаите по ал. 3</w:t>
      </w:r>
      <w:r w:rsidR="00C663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т. 2.</w:t>
      </w:r>
    </w:p>
    <w:p w14:paraId="62C9DB20" w14:textId="77777777" w:rsidR="00C66325" w:rsidRPr="004D3F79" w:rsidRDefault="00842138" w:rsidP="00B351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(5) Работната група представя на министъра нов протокол, който съдържа резултатите от преразглеждането на действията й.</w:t>
      </w:r>
      <w:r w:rsidRPr="004D3F79" w:rsidDel="0084213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</w:p>
    <w:p w14:paraId="74E8459F" w14:textId="77777777" w:rsidR="00B351DD" w:rsidRPr="004D3F79" w:rsidRDefault="00B351DD" w:rsidP="00B351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ED7A2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6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) Работната група по ал. 1 се състои от председател и членове. Председателят и членовете на работната група имат право на глас при вземане на решения. </w:t>
      </w:r>
    </w:p>
    <w:p w14:paraId="0DC3CD4A" w14:textId="5D058F11" w:rsidR="00B351DD" w:rsidRPr="004D3F79" w:rsidRDefault="00B351DD" w:rsidP="00B351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ED7A2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7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) Председател на работната група е </w:t>
      </w:r>
      <w:r w:rsidR="00952F9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ресорният </w:t>
      </w:r>
      <w:r w:rsidR="00C663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заместник</w:t>
      </w:r>
      <w:r w:rsidR="00493A3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-</w:t>
      </w:r>
      <w:r w:rsidR="00952F9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министър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или </w:t>
      </w:r>
      <w:r w:rsidR="00493A3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оправ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омощено от </w:t>
      </w:r>
      <w:r w:rsidR="00493A3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министъра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длъжностно лице.</w:t>
      </w:r>
    </w:p>
    <w:p w14:paraId="2BA75259" w14:textId="77777777" w:rsidR="00B351DD" w:rsidRPr="004D3F79" w:rsidRDefault="00B351DD" w:rsidP="00B351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ED7A2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8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 Членове на работната група са:</w:t>
      </w:r>
    </w:p>
    <w:p w14:paraId="4D0ED83A" w14:textId="77777777" w:rsidR="00B351DD" w:rsidRPr="004D3F79" w:rsidRDefault="00B351DD" w:rsidP="00B351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1.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</w:r>
      <w:r w:rsidR="00E020A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представител на </w:t>
      </w:r>
      <w:r w:rsidR="007F790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</w:t>
      </w:r>
      <w:r w:rsidR="00E020A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инистерство</w:t>
      </w:r>
      <w:r w:rsidR="00E554B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то</w:t>
      </w:r>
      <w:r w:rsidR="00E020A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финансите; </w:t>
      </w:r>
    </w:p>
    <w:p w14:paraId="4D8A163E" w14:textId="464E89C5" w:rsidR="00B351DD" w:rsidRPr="004D3F79" w:rsidRDefault="00B351DD" w:rsidP="00B351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2.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</w:r>
      <w:r w:rsidR="00E020A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представител</w:t>
      </w:r>
      <w:r w:rsidR="00AF7B7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r w:rsidR="00E020A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</w:t>
      </w:r>
      <w:r w:rsidR="007F790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</w:t>
      </w:r>
      <w:r w:rsidR="00E020A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инистерство</w:t>
      </w:r>
      <w:r w:rsidR="00E554B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то</w:t>
      </w:r>
      <w:r w:rsidR="00E020A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регионалното развитие</w:t>
      </w:r>
      <w:r w:rsidR="00C46E6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C46E6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 благоустройството</w:t>
      </w:r>
      <w:r w:rsidR="00E020A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; </w:t>
      </w:r>
    </w:p>
    <w:p w14:paraId="458414F3" w14:textId="77777777" w:rsidR="00E020A4" w:rsidRPr="004D3F79" w:rsidRDefault="00B351DD" w:rsidP="00B351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3.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</w:r>
      <w:r w:rsidR="00E020A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представител на </w:t>
      </w:r>
      <w:r w:rsidR="007F790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</w:t>
      </w:r>
      <w:r w:rsidR="00E020A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инистерство</w:t>
      </w:r>
      <w:r w:rsidR="00E554B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то</w:t>
      </w:r>
      <w:r w:rsidR="00E020A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околната среда и водите;</w:t>
      </w:r>
    </w:p>
    <w:p w14:paraId="7724929A" w14:textId="77777777" w:rsidR="00E020A4" w:rsidRPr="004D3F79" w:rsidRDefault="00E020A4" w:rsidP="00B351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4. представител на </w:t>
      </w:r>
      <w:r w:rsidR="007F790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инистерство</w:t>
      </w:r>
      <w:r w:rsidR="00E554B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то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земеделието;</w:t>
      </w:r>
    </w:p>
    <w:p w14:paraId="51192677" w14:textId="77777777" w:rsidR="00952F9B" w:rsidRPr="004D3F79" w:rsidRDefault="001F332D" w:rsidP="00B351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5. представител на </w:t>
      </w:r>
      <w:r w:rsidR="007F790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инистер</w:t>
      </w:r>
      <w:r w:rsidR="00952F9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ство</w:t>
      </w:r>
      <w:r w:rsidR="00E554B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то</w:t>
      </w:r>
      <w:r w:rsidR="00952F9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културата</w:t>
      </w:r>
      <w:r w:rsidR="00E554B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4CE57B45" w14:textId="50700743" w:rsidR="00B351DD" w:rsidRPr="004D3F79" w:rsidRDefault="00952F9B" w:rsidP="00B351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6</w:t>
      </w:r>
      <w:r w:rsidR="00E020A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 представител</w:t>
      </w:r>
      <w:r w:rsidR="00035B1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r w:rsidR="00E020A4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</w:t>
      </w:r>
      <w:r w:rsidR="00AF7B7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Министерството на транспорта и съобщенията</w:t>
      </w:r>
      <w:r w:rsidR="007F790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1AB6F051" w14:textId="61DFDB94" w:rsidR="00B351DD" w:rsidRPr="004D3F79" w:rsidRDefault="00B351DD" w:rsidP="00B351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ED7A2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9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) При необходимост на заседанията на работната група могат да бъдат </w:t>
      </w:r>
      <w:r w:rsidR="008958F7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включени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представители на други ведомства, които имат отношение </w:t>
      </w:r>
      <w:r w:rsidR="007645A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към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изпълнение на проектите </w:t>
      </w:r>
      <w:r w:rsidR="007645A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по чл. </w:t>
      </w:r>
      <w:r w:rsidR="006046E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7645A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ал. 1</w:t>
      </w:r>
      <w:r w:rsidR="00035B1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Те имат ролята на наблюдатели по време на заседанията на работната група и нямат право на глас при вземане на решения</w:t>
      </w:r>
      <w:r w:rsidR="00A54786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та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.</w:t>
      </w:r>
    </w:p>
    <w:p w14:paraId="772E1CA1" w14:textId="0F6EAC79" w:rsidR="00063D9F" w:rsidRPr="004D3F79" w:rsidRDefault="00063D9F" w:rsidP="001F145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ED7A2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10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 Представители на Национална компания „Железопътна инфраструктура“, Агенция „Пътна инфраструктура“, Държавно предприятие ‚Пристанищна инфраструктура“, Изпълнителна агенция „Проучва</w:t>
      </w:r>
      <w:r w:rsidR="006046E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не и поддържане на река Дунав“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Изпълнителна агенция „Морска администрация“ и други потенциални </w:t>
      </w:r>
      <w:r w:rsidR="000404E6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изпълнители на проекти</w:t>
      </w:r>
      <w:r w:rsidR="007645AB" w:rsidRPr="004D3F79">
        <w:rPr>
          <w:lang w:val="ru-RU"/>
        </w:rPr>
        <w:t xml:space="preserve"> </w:t>
      </w:r>
      <w:r w:rsidR="007645A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по чл. </w:t>
      </w:r>
      <w:r w:rsidR="0096303D" w:rsidRPr="004D3F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="007645A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ал. 1</w:t>
      </w:r>
      <w:r w:rsidR="000404E6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="007645A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могат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да присъстват на заседания на работната група след отправена им покана, с оглед представяне на проект</w:t>
      </w:r>
      <w:r w:rsidR="003B60A8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ите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Представителите на 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изпълнителите на проекти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не са членове на работната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група и нямат право на глас</w:t>
      </w:r>
      <w:r w:rsidR="00A54786" w:rsidRPr="004D3F79">
        <w:rPr>
          <w:lang w:val="ru-RU"/>
        </w:rPr>
        <w:t xml:space="preserve"> </w:t>
      </w:r>
      <w:r w:rsidR="00A54786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при вземане на решенията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 </w:t>
      </w:r>
    </w:p>
    <w:p w14:paraId="3F0D3816" w14:textId="77777777" w:rsidR="00063D9F" w:rsidRPr="004D3F79" w:rsidRDefault="00063D9F" w:rsidP="00063D9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ED7A2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) Координацията, административната и техническата работа, свързани с дейността на работната група, се извършва от секретар, който е служител </w:t>
      </w:r>
      <w:r w:rsidR="000D157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</w:t>
      </w:r>
      <w:r w:rsidR="00C663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0D157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министерство</w:t>
      </w:r>
      <w:r w:rsidR="0021431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то, чийто министър е определен </w:t>
      </w:r>
      <w:r w:rsidR="008958F7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 </w:t>
      </w:r>
      <w:r w:rsidR="0021431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орган по чл. </w:t>
      </w:r>
      <w:r w:rsidR="00C6632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="0021431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ал. 1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</w:t>
      </w:r>
    </w:p>
    <w:p w14:paraId="792D7789" w14:textId="611B770D" w:rsidR="00063D9F" w:rsidRPr="004D3F79" w:rsidRDefault="00063D9F" w:rsidP="00063D9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235732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ED7A2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) </w:t>
      </w:r>
      <w:r w:rsidR="00A54786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всеки член на работната група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по ал. </w:t>
      </w:r>
      <w:r w:rsidR="00ED7A2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8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A54786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се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определя заместник, който да участва на заседанията на работната група с право на глас, в случай на тяхно отсъствие. </w:t>
      </w:r>
    </w:p>
    <w:p w14:paraId="604FB0EA" w14:textId="7224631E" w:rsidR="00063D9F" w:rsidRPr="004D3F79" w:rsidRDefault="00063D9F" w:rsidP="001F145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ED7A2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) Поименният състав на работната група се определя със заповед на </w:t>
      </w:r>
      <w:r w:rsidR="00151DF6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определения орган</w:t>
      </w:r>
      <w:r w:rsidR="00952F9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въз основа на предложения на съответните органи и организации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</w:t>
      </w:r>
    </w:p>
    <w:p w14:paraId="6C42DB72" w14:textId="77777777" w:rsidR="00063D9F" w:rsidRPr="004D3F79" w:rsidRDefault="00063D9F" w:rsidP="001F145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lastRenderedPageBreak/>
        <w:t>(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ED7A2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 Членовете на работната група могат да предложат за участие в заседанията експерти, които при необходимост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да подпомагат тяхната работа. </w:t>
      </w:r>
    </w:p>
    <w:p w14:paraId="5BE98778" w14:textId="2B993C0A" w:rsidR="00063D9F" w:rsidRPr="004D3F79" w:rsidRDefault="00063D9F" w:rsidP="001F145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(1</w:t>
      </w:r>
      <w:r w:rsidR="00ED7A2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) Заседанията на работната група по 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ал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</w:t>
      </w:r>
      <w:r w:rsidR="000D1571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се свикват по инициатива на председателя, най-малко </w:t>
      </w:r>
      <w:r w:rsidR="006046E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два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пъти годишно.</w:t>
      </w:r>
    </w:p>
    <w:p w14:paraId="28FEE588" w14:textId="77777777" w:rsidR="00063D9F" w:rsidRPr="004D3F79" w:rsidRDefault="00063D9F" w:rsidP="001F145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ED7A2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6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) Дневният ред и всички документи и материали за заседанията се изпращат </w:t>
      </w:r>
      <w:r w:rsidR="005801B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по електронен път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от секретаря на </w:t>
      </w:r>
      <w:r w:rsidR="005801B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председателя и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членовете на работната група и заинтересованите страни най-малко 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7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работни дни преди датата на 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заседанието. </w:t>
      </w:r>
    </w:p>
    <w:p w14:paraId="55B84B33" w14:textId="38A1B2F5" w:rsidR="00063D9F" w:rsidRPr="004D3F79" w:rsidRDefault="00063D9F" w:rsidP="00063D9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ED7A2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7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 Предл</w:t>
      </w:r>
      <w:r w:rsidR="003E298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ожения за промени в дневния ред, </w:t>
      </w:r>
      <w:r w:rsidR="00FB7A6B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заедно с</w:t>
      </w:r>
      <w:r w:rsidR="003E298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документите и материалите, които ги обосновават</w:t>
      </w:r>
      <w:r w:rsidR="00901BC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="003E298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могат да бъдат внасяни от </w:t>
      </w:r>
      <w:r w:rsidR="005801B3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председателя и от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всеки член на работната група най-късно </w:t>
      </w:r>
      <w:r w:rsidR="005244D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до 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работни дни преди заседанието.</w:t>
      </w:r>
      <w:r w:rsidR="003E298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C0268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невния</w:t>
      </w:r>
      <w:r w:rsidR="00C0268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ред</w:t>
      </w:r>
      <w:r w:rsidR="00C0268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включително и предложенията за промени в него,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се гласуват от работната група на съответното заседание. </w:t>
      </w:r>
    </w:p>
    <w:p w14:paraId="1A29D798" w14:textId="77777777" w:rsidR="00063D9F" w:rsidRPr="004D3F79" w:rsidRDefault="00063D9F" w:rsidP="00063D9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ED7A2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8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 За всяко заседание на работната група се съставя протокол, в който се отразяват темите на обсъждане, констатациите,</w:t>
      </w:r>
      <w:r w:rsidR="00C0268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всички изказвания и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взетите решения</w:t>
      </w:r>
      <w:r w:rsidR="00C0268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 се прилагат материалите</w:t>
      </w:r>
      <w:r w:rsidR="005244DE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разгледани на заседание</w:t>
      </w:r>
      <w:r w:rsidR="00C0268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то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</w:t>
      </w:r>
    </w:p>
    <w:p w14:paraId="5240A38E" w14:textId="77777777" w:rsidR="00063D9F" w:rsidRPr="004D3F79" w:rsidRDefault="00063D9F" w:rsidP="00063D9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1F145D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ED7A2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9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) До 5 работни дни след </w:t>
      </w:r>
      <w:r w:rsidR="00C0268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всяко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заседание, на членовете на работната група се изпраща по електронен път проект</w:t>
      </w:r>
      <w:r w:rsidR="00C02685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ът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протокол от заседанието, по който те могат да дадат бележки в срок до 5 работни дни от датата на изпращането му. Окончателният вариант на протокол от заседанието се изготвя до 3 работни дни след получаване на бележките по проекта на протокол. Окончателният вариант се изпраща по електронен път повторно на всички членове на работната група.</w:t>
      </w:r>
    </w:p>
    <w:p w14:paraId="14CF676A" w14:textId="77777777" w:rsidR="00205725" w:rsidRPr="004D3F79" w:rsidRDefault="00205725" w:rsidP="00063D9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73BF0567" w14:textId="77777777" w:rsidR="00883A94" w:rsidRPr="004D3F79" w:rsidRDefault="00883A94" w:rsidP="00883A94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023F2D98" w14:textId="77777777" w:rsidR="00883A94" w:rsidRPr="004D3F79" w:rsidRDefault="00883A94" w:rsidP="00883A94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ДОПЪЛНИТЕЛН</w:t>
      </w:r>
      <w:r w:rsidR="00AD795F"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</w:t>
      </w:r>
      <w:r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РАЗПОРЕДБ</w:t>
      </w:r>
      <w:r w:rsidR="00AD795F" w:rsidRPr="004D3F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</w:t>
      </w:r>
    </w:p>
    <w:p w14:paraId="4CC4C65B" w14:textId="77777777" w:rsidR="00883A94" w:rsidRPr="004D3F79" w:rsidRDefault="00883A94" w:rsidP="00883A94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33FA7C5C" w14:textId="1F3B2FA1" w:rsidR="00883A94" w:rsidRPr="004D3F79" w:rsidRDefault="00883A94" w:rsidP="00883A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§ 1. Постановлението въвежда </w:t>
      </w:r>
      <w:r w:rsidR="00AC5AE7" w:rsidRPr="00AC5AE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разпоредбите на</w:t>
      </w:r>
      <w:r w:rsidR="00AC5AE7">
        <w:rPr>
          <w:rFonts w:ascii="Calibri" w:eastAsia="Calibri" w:hAnsi="Calibri" w:cs="Times New Roman"/>
          <w:color w:val="1F497D"/>
        </w:rPr>
        <w:t xml:space="preserve"> 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Директива (ЕС) 2021/1187 на Европейския парламент и на Съвета от 7 юли 2021 година.</w:t>
      </w:r>
    </w:p>
    <w:p w14:paraId="2B81A419" w14:textId="77777777" w:rsidR="00AD795F" w:rsidRPr="004D3F79" w:rsidRDefault="00AD795F" w:rsidP="00AD79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§ 2. По смисъла на настоящото постановление:</w:t>
      </w:r>
    </w:p>
    <w:p w14:paraId="27812248" w14:textId="445B5A76" w:rsidR="00AD795F" w:rsidRPr="004D3F79" w:rsidRDefault="00EE1BDA" w:rsidP="00AD795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700E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</w:t>
      </w:r>
      <w:r w:rsidRPr="006046E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решение за разрешаване</w:t>
      </w:r>
      <w:r w:rsidR="00700E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 (</w:t>
      </w:r>
      <w:r w:rsidR="00AD795F" w:rsidRPr="006046E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разрешение за строеж</w:t>
      </w:r>
      <w:r w:rsidR="00AD795F" w:rsidRPr="006046E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  <w:r w:rsidR="00700E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</w:t>
      </w:r>
      <w:r w:rsidR="00AD795F" w:rsidRPr="006046E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означава решението или съвкупността от решения, които могат да бъдат от административен характер</w:t>
      </w:r>
      <w:r w:rsidR="00AD795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взети едновременно или последователно от </w:t>
      </w:r>
      <w:r w:rsidR="00901BC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компетентните</w:t>
      </w:r>
      <w:r w:rsidR="00AD795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органи, с изключение на органите за административно и съдебно обжалване, с които се определя дали изпълнителят на даден проект има право да изпълнява проекта в съответния географски район, без да се засягат решенията, взети в рамките на производство за административно или съдебно обжалване;</w:t>
      </w:r>
    </w:p>
    <w:p w14:paraId="200CFDC6" w14:textId="011DEF7F" w:rsidR="00AD795F" w:rsidRPr="004D3F79" w:rsidRDefault="00700E1C" w:rsidP="00AD795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</w:t>
      </w:r>
      <w:r w:rsidR="00EE1BD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процедура за издаване на разрешение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  <w:r w:rsidR="00EE1BDA" w:rsidRPr="00EE1BD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AD795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</w:t>
      </w:r>
      <w:r w:rsidR="00EE1BD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процедура за издаване на</w:t>
      </w:r>
      <w:r w:rsidR="00EE1BD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разрешение за строеж</w:t>
      </w:r>
      <w:r w:rsidR="00AD795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</w:t>
      </w:r>
      <w:r w:rsidR="00AD795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означава всяка процедура, която трябва да бъде следвана, свързана с отделен проект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по това постановление</w:t>
      </w:r>
      <w:r w:rsidR="00AD795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с цел получаване на решението за разрешаване, изисквано от 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компетентните </w:t>
      </w:r>
      <w:r w:rsidR="00AD795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органи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="00AD795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съгласно правото на 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Европейския с</w:t>
      </w:r>
      <w:r w:rsidR="00AD795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ъюз или националното право, с изключение на градоустройството или планирането на </w:t>
      </w:r>
      <w:proofErr w:type="spellStart"/>
      <w:r w:rsidR="00AD795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земеползването</w:t>
      </w:r>
      <w:proofErr w:type="spellEnd"/>
      <w:r w:rsidR="00AD795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на процедурите, свързани с възлагането на обществени поръчки и на предприетите на стратегическо равнище стъпки, които не се отнасят до конкретен проект, като </w:t>
      </w:r>
      <w:r w:rsidR="00AD795F" w:rsidRPr="006A62A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стратегическа екологична оценка,</w:t>
      </w:r>
      <w:bookmarkStart w:id="0" w:name="_GoBack"/>
      <w:bookmarkEnd w:id="0"/>
      <w:r w:rsidR="00AD795F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публично бюджетно планиране, както и национални или регионални транспортни планове;</w:t>
      </w:r>
    </w:p>
    <w:p w14:paraId="2D7051B3" w14:textId="38222A36" w:rsidR="00AD795F" w:rsidRPr="004D3F79" w:rsidRDefault="00AD795F" w:rsidP="00AD795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„проект“ означава предложение за изграждането, адаптирането или изменението на определен участък от транспортната инфраструктура, което цели подобряване на капацитета, безопасността и ефикасността на посочената инфраструктура и чието изпълнение изисква одобряване посредством</w:t>
      </w:r>
      <w:r w:rsidR="00EE1BDA" w:rsidRPr="00EE1BD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EE1BDA" w:rsidRP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решение </w:t>
      </w:r>
      <w:r w:rsidR="00EE1BD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разрешаване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D84457" w:rsidRP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</w:t>
      </w:r>
      <w:r w:rsidR="00EE1BDA"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решение </w:t>
      </w:r>
      <w:r w:rsidR="00EE1BDA" w:rsidRP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строеж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48FAFF6B" w14:textId="77777777" w:rsidR="00AD795F" w:rsidRPr="004D3F79" w:rsidRDefault="00AD795F" w:rsidP="00AD795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„трансграничен проект“ означава проект, обхващащ трансграничен участък между две или повече държави членки;</w:t>
      </w:r>
    </w:p>
    <w:p w14:paraId="602578F8" w14:textId="77777777" w:rsidR="00AD795F" w:rsidRPr="004D3F79" w:rsidRDefault="00AD795F" w:rsidP="00AD795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„изпълнител на проект“ означава заявителят, подал заявление за разрешаване на изпълнението на проект, или публичният орган, който инициира даден проект;</w:t>
      </w:r>
    </w:p>
    <w:p w14:paraId="189EBEC7" w14:textId="034D34D6" w:rsidR="00AD795F" w:rsidRPr="004D3F79" w:rsidRDefault="00AD795F" w:rsidP="00AD795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lastRenderedPageBreak/>
        <w:t xml:space="preserve">„определен орган“ означава органът, който е звеното за контакт за изпълнителя на проекта и който улеснява ефикасното и структурирано провеждане на процедурите за издаване на разрешения в съответствие с </w:t>
      </w:r>
      <w:r w:rsidR="00D844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постановлението</w:t>
      </w: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1D09955D" w14:textId="77777777" w:rsidR="00AD795F" w:rsidRPr="004D3F79" w:rsidRDefault="00AD795F" w:rsidP="00AD795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„съвместен орган“ означава орган, създаден по взаимно съгласие между две или повече държави членки за улесняване на процедурите за издаване на разрешения, свързани с трансгранични проекти, включително съвместни органи, учредени от определените органи, когато тези определени органи са били оправомощени от държавите членки да учредят съвместни органи.</w:t>
      </w:r>
    </w:p>
    <w:p w14:paraId="13B3C5B0" w14:textId="77777777" w:rsidR="00883A94" w:rsidRPr="004D3F79" w:rsidRDefault="00883A94" w:rsidP="00883A9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</w:r>
    </w:p>
    <w:p w14:paraId="72B3AD8D" w14:textId="77777777" w:rsidR="00883A94" w:rsidRPr="004D3F79" w:rsidRDefault="00883A94" w:rsidP="00883A94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ЗАКЛЮЧИТЕЛНА РАЗПОРЕДБА</w:t>
      </w:r>
    </w:p>
    <w:p w14:paraId="7215F866" w14:textId="77777777" w:rsidR="00883A94" w:rsidRPr="004D3F79" w:rsidRDefault="00883A94" w:rsidP="00883A9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       </w:t>
      </w:r>
    </w:p>
    <w:p w14:paraId="4FE75CC3" w14:textId="77777777" w:rsidR="00883A94" w:rsidRPr="004D3F79" w:rsidRDefault="00883A94" w:rsidP="00883A9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§ </w:t>
      </w:r>
      <w:r w:rsidR="00AD795F"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3</w:t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 Постановлението се приема на основание чл. 7а от Закона за нормативните актове.</w:t>
      </w:r>
    </w:p>
    <w:p w14:paraId="79DE7A7B" w14:textId="301E3B53" w:rsidR="00BD7436" w:rsidRPr="004D3F79" w:rsidRDefault="00AC5AE7" w:rsidP="00694449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§</w:t>
      </w:r>
      <w:r w:rsidRPr="00AC5AE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4. </w:t>
      </w:r>
      <w:r w:rsidRPr="00AC5AE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Постановлението влиза в сила от деня на обнародването му в Държавен вестни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к.</w:t>
      </w:r>
    </w:p>
    <w:p w14:paraId="670DB21F" w14:textId="77777777" w:rsidR="005A49B2" w:rsidRPr="004D3F79" w:rsidRDefault="00B11AF8" w:rsidP="00E809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4D3F7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</w:r>
    </w:p>
    <w:p w14:paraId="13774FC4" w14:textId="77777777" w:rsidR="00156F1D" w:rsidRPr="004D3F79" w:rsidRDefault="00156F1D" w:rsidP="00042771">
      <w:pPr>
        <w:tabs>
          <w:tab w:val="left" w:pos="993"/>
        </w:tabs>
        <w:spacing w:before="720"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  <w:t>МИНИСТЪР-ПРЕДСЕДАТЕЛ:</w:t>
      </w:r>
    </w:p>
    <w:p w14:paraId="633BD962" w14:textId="77777777" w:rsidR="00156F1D" w:rsidRPr="004D3F79" w:rsidRDefault="00F83620" w:rsidP="00156F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sz w:val="24"/>
          <w:szCs w:val="24"/>
          <w:lang w:val="bg-BG"/>
        </w:rPr>
        <w:t>акад. Николай Денков</w:t>
      </w:r>
    </w:p>
    <w:p w14:paraId="0A0F73E0" w14:textId="77777777" w:rsidR="00156F1D" w:rsidRPr="004D3F79" w:rsidRDefault="00156F1D" w:rsidP="00156F1D">
      <w:pPr>
        <w:spacing w:before="36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  <w:t xml:space="preserve">ГЛАВЕН СЕКРЕТАР НА </w:t>
      </w:r>
    </w:p>
    <w:p w14:paraId="0DDD01BD" w14:textId="77777777" w:rsidR="00156F1D" w:rsidRPr="004D3F79" w:rsidRDefault="00156F1D" w:rsidP="00156F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  <w:t>МИНИСТЕРСКИЯ СЪВЕТ:</w:t>
      </w:r>
    </w:p>
    <w:p w14:paraId="72986D53" w14:textId="77777777" w:rsidR="00156F1D" w:rsidRPr="004D3F79" w:rsidRDefault="00F83620" w:rsidP="00156F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</w:r>
      <w:r w:rsidRPr="004D3F79">
        <w:rPr>
          <w:rFonts w:ascii="Times New Roman" w:eastAsia="Calibri" w:hAnsi="Times New Roman" w:cs="Times New Roman"/>
          <w:sz w:val="24"/>
          <w:szCs w:val="24"/>
          <w:lang w:val="bg-BG"/>
        </w:rPr>
        <w:t>Ваня Стойнева</w:t>
      </w:r>
    </w:p>
    <w:p w14:paraId="5CA6F5CC" w14:textId="77777777" w:rsidR="00156F1D" w:rsidRPr="004D3F79" w:rsidRDefault="00156F1D" w:rsidP="00156F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D3F79">
        <w:rPr>
          <w:rFonts w:ascii="Times New Roman" w:eastAsia="Calibri" w:hAnsi="Times New Roman" w:cs="Times New Roman"/>
          <w:sz w:val="24"/>
          <w:szCs w:val="24"/>
          <w:lang w:val="bg-BG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0C307BA3" w14:textId="77777777" w:rsidR="00156F1D" w:rsidRPr="004D3F79" w:rsidRDefault="00156F1D" w:rsidP="00156F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lang w:val="bg-BG"/>
        </w:rPr>
        <w:t>Главен секретар на</w:t>
      </w:r>
    </w:p>
    <w:p w14:paraId="3B03DE9A" w14:textId="77777777" w:rsidR="00156F1D" w:rsidRPr="004D3F79" w:rsidRDefault="00156F1D" w:rsidP="00156F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lang w:val="bg-BG"/>
        </w:rPr>
        <w:t>Министерството на транспорта и съобщенията:</w:t>
      </w:r>
    </w:p>
    <w:p w14:paraId="1E7F913D" w14:textId="77777777" w:rsidR="00156F1D" w:rsidRPr="004D3F79" w:rsidRDefault="00F83620" w:rsidP="00156F1D">
      <w:pPr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="00156F1D" w:rsidRPr="004D3F79">
        <w:rPr>
          <w:rFonts w:ascii="Times New Roman" w:eastAsia="Calibri" w:hAnsi="Times New Roman" w:cs="Times New Roman"/>
          <w:lang w:val="bg-BG"/>
        </w:rPr>
        <w:t>Иван Марков</w:t>
      </w:r>
    </w:p>
    <w:p w14:paraId="1EF39C17" w14:textId="77777777" w:rsidR="00156F1D" w:rsidRPr="004D3F79" w:rsidRDefault="00156F1D" w:rsidP="00156F1D">
      <w:pPr>
        <w:spacing w:before="360" w:after="0" w:line="240" w:lineRule="auto"/>
        <w:jc w:val="both"/>
        <w:rPr>
          <w:rFonts w:ascii="Times New Roman" w:eastAsia="Calibri" w:hAnsi="Times New Roman" w:cs="Times New Roman"/>
          <w:b/>
          <w:bCs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lang w:val="bg-BG"/>
        </w:rPr>
        <w:t>Директор на дирекция „Правна“ на</w:t>
      </w:r>
    </w:p>
    <w:p w14:paraId="02B7EA69" w14:textId="77777777" w:rsidR="00156F1D" w:rsidRPr="004D3F79" w:rsidRDefault="00156F1D" w:rsidP="00156F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lang w:val="bg-BG"/>
        </w:rPr>
        <w:t>Министерството на транспорта и съобщенията:</w:t>
      </w:r>
    </w:p>
    <w:p w14:paraId="64A87FA1" w14:textId="77777777" w:rsidR="00156F1D" w:rsidRPr="004D3F79" w:rsidRDefault="00156F1D" w:rsidP="00156F1D">
      <w:pPr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lang w:val="bg-BG"/>
        </w:rPr>
        <w:t>Красимира Стоянова</w:t>
      </w:r>
    </w:p>
    <w:p w14:paraId="2F353A41" w14:textId="77777777" w:rsidR="00537E40" w:rsidRPr="004D3F79" w:rsidRDefault="00537E40">
      <w:pPr>
        <w:rPr>
          <w:lang w:val="ru-RU"/>
        </w:rPr>
      </w:pPr>
    </w:p>
    <w:p w14:paraId="28089646" w14:textId="77777777" w:rsidR="00CC6B55" w:rsidRPr="004D3F79" w:rsidRDefault="00CC6B55" w:rsidP="00CC6B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lang w:val="bg-BG"/>
        </w:rPr>
        <w:t>Главен секретар на</w:t>
      </w:r>
    </w:p>
    <w:p w14:paraId="6C79B9EB" w14:textId="77777777" w:rsidR="00CC6B55" w:rsidRPr="004D3F79" w:rsidRDefault="00CC6B55" w:rsidP="00CC6B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lang w:val="bg-BG"/>
        </w:rPr>
        <w:t xml:space="preserve">Министерството на регионалното развитие </w:t>
      </w:r>
    </w:p>
    <w:p w14:paraId="14DE58F2" w14:textId="77777777" w:rsidR="00CC6B55" w:rsidRPr="004D3F79" w:rsidRDefault="00CC6B55" w:rsidP="00CC6B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lang w:val="bg-BG"/>
        </w:rPr>
        <w:t>и благоустройството:</w:t>
      </w:r>
    </w:p>
    <w:p w14:paraId="3106F709" w14:textId="77777777" w:rsidR="00CC6B55" w:rsidRPr="004D3F79" w:rsidRDefault="00CC6B55" w:rsidP="00CC6B55">
      <w:pPr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lang w:val="bg-BG"/>
        </w:rPr>
        <w:t>Мирослава Владимирова</w:t>
      </w:r>
    </w:p>
    <w:p w14:paraId="733FD3CE" w14:textId="77777777" w:rsidR="00CC6B55" w:rsidRPr="004D3F79" w:rsidRDefault="00CC6B55" w:rsidP="00CC6B55">
      <w:pPr>
        <w:spacing w:before="360" w:after="0" w:line="240" w:lineRule="auto"/>
        <w:jc w:val="both"/>
        <w:rPr>
          <w:rFonts w:ascii="Times New Roman" w:eastAsia="Calibri" w:hAnsi="Times New Roman" w:cs="Times New Roman"/>
          <w:b/>
          <w:bCs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lang w:val="bg-BG"/>
        </w:rPr>
        <w:t>Директор на дирекция „Правна“ на</w:t>
      </w:r>
    </w:p>
    <w:p w14:paraId="72AD873C" w14:textId="77777777" w:rsidR="00CC6B55" w:rsidRPr="004D3F79" w:rsidRDefault="00CC6B55" w:rsidP="00CC6B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lang w:val="bg-BG"/>
        </w:rPr>
        <w:t xml:space="preserve">Министерството на регионалното развитие </w:t>
      </w:r>
    </w:p>
    <w:p w14:paraId="0629FD50" w14:textId="77777777" w:rsidR="00CC6B55" w:rsidRPr="004D3F79" w:rsidRDefault="00CC6B55" w:rsidP="00CC6B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lang w:val="bg-BG"/>
        </w:rPr>
        <w:t>и благоустройството:</w:t>
      </w:r>
    </w:p>
    <w:p w14:paraId="13E7AAED" w14:textId="77777777" w:rsidR="00CC6B55" w:rsidRPr="00156F1D" w:rsidRDefault="00CC6B55" w:rsidP="00CC6B55">
      <w:pPr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b/>
          <w:bCs/>
          <w:lang w:val="bg-BG"/>
        </w:rPr>
        <w:tab/>
      </w:r>
      <w:r w:rsidRPr="004D3F79">
        <w:rPr>
          <w:rFonts w:ascii="Times New Roman" w:eastAsia="Calibri" w:hAnsi="Times New Roman" w:cs="Times New Roman"/>
          <w:lang w:val="bg-BG"/>
        </w:rPr>
        <w:t>Десислава Ганева</w:t>
      </w:r>
    </w:p>
    <w:p w14:paraId="3994F6CD" w14:textId="77777777" w:rsidR="00CC6B55" w:rsidRDefault="00CC6B55"/>
    <w:sectPr w:rsidR="00CC6B55" w:rsidSect="000867BD">
      <w:footerReference w:type="default" r:id="rId8"/>
      <w:pgSz w:w="11906" w:h="16838" w:code="9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FE05D" w14:textId="77777777" w:rsidR="00D80E9C" w:rsidRDefault="00D80E9C">
      <w:pPr>
        <w:spacing w:after="0" w:line="240" w:lineRule="auto"/>
      </w:pPr>
      <w:r>
        <w:separator/>
      </w:r>
    </w:p>
  </w:endnote>
  <w:endnote w:type="continuationSeparator" w:id="0">
    <w:p w14:paraId="75D14804" w14:textId="77777777" w:rsidR="00D80E9C" w:rsidRDefault="00D8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42DF" w14:textId="77777777" w:rsidR="0041609B" w:rsidRPr="0037072D" w:rsidRDefault="00D80E9C" w:rsidP="00E454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2F948" w14:textId="77777777" w:rsidR="00D80E9C" w:rsidRDefault="00D80E9C">
      <w:pPr>
        <w:spacing w:after="0" w:line="240" w:lineRule="auto"/>
      </w:pPr>
      <w:r>
        <w:separator/>
      </w:r>
    </w:p>
  </w:footnote>
  <w:footnote w:type="continuationSeparator" w:id="0">
    <w:p w14:paraId="7AD37385" w14:textId="77777777" w:rsidR="00D80E9C" w:rsidRDefault="00D80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A2A"/>
    <w:multiLevelType w:val="hybridMultilevel"/>
    <w:tmpl w:val="4A0AB0CA"/>
    <w:lvl w:ilvl="0" w:tplc="0366A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525189"/>
    <w:multiLevelType w:val="hybridMultilevel"/>
    <w:tmpl w:val="DF2ACCBA"/>
    <w:lvl w:ilvl="0" w:tplc="FEE43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065D5A"/>
    <w:multiLevelType w:val="hybridMultilevel"/>
    <w:tmpl w:val="9A0C24E8"/>
    <w:lvl w:ilvl="0" w:tplc="4F7CA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E91AF7"/>
    <w:multiLevelType w:val="hybridMultilevel"/>
    <w:tmpl w:val="6464E676"/>
    <w:lvl w:ilvl="0" w:tplc="FE08245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72FE5163"/>
    <w:multiLevelType w:val="hybridMultilevel"/>
    <w:tmpl w:val="69AEA88C"/>
    <w:lvl w:ilvl="0" w:tplc="DC96F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8F4986"/>
    <w:multiLevelType w:val="hybridMultilevel"/>
    <w:tmpl w:val="7F60180C"/>
    <w:lvl w:ilvl="0" w:tplc="12BE4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5A"/>
    <w:rsid w:val="0000148A"/>
    <w:rsid w:val="00035B1A"/>
    <w:rsid w:val="000404E6"/>
    <w:rsid w:val="00042771"/>
    <w:rsid w:val="00055A34"/>
    <w:rsid w:val="00061613"/>
    <w:rsid w:val="00063D9F"/>
    <w:rsid w:val="00070736"/>
    <w:rsid w:val="00082B2B"/>
    <w:rsid w:val="000867BD"/>
    <w:rsid w:val="00096145"/>
    <w:rsid w:val="00097E4A"/>
    <w:rsid w:val="000C2843"/>
    <w:rsid w:val="000C39F0"/>
    <w:rsid w:val="000C754F"/>
    <w:rsid w:val="000D1571"/>
    <w:rsid w:val="000F766F"/>
    <w:rsid w:val="001072BB"/>
    <w:rsid w:val="001147D1"/>
    <w:rsid w:val="001205F4"/>
    <w:rsid w:val="00151DF6"/>
    <w:rsid w:val="00156F1D"/>
    <w:rsid w:val="00187D1D"/>
    <w:rsid w:val="001C060A"/>
    <w:rsid w:val="001D3410"/>
    <w:rsid w:val="001E1C67"/>
    <w:rsid w:val="001F145D"/>
    <w:rsid w:val="001F332D"/>
    <w:rsid w:val="001F6B15"/>
    <w:rsid w:val="00205725"/>
    <w:rsid w:val="00214315"/>
    <w:rsid w:val="00215A74"/>
    <w:rsid w:val="00227F5A"/>
    <w:rsid w:val="00235732"/>
    <w:rsid w:val="00235F9D"/>
    <w:rsid w:val="0024597D"/>
    <w:rsid w:val="00270422"/>
    <w:rsid w:val="002E6214"/>
    <w:rsid w:val="002F2EB7"/>
    <w:rsid w:val="00310A42"/>
    <w:rsid w:val="00325526"/>
    <w:rsid w:val="003438DB"/>
    <w:rsid w:val="00354A80"/>
    <w:rsid w:val="00370E2B"/>
    <w:rsid w:val="003A4E60"/>
    <w:rsid w:val="003B60A8"/>
    <w:rsid w:val="003E298D"/>
    <w:rsid w:val="004026DE"/>
    <w:rsid w:val="0044382F"/>
    <w:rsid w:val="004473B5"/>
    <w:rsid w:val="00481EC8"/>
    <w:rsid w:val="00493A3E"/>
    <w:rsid w:val="004A3C01"/>
    <w:rsid w:val="004B19A3"/>
    <w:rsid w:val="004D3D7F"/>
    <w:rsid w:val="004D3F79"/>
    <w:rsid w:val="004D77E6"/>
    <w:rsid w:val="004E1E3D"/>
    <w:rsid w:val="004E23A8"/>
    <w:rsid w:val="004E62B8"/>
    <w:rsid w:val="00500E66"/>
    <w:rsid w:val="005021D2"/>
    <w:rsid w:val="00510A1C"/>
    <w:rsid w:val="005244DE"/>
    <w:rsid w:val="005311FE"/>
    <w:rsid w:val="00537E40"/>
    <w:rsid w:val="00542E7C"/>
    <w:rsid w:val="00544673"/>
    <w:rsid w:val="00550B86"/>
    <w:rsid w:val="005801B3"/>
    <w:rsid w:val="005A1347"/>
    <w:rsid w:val="005A3E8E"/>
    <w:rsid w:val="005A49B2"/>
    <w:rsid w:val="005B4569"/>
    <w:rsid w:val="005C7E7F"/>
    <w:rsid w:val="005D0DDC"/>
    <w:rsid w:val="005D72D2"/>
    <w:rsid w:val="006018E2"/>
    <w:rsid w:val="006046EE"/>
    <w:rsid w:val="00630B22"/>
    <w:rsid w:val="00642B57"/>
    <w:rsid w:val="00645044"/>
    <w:rsid w:val="006871A6"/>
    <w:rsid w:val="00691B7D"/>
    <w:rsid w:val="00692CDD"/>
    <w:rsid w:val="00694449"/>
    <w:rsid w:val="006A62AD"/>
    <w:rsid w:val="006C4838"/>
    <w:rsid w:val="006C656F"/>
    <w:rsid w:val="006D0871"/>
    <w:rsid w:val="006E2EAB"/>
    <w:rsid w:val="006E7384"/>
    <w:rsid w:val="006F156E"/>
    <w:rsid w:val="00700E1C"/>
    <w:rsid w:val="00704232"/>
    <w:rsid w:val="00713953"/>
    <w:rsid w:val="0071723E"/>
    <w:rsid w:val="00746EE3"/>
    <w:rsid w:val="007476A2"/>
    <w:rsid w:val="00752D47"/>
    <w:rsid w:val="007645AB"/>
    <w:rsid w:val="00782889"/>
    <w:rsid w:val="00787209"/>
    <w:rsid w:val="00796EAD"/>
    <w:rsid w:val="007C168A"/>
    <w:rsid w:val="007C716C"/>
    <w:rsid w:val="007E6AB9"/>
    <w:rsid w:val="007F7902"/>
    <w:rsid w:val="00835FAA"/>
    <w:rsid w:val="00842138"/>
    <w:rsid w:val="008429F3"/>
    <w:rsid w:val="00843E51"/>
    <w:rsid w:val="008609F6"/>
    <w:rsid w:val="00876AE3"/>
    <w:rsid w:val="00883A94"/>
    <w:rsid w:val="008958F7"/>
    <w:rsid w:val="00897EEB"/>
    <w:rsid w:val="008B2839"/>
    <w:rsid w:val="008C0BB0"/>
    <w:rsid w:val="008F3DEF"/>
    <w:rsid w:val="00901BCC"/>
    <w:rsid w:val="00907CCC"/>
    <w:rsid w:val="00911AF9"/>
    <w:rsid w:val="0091244F"/>
    <w:rsid w:val="009175B8"/>
    <w:rsid w:val="0091790E"/>
    <w:rsid w:val="00921ADC"/>
    <w:rsid w:val="00933A84"/>
    <w:rsid w:val="00945710"/>
    <w:rsid w:val="00952F9B"/>
    <w:rsid w:val="009613AB"/>
    <w:rsid w:val="0096303D"/>
    <w:rsid w:val="009A05CA"/>
    <w:rsid w:val="009A0F07"/>
    <w:rsid w:val="009A6AA4"/>
    <w:rsid w:val="009C646D"/>
    <w:rsid w:val="009E2CFE"/>
    <w:rsid w:val="009F3119"/>
    <w:rsid w:val="00A35F33"/>
    <w:rsid w:val="00A54786"/>
    <w:rsid w:val="00A615E4"/>
    <w:rsid w:val="00A63E54"/>
    <w:rsid w:val="00A66310"/>
    <w:rsid w:val="00A74066"/>
    <w:rsid w:val="00A83090"/>
    <w:rsid w:val="00A87BB1"/>
    <w:rsid w:val="00AB283E"/>
    <w:rsid w:val="00AB313F"/>
    <w:rsid w:val="00AC30E0"/>
    <w:rsid w:val="00AC5AE7"/>
    <w:rsid w:val="00AD795F"/>
    <w:rsid w:val="00AF7B73"/>
    <w:rsid w:val="00B03F9B"/>
    <w:rsid w:val="00B11AF8"/>
    <w:rsid w:val="00B351DD"/>
    <w:rsid w:val="00B8484A"/>
    <w:rsid w:val="00BC2714"/>
    <w:rsid w:val="00BD7436"/>
    <w:rsid w:val="00BD7E90"/>
    <w:rsid w:val="00C02685"/>
    <w:rsid w:val="00C2637D"/>
    <w:rsid w:val="00C36A9F"/>
    <w:rsid w:val="00C46E6C"/>
    <w:rsid w:val="00C47937"/>
    <w:rsid w:val="00C55296"/>
    <w:rsid w:val="00C66325"/>
    <w:rsid w:val="00C9554C"/>
    <w:rsid w:val="00CA7CDE"/>
    <w:rsid w:val="00CC616D"/>
    <w:rsid w:val="00CC6B55"/>
    <w:rsid w:val="00CD04A8"/>
    <w:rsid w:val="00CE08E1"/>
    <w:rsid w:val="00CE4C20"/>
    <w:rsid w:val="00CF1085"/>
    <w:rsid w:val="00CF3350"/>
    <w:rsid w:val="00CF39FC"/>
    <w:rsid w:val="00D11DAE"/>
    <w:rsid w:val="00D214A4"/>
    <w:rsid w:val="00D3216A"/>
    <w:rsid w:val="00D657B8"/>
    <w:rsid w:val="00D80E9C"/>
    <w:rsid w:val="00D84457"/>
    <w:rsid w:val="00D91668"/>
    <w:rsid w:val="00DA0399"/>
    <w:rsid w:val="00DA35FA"/>
    <w:rsid w:val="00DB14A0"/>
    <w:rsid w:val="00DC06F3"/>
    <w:rsid w:val="00E00C5F"/>
    <w:rsid w:val="00E020A4"/>
    <w:rsid w:val="00E15228"/>
    <w:rsid w:val="00E1653D"/>
    <w:rsid w:val="00E2012C"/>
    <w:rsid w:val="00E31244"/>
    <w:rsid w:val="00E31692"/>
    <w:rsid w:val="00E3366B"/>
    <w:rsid w:val="00E518C8"/>
    <w:rsid w:val="00E538C1"/>
    <w:rsid w:val="00E554BA"/>
    <w:rsid w:val="00E5564C"/>
    <w:rsid w:val="00E749B6"/>
    <w:rsid w:val="00E809DB"/>
    <w:rsid w:val="00E97CE9"/>
    <w:rsid w:val="00ED2F74"/>
    <w:rsid w:val="00ED3660"/>
    <w:rsid w:val="00ED4900"/>
    <w:rsid w:val="00ED7A2A"/>
    <w:rsid w:val="00EE1BDA"/>
    <w:rsid w:val="00EE2D39"/>
    <w:rsid w:val="00EE7431"/>
    <w:rsid w:val="00EF0BFD"/>
    <w:rsid w:val="00EF1964"/>
    <w:rsid w:val="00F05AFF"/>
    <w:rsid w:val="00F31A17"/>
    <w:rsid w:val="00F45C06"/>
    <w:rsid w:val="00F47991"/>
    <w:rsid w:val="00F53598"/>
    <w:rsid w:val="00F650CB"/>
    <w:rsid w:val="00F6632D"/>
    <w:rsid w:val="00F67368"/>
    <w:rsid w:val="00F6741F"/>
    <w:rsid w:val="00F83620"/>
    <w:rsid w:val="00F87F55"/>
    <w:rsid w:val="00FB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2AF3"/>
  <w15:chartTrackingRefBased/>
  <w15:docId w15:val="{5CFFB98F-38C6-40F9-B2C3-ECD9FE28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56F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6F1D"/>
  </w:style>
  <w:style w:type="paragraph" w:styleId="ListParagraph">
    <w:name w:val="List Paragraph"/>
    <w:basedOn w:val="Normal"/>
    <w:uiPriority w:val="34"/>
    <w:qFormat/>
    <w:rsid w:val="000427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1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9191-23D6-4BF7-AD70-D0E6E151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Stanoeva</dc:creator>
  <cp:keywords/>
  <dc:description/>
  <cp:lastModifiedBy>Ilia Jordanov</cp:lastModifiedBy>
  <cp:revision>3</cp:revision>
  <cp:lastPrinted>2024-02-21T09:17:00Z</cp:lastPrinted>
  <dcterms:created xsi:type="dcterms:W3CDTF">2024-03-19T11:44:00Z</dcterms:created>
  <dcterms:modified xsi:type="dcterms:W3CDTF">2024-03-29T14:10:00Z</dcterms:modified>
</cp:coreProperties>
</file>