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666F2" w14:textId="77777777" w:rsidR="00AA0281" w:rsidRPr="000A23E7" w:rsidRDefault="0063086F" w:rsidP="008C240F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23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ПРОЕКТ</w:t>
      </w:r>
    </w:p>
    <w:p w14:paraId="68085902" w14:textId="77777777" w:rsidR="007F2D9D" w:rsidRPr="000A23E7" w:rsidRDefault="00724E51" w:rsidP="008C240F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23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</w:t>
      </w:r>
      <w:r w:rsidR="0063086F" w:rsidRPr="000A23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 определяне на условия и ред за възлагане на </w:t>
      </w:r>
      <w:r w:rsidR="007F2D9D" w:rsidRPr="000A23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обществени превозни услуги с железопътен транспорт на територията на Република България</w:t>
      </w:r>
      <w:r w:rsidR="0063086F" w:rsidRPr="000A23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във връзка с подготовката на нов договор</w:t>
      </w:r>
    </w:p>
    <w:p w14:paraId="234B8EC0" w14:textId="77777777" w:rsidR="00A46E44" w:rsidRDefault="009B7D26" w:rsidP="008C240F">
      <w:pPr>
        <w:spacing w:before="120"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5A6B6B" w:rsidRPr="0084544D">
        <w:rPr>
          <w:rFonts w:ascii="Times New Roman" w:hAnsi="Times New Roman" w:cs="Times New Roman"/>
          <w:i/>
          <w:sz w:val="24"/>
          <w:szCs w:val="24"/>
        </w:rPr>
        <w:t>О</w:t>
      </w:r>
      <w:r w:rsidR="007F2D9D" w:rsidRPr="0084544D">
        <w:rPr>
          <w:rFonts w:ascii="Times New Roman" w:hAnsi="Times New Roman" w:cs="Times New Roman"/>
          <w:i/>
          <w:sz w:val="24"/>
          <w:szCs w:val="24"/>
        </w:rPr>
        <w:t>сновни характеристики на процедурата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24B01A3E" w14:textId="77777777" w:rsidR="009B7D26" w:rsidRPr="0084544D" w:rsidRDefault="009B7D26" w:rsidP="009B7D26">
      <w:pPr>
        <w:spacing w:before="120"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2EB82BC" w14:textId="77777777" w:rsidR="00F45AD3" w:rsidRDefault="005A5D53" w:rsidP="00F45AD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44D">
        <w:rPr>
          <w:rFonts w:ascii="Times New Roman" w:hAnsi="Times New Roman" w:cs="Times New Roman"/>
          <w:sz w:val="24"/>
          <w:szCs w:val="24"/>
        </w:rPr>
        <w:t>Основната ц</w:t>
      </w:r>
      <w:r w:rsidR="0075698E" w:rsidRPr="0084544D">
        <w:rPr>
          <w:rFonts w:ascii="Times New Roman" w:hAnsi="Times New Roman" w:cs="Times New Roman"/>
          <w:sz w:val="24"/>
          <w:szCs w:val="24"/>
        </w:rPr>
        <w:t xml:space="preserve">ел на предстоящата обществена поръчка е </w:t>
      </w:r>
      <w:r w:rsidR="0080062B" w:rsidRPr="0084544D">
        <w:rPr>
          <w:rFonts w:ascii="Times New Roman" w:hAnsi="Times New Roman" w:cs="Times New Roman"/>
          <w:sz w:val="24"/>
          <w:szCs w:val="24"/>
        </w:rPr>
        <w:t>да</w:t>
      </w:r>
      <w:r w:rsidR="0075698E" w:rsidRPr="0084544D">
        <w:rPr>
          <w:rFonts w:ascii="Times New Roman" w:hAnsi="Times New Roman" w:cs="Times New Roman"/>
          <w:sz w:val="24"/>
          <w:szCs w:val="24"/>
        </w:rPr>
        <w:t xml:space="preserve"> се отговори на потребност</w:t>
      </w:r>
      <w:r w:rsidR="0080062B" w:rsidRPr="0084544D">
        <w:rPr>
          <w:rFonts w:ascii="Times New Roman" w:hAnsi="Times New Roman" w:cs="Times New Roman"/>
          <w:sz w:val="24"/>
          <w:szCs w:val="24"/>
        </w:rPr>
        <w:t>та</w:t>
      </w:r>
      <w:r w:rsidR="0075698E" w:rsidRPr="0084544D">
        <w:rPr>
          <w:rFonts w:ascii="Times New Roman" w:hAnsi="Times New Roman" w:cs="Times New Roman"/>
          <w:sz w:val="24"/>
          <w:szCs w:val="24"/>
        </w:rPr>
        <w:t xml:space="preserve"> на обществ</w:t>
      </w:r>
      <w:r w:rsidR="0080062B" w:rsidRPr="0084544D">
        <w:rPr>
          <w:rFonts w:ascii="Times New Roman" w:hAnsi="Times New Roman" w:cs="Times New Roman"/>
          <w:sz w:val="24"/>
          <w:szCs w:val="24"/>
        </w:rPr>
        <w:t>ото</w:t>
      </w:r>
      <w:r w:rsidR="0075698E" w:rsidRPr="0084544D">
        <w:rPr>
          <w:rFonts w:ascii="Times New Roman" w:hAnsi="Times New Roman" w:cs="Times New Roman"/>
          <w:sz w:val="24"/>
          <w:szCs w:val="24"/>
        </w:rPr>
        <w:t xml:space="preserve"> от превози с железопътен транспорт</w:t>
      </w:r>
      <w:r w:rsidR="00B4171F" w:rsidRPr="0084544D">
        <w:rPr>
          <w:rFonts w:ascii="Times New Roman" w:hAnsi="Times New Roman" w:cs="Times New Roman"/>
          <w:sz w:val="24"/>
          <w:szCs w:val="24"/>
        </w:rPr>
        <w:t>,</w:t>
      </w:r>
      <w:r w:rsidR="0075698E" w:rsidRPr="0084544D">
        <w:rPr>
          <w:rFonts w:ascii="Times New Roman" w:hAnsi="Times New Roman" w:cs="Times New Roman"/>
          <w:sz w:val="24"/>
          <w:szCs w:val="24"/>
        </w:rPr>
        <w:t xml:space="preserve"> при спазване на предвидените условия в приложимия Регламент (ЕО) № 1370/2007 на Европейския парламент и на Съвета от 23 октомври 2007 година относно обществените услуги за пътнически превоз с железопътен и автомобилен транспорт и за отмяна на регламенти (ЕИО) № 1191/69 и (ЕИО) № 1107/70 на Съвета. Това ще се постигне чрез прилагането на принципите на прозрачност, еднакво третиране на конкуриращите се </w:t>
      </w:r>
      <w:r w:rsidR="0080062B" w:rsidRPr="0084544D">
        <w:rPr>
          <w:rFonts w:ascii="Times New Roman" w:hAnsi="Times New Roman" w:cs="Times New Roman"/>
          <w:sz w:val="24"/>
          <w:szCs w:val="24"/>
        </w:rPr>
        <w:t>железопътни предприятия</w:t>
      </w:r>
      <w:r w:rsidR="0075698E" w:rsidRPr="0084544D">
        <w:rPr>
          <w:rFonts w:ascii="Times New Roman" w:hAnsi="Times New Roman" w:cs="Times New Roman"/>
          <w:sz w:val="24"/>
          <w:szCs w:val="24"/>
        </w:rPr>
        <w:t xml:space="preserve"> и пропорционалност.</w:t>
      </w:r>
      <w:r w:rsidRPr="0084544D">
        <w:rPr>
          <w:rFonts w:ascii="Times New Roman" w:hAnsi="Times New Roman" w:cs="Times New Roman"/>
          <w:sz w:val="24"/>
          <w:szCs w:val="24"/>
        </w:rPr>
        <w:t xml:space="preserve"> Като краен резултат от провеждането на процедурата се очаква да бъдат осигурени безопасни, ефективни и висококачествени услуги за пътнически превоз</w:t>
      </w:r>
      <w:r w:rsidR="0080062B" w:rsidRPr="0084544D">
        <w:rPr>
          <w:rFonts w:ascii="Times New Roman" w:hAnsi="Times New Roman" w:cs="Times New Roman"/>
          <w:sz w:val="24"/>
          <w:szCs w:val="24"/>
        </w:rPr>
        <w:t xml:space="preserve"> с железопътен транспорт</w:t>
      </w:r>
      <w:r w:rsidRPr="0084544D">
        <w:rPr>
          <w:rFonts w:ascii="Times New Roman" w:hAnsi="Times New Roman" w:cs="Times New Roman"/>
          <w:sz w:val="24"/>
          <w:szCs w:val="24"/>
        </w:rPr>
        <w:t>, при отчитане на социалните фактори</w:t>
      </w:r>
      <w:r w:rsidR="0080062B" w:rsidRPr="0084544D">
        <w:rPr>
          <w:rFonts w:ascii="Times New Roman" w:hAnsi="Times New Roman" w:cs="Times New Roman"/>
          <w:sz w:val="24"/>
          <w:szCs w:val="24"/>
        </w:rPr>
        <w:t xml:space="preserve"> и на тези</w:t>
      </w:r>
      <w:r w:rsidRPr="0084544D">
        <w:rPr>
          <w:rFonts w:ascii="Times New Roman" w:hAnsi="Times New Roman" w:cs="Times New Roman"/>
          <w:sz w:val="24"/>
          <w:szCs w:val="24"/>
        </w:rPr>
        <w:t>, свързани с околната среда и регионалното развитие, както и предлагането на специфични тарифни условия за някои категории пътници.</w:t>
      </w:r>
    </w:p>
    <w:p w14:paraId="70032156" w14:textId="77777777" w:rsidR="007F2D9D" w:rsidRPr="00F45AD3" w:rsidRDefault="00F45AD3" w:rsidP="00F45AD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45AD3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Pr="00F45AD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242AD" w:rsidRPr="00F45AD3">
        <w:rPr>
          <w:rFonts w:ascii="Times New Roman" w:hAnsi="Times New Roman" w:cs="Times New Roman"/>
          <w:b/>
          <w:sz w:val="24"/>
          <w:szCs w:val="24"/>
          <w:u w:val="single"/>
        </w:rPr>
        <w:t>Обхват на обществената поръчка</w:t>
      </w:r>
    </w:p>
    <w:p w14:paraId="4322E58A" w14:textId="77777777" w:rsidR="008C42E3" w:rsidRPr="0084544D" w:rsidRDefault="009C0F1C" w:rsidP="008C240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44D">
        <w:rPr>
          <w:rFonts w:ascii="Times New Roman" w:hAnsi="Times New Roman" w:cs="Times New Roman"/>
          <w:sz w:val="24"/>
          <w:szCs w:val="24"/>
        </w:rPr>
        <w:t xml:space="preserve">Предмет на обществената поръчка </w:t>
      </w:r>
      <w:r w:rsidR="00B4171F" w:rsidRPr="0084544D">
        <w:rPr>
          <w:rFonts w:ascii="Times New Roman" w:hAnsi="Times New Roman" w:cs="Times New Roman"/>
          <w:sz w:val="24"/>
          <w:szCs w:val="24"/>
        </w:rPr>
        <w:t>е</w:t>
      </w:r>
      <w:r w:rsidRPr="0084544D">
        <w:rPr>
          <w:rFonts w:ascii="Times New Roman" w:hAnsi="Times New Roman" w:cs="Times New Roman"/>
          <w:sz w:val="24"/>
          <w:szCs w:val="24"/>
        </w:rPr>
        <w:t xml:space="preserve"> и</w:t>
      </w:r>
      <w:r w:rsidR="000242AD" w:rsidRPr="0084544D">
        <w:rPr>
          <w:rFonts w:ascii="Times New Roman" w:hAnsi="Times New Roman" w:cs="Times New Roman"/>
          <w:sz w:val="24"/>
          <w:szCs w:val="24"/>
        </w:rPr>
        <w:t>звършване на обществени превозни услуги с железопътен транспорт</w:t>
      </w:r>
      <w:r w:rsidR="008C42E3" w:rsidRPr="0084544D">
        <w:rPr>
          <w:rFonts w:ascii="Times New Roman" w:hAnsi="Times New Roman" w:cs="Times New Roman"/>
          <w:sz w:val="24"/>
          <w:szCs w:val="24"/>
        </w:rPr>
        <w:t xml:space="preserve"> </w:t>
      </w:r>
      <w:r w:rsidR="00CC5405" w:rsidRPr="0084544D">
        <w:rPr>
          <w:rFonts w:ascii="Times New Roman" w:hAnsi="Times New Roman" w:cs="Times New Roman"/>
          <w:sz w:val="24"/>
          <w:szCs w:val="24"/>
        </w:rPr>
        <w:t>при поемане</w:t>
      </w:r>
      <w:r w:rsidR="000242AD" w:rsidRPr="0084544D">
        <w:rPr>
          <w:rFonts w:ascii="Times New Roman" w:hAnsi="Times New Roman" w:cs="Times New Roman"/>
          <w:sz w:val="24"/>
          <w:szCs w:val="24"/>
        </w:rPr>
        <w:t xml:space="preserve"> от </w:t>
      </w:r>
      <w:r w:rsidR="0080062B" w:rsidRPr="0084544D">
        <w:rPr>
          <w:rFonts w:ascii="Times New Roman" w:hAnsi="Times New Roman" w:cs="Times New Roman"/>
          <w:sz w:val="24"/>
          <w:szCs w:val="24"/>
        </w:rPr>
        <w:t xml:space="preserve">съответния </w:t>
      </w:r>
      <w:r w:rsidR="000242AD" w:rsidRPr="0084544D">
        <w:rPr>
          <w:rFonts w:ascii="Times New Roman" w:hAnsi="Times New Roman" w:cs="Times New Roman"/>
          <w:sz w:val="24"/>
          <w:szCs w:val="24"/>
        </w:rPr>
        <w:t>превозвач на задължение за превоз и тарифно задължение, включително и превоз на пътници, на които е предоставено право на безплатно или с намалени цени пътуване.</w:t>
      </w:r>
    </w:p>
    <w:p w14:paraId="2CCCBE5E" w14:textId="77777777" w:rsidR="00835889" w:rsidRDefault="00F45AD3" w:rsidP="0083588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E4A8F" w:rsidRPr="0084544D">
        <w:rPr>
          <w:rFonts w:ascii="Times New Roman" w:hAnsi="Times New Roman" w:cs="Times New Roman"/>
          <w:sz w:val="24"/>
          <w:szCs w:val="24"/>
        </w:rPr>
        <w:t xml:space="preserve">бществената поръчка </w:t>
      </w:r>
      <w:r>
        <w:rPr>
          <w:rFonts w:ascii="Times New Roman" w:hAnsi="Times New Roman" w:cs="Times New Roman"/>
          <w:sz w:val="24"/>
          <w:szCs w:val="24"/>
        </w:rPr>
        <w:t>ще</w:t>
      </w:r>
      <w:r w:rsidR="00BD5844" w:rsidRPr="0084544D">
        <w:rPr>
          <w:rFonts w:ascii="Times New Roman" w:hAnsi="Times New Roman" w:cs="Times New Roman"/>
          <w:sz w:val="24"/>
          <w:szCs w:val="24"/>
        </w:rPr>
        <w:t xml:space="preserve"> </w:t>
      </w:r>
      <w:r w:rsidR="001E4A8F" w:rsidRPr="0084544D">
        <w:rPr>
          <w:rFonts w:ascii="Times New Roman" w:hAnsi="Times New Roman" w:cs="Times New Roman"/>
          <w:sz w:val="24"/>
          <w:szCs w:val="24"/>
        </w:rPr>
        <w:t>бъде разделена на обособени позиции</w:t>
      </w:r>
      <w:r w:rsidR="00E92878">
        <w:rPr>
          <w:rFonts w:ascii="Times New Roman" w:hAnsi="Times New Roman" w:cs="Times New Roman"/>
          <w:sz w:val="24"/>
          <w:szCs w:val="24"/>
        </w:rPr>
        <w:t xml:space="preserve"> (лотове)</w:t>
      </w:r>
      <w:r w:rsidR="001E4A8F" w:rsidRPr="0084544D">
        <w:rPr>
          <w:rFonts w:ascii="Times New Roman" w:hAnsi="Times New Roman" w:cs="Times New Roman"/>
          <w:sz w:val="24"/>
          <w:szCs w:val="24"/>
        </w:rPr>
        <w:t xml:space="preserve">, </w:t>
      </w:r>
      <w:r w:rsidR="00835889">
        <w:rPr>
          <w:rFonts w:ascii="Times New Roman" w:hAnsi="Times New Roman" w:cs="Times New Roman"/>
          <w:sz w:val="24"/>
          <w:szCs w:val="24"/>
        </w:rPr>
        <w:t xml:space="preserve">така, както </w:t>
      </w:r>
      <w:r w:rsidR="00D51F17">
        <w:rPr>
          <w:rFonts w:ascii="Times New Roman" w:hAnsi="Times New Roman" w:cs="Times New Roman"/>
          <w:sz w:val="24"/>
          <w:szCs w:val="24"/>
        </w:rPr>
        <w:t xml:space="preserve">е показано </w:t>
      </w:r>
      <w:r w:rsidR="00D51F17" w:rsidRPr="00C70F16">
        <w:rPr>
          <w:rFonts w:ascii="Times New Roman" w:hAnsi="Times New Roman" w:cs="Times New Roman"/>
          <w:sz w:val="24"/>
          <w:szCs w:val="24"/>
        </w:rPr>
        <w:t>в приложен</w:t>
      </w:r>
      <w:r w:rsidR="00A61B4E" w:rsidRPr="00C70F16">
        <w:rPr>
          <w:rFonts w:ascii="Times New Roman" w:hAnsi="Times New Roman" w:cs="Times New Roman"/>
          <w:sz w:val="24"/>
          <w:szCs w:val="24"/>
        </w:rPr>
        <w:t>ите</w:t>
      </w:r>
      <w:r w:rsidR="00D51F17" w:rsidRPr="00C70F16">
        <w:rPr>
          <w:rFonts w:ascii="Times New Roman" w:hAnsi="Times New Roman" w:cs="Times New Roman"/>
          <w:sz w:val="24"/>
          <w:szCs w:val="24"/>
        </w:rPr>
        <w:t xml:space="preserve"> карт</w:t>
      </w:r>
      <w:r w:rsidR="00A61B4E" w:rsidRPr="00C70F16">
        <w:rPr>
          <w:rFonts w:ascii="Times New Roman" w:hAnsi="Times New Roman" w:cs="Times New Roman"/>
          <w:sz w:val="24"/>
          <w:szCs w:val="24"/>
        </w:rPr>
        <w:t>и</w:t>
      </w:r>
      <w:r w:rsidRPr="00C70F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като:</w:t>
      </w:r>
    </w:p>
    <w:p w14:paraId="45AFF0D1" w14:textId="568FD61A" w:rsidR="00835889" w:rsidRDefault="00835889" w:rsidP="00530DE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възлагането на договорите </w:t>
      </w:r>
      <w:r w:rsidR="00F45AD3">
        <w:rPr>
          <w:rFonts w:ascii="Times New Roman" w:hAnsi="Times New Roman" w:cs="Times New Roman"/>
          <w:sz w:val="24"/>
          <w:szCs w:val="24"/>
        </w:rPr>
        <w:t>ще</w:t>
      </w:r>
      <w:r>
        <w:rPr>
          <w:rFonts w:ascii="Times New Roman" w:hAnsi="Times New Roman" w:cs="Times New Roman"/>
          <w:sz w:val="24"/>
          <w:szCs w:val="24"/>
        </w:rPr>
        <w:t xml:space="preserve"> бъде на регионален принцип. О</w:t>
      </w:r>
      <w:r w:rsidR="00F45AD3">
        <w:rPr>
          <w:rFonts w:ascii="Times New Roman" w:hAnsi="Times New Roman" w:cs="Times New Roman"/>
          <w:sz w:val="24"/>
          <w:szCs w:val="24"/>
        </w:rPr>
        <w:t>бособяват се</w:t>
      </w:r>
      <w:r>
        <w:rPr>
          <w:rFonts w:ascii="Times New Roman" w:hAnsi="Times New Roman" w:cs="Times New Roman"/>
          <w:sz w:val="24"/>
          <w:szCs w:val="24"/>
        </w:rPr>
        <w:t xml:space="preserve"> три лота – западен, северен и южен.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Всеки от лотовете</w:t>
      </w:r>
      <w:r w:rsidR="00F45AD3">
        <w:rPr>
          <w:rFonts w:ascii="Times New Roman" w:hAnsi="Times New Roman" w:cs="Times New Roman"/>
          <w:sz w:val="24"/>
          <w:szCs w:val="24"/>
        </w:rPr>
        <w:t xml:space="preserve"> включва</w:t>
      </w:r>
      <w:r w:rsidR="00D51F17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второстепенни линии</w:t>
      </w:r>
      <w:r w:rsidR="00D51F17">
        <w:rPr>
          <w:rFonts w:ascii="Times New Roman" w:hAnsi="Times New Roman" w:cs="Times New Roman"/>
          <w:sz w:val="24"/>
          <w:szCs w:val="24"/>
        </w:rPr>
        <w:t>;</w:t>
      </w:r>
    </w:p>
    <w:p w14:paraId="09B66582" w14:textId="77777777" w:rsidR="00835889" w:rsidRDefault="00835889" w:rsidP="00530DE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D51F17">
        <w:rPr>
          <w:rFonts w:ascii="Times New Roman" w:hAnsi="Times New Roman" w:cs="Times New Roman"/>
          <w:sz w:val="24"/>
          <w:szCs w:val="24"/>
        </w:rPr>
        <w:t xml:space="preserve"> </w:t>
      </w:r>
      <w:r w:rsidR="00F45AD3">
        <w:rPr>
          <w:rFonts w:ascii="Times New Roman" w:hAnsi="Times New Roman" w:cs="Times New Roman"/>
          <w:sz w:val="24"/>
          <w:szCs w:val="24"/>
        </w:rPr>
        <w:t xml:space="preserve">осигурява се </w:t>
      </w:r>
      <w:r w:rsidR="00D51F17">
        <w:rPr>
          <w:rFonts w:ascii="Times New Roman" w:hAnsi="Times New Roman" w:cs="Times New Roman"/>
          <w:sz w:val="24"/>
          <w:szCs w:val="24"/>
        </w:rPr>
        <w:t xml:space="preserve">възможността </w:t>
      </w:r>
      <w:r>
        <w:rPr>
          <w:rFonts w:ascii="Times New Roman" w:hAnsi="Times New Roman" w:cs="Times New Roman"/>
          <w:sz w:val="24"/>
          <w:szCs w:val="24"/>
        </w:rPr>
        <w:t>всеки от лотовете да бъде обслужван от депо на своята територия/регион на недискриминационен принцип;</w:t>
      </w:r>
    </w:p>
    <w:p w14:paraId="3560EF10" w14:textId="77777777" w:rsidR="00F45AD3" w:rsidRDefault="00835889" w:rsidP="00D51F1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F45AD3">
        <w:rPr>
          <w:rFonts w:ascii="Times New Roman" w:hAnsi="Times New Roman" w:cs="Times New Roman"/>
          <w:sz w:val="24"/>
          <w:szCs w:val="24"/>
        </w:rPr>
        <w:t xml:space="preserve">осигурява се </w:t>
      </w:r>
      <w:r>
        <w:rPr>
          <w:rFonts w:ascii="Times New Roman" w:hAnsi="Times New Roman" w:cs="Times New Roman"/>
          <w:sz w:val="24"/>
          <w:szCs w:val="24"/>
        </w:rPr>
        <w:t>оптимално обезпечаване на всеки от потенциалните превозвачи с работници и служител</w:t>
      </w:r>
      <w:r w:rsidR="00F45AD3">
        <w:rPr>
          <w:rFonts w:ascii="Times New Roman" w:hAnsi="Times New Roman" w:cs="Times New Roman"/>
          <w:sz w:val="24"/>
          <w:szCs w:val="24"/>
        </w:rPr>
        <w:t>и.</w:t>
      </w:r>
      <w:r w:rsidR="001F3844" w:rsidRPr="0084544D">
        <w:rPr>
          <w:rFonts w:ascii="Times New Roman" w:hAnsi="Times New Roman" w:cs="Times New Roman"/>
          <w:sz w:val="24"/>
          <w:szCs w:val="24"/>
        </w:rPr>
        <w:tab/>
      </w:r>
    </w:p>
    <w:p w14:paraId="62C0138D" w14:textId="77777777" w:rsidR="001F3844" w:rsidRPr="0084544D" w:rsidRDefault="00B14406" w:rsidP="00D51F1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44D">
        <w:rPr>
          <w:rFonts w:ascii="Times New Roman" w:hAnsi="Times New Roman" w:cs="Times New Roman"/>
          <w:sz w:val="24"/>
          <w:szCs w:val="24"/>
        </w:rPr>
        <w:t xml:space="preserve">Възлагането ще </w:t>
      </w:r>
      <w:r w:rsidR="0080062B" w:rsidRPr="0084544D">
        <w:rPr>
          <w:rFonts w:ascii="Times New Roman" w:hAnsi="Times New Roman" w:cs="Times New Roman"/>
          <w:sz w:val="24"/>
          <w:szCs w:val="24"/>
        </w:rPr>
        <w:t xml:space="preserve">се извърши след провеждането </w:t>
      </w:r>
      <w:r w:rsidRPr="0084544D">
        <w:rPr>
          <w:rFonts w:ascii="Times New Roman" w:hAnsi="Times New Roman" w:cs="Times New Roman"/>
          <w:sz w:val="24"/>
          <w:szCs w:val="24"/>
        </w:rPr>
        <w:t xml:space="preserve">на конкурентна тръжна процедура, открита за всички превозвачи, справедлива и съответна на принципите на прозрачност и недопускане на дискриминация. </w:t>
      </w:r>
    </w:p>
    <w:p w14:paraId="7DBAE0C9" w14:textId="77777777" w:rsidR="00615B60" w:rsidRPr="00552FEB" w:rsidRDefault="00615B60" w:rsidP="008C240F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84544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Възлагането на </w:t>
      </w:r>
      <w:r w:rsidR="00A61B4E" w:rsidRPr="00C70F1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задължение за обществени </w:t>
      </w:r>
      <w:r w:rsidR="00C70F1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превозни </w:t>
      </w:r>
      <w:r w:rsidR="00A61B4E" w:rsidRPr="00C70F16">
        <w:rPr>
          <w:rFonts w:ascii="Times New Roman" w:hAnsi="Times New Roman" w:cs="Times New Roman"/>
          <w:kern w:val="0"/>
          <w:sz w:val="24"/>
          <w:szCs w:val="24"/>
          <w14:ligatures w14:val="none"/>
        </w:rPr>
        <w:t>услуги (З</w:t>
      </w:r>
      <w:r w:rsidRPr="00C70F16">
        <w:rPr>
          <w:rFonts w:ascii="Times New Roman" w:hAnsi="Times New Roman" w:cs="Times New Roman"/>
          <w:kern w:val="0"/>
          <w:sz w:val="24"/>
          <w:szCs w:val="24"/>
          <w14:ligatures w14:val="none"/>
        </w:rPr>
        <w:t>О</w:t>
      </w:r>
      <w:r w:rsidRPr="0084544D">
        <w:rPr>
          <w:rFonts w:ascii="Times New Roman" w:hAnsi="Times New Roman" w:cs="Times New Roman"/>
          <w:kern w:val="0"/>
          <w:sz w:val="24"/>
          <w:szCs w:val="24"/>
          <w14:ligatures w14:val="none"/>
        </w:rPr>
        <w:t>У</w:t>
      </w:r>
      <w:r w:rsidR="00A61B4E">
        <w:rPr>
          <w:rFonts w:ascii="Times New Roman" w:hAnsi="Times New Roman" w:cs="Times New Roman"/>
          <w:kern w:val="0"/>
          <w:sz w:val="24"/>
          <w:szCs w:val="24"/>
          <w14:ligatures w14:val="none"/>
        </w:rPr>
        <w:t>)</w:t>
      </w:r>
      <w:r w:rsidRPr="0084544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70F1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с железопътен транспорт </w:t>
      </w:r>
      <w:r w:rsidRPr="0084544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на обособени позиции е мярка, която ще се приложи за първи път от българската </w:t>
      </w:r>
      <w:r w:rsidR="00530DE8">
        <w:rPr>
          <w:rFonts w:ascii="Times New Roman" w:hAnsi="Times New Roman" w:cs="Times New Roman"/>
          <w:kern w:val="0"/>
          <w:sz w:val="24"/>
          <w:szCs w:val="24"/>
          <w14:ligatures w14:val="none"/>
        </w:rPr>
        <w:t>държава</w:t>
      </w:r>
      <w:r w:rsidR="00C70F16">
        <w:rPr>
          <w:rFonts w:ascii="Times New Roman" w:hAnsi="Times New Roman" w:cs="Times New Roman"/>
          <w:kern w:val="0"/>
          <w:sz w:val="24"/>
          <w:szCs w:val="24"/>
          <w14:ligatures w14:val="none"/>
        </w:rPr>
        <w:t>,</w:t>
      </w:r>
      <w:r w:rsidRPr="0084544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и представлява значително предизвикателство</w:t>
      </w:r>
      <w:r w:rsidR="00552FEB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054E73B0" w14:textId="77777777" w:rsidR="00F45AD3" w:rsidRDefault="00615B60" w:rsidP="00F45AD3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44D">
        <w:rPr>
          <w:rFonts w:ascii="Times New Roman" w:hAnsi="Times New Roman" w:cs="Times New Roman"/>
          <w:kern w:val="0"/>
          <w:sz w:val="24"/>
          <w:szCs w:val="24"/>
          <w14:ligatures w14:val="none"/>
        </w:rPr>
        <w:t>Министерството на транспорта и съобщенията</w:t>
      </w:r>
      <w:r w:rsidR="002A6D2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планира да п</w:t>
      </w:r>
      <w:r w:rsidR="00F45AD3">
        <w:rPr>
          <w:rFonts w:ascii="Times New Roman" w:hAnsi="Times New Roman" w:cs="Times New Roman"/>
          <w:kern w:val="0"/>
          <w:sz w:val="24"/>
          <w:szCs w:val="24"/>
          <w14:ligatures w14:val="none"/>
        </w:rPr>
        <w:t>родължи активната комуникация</w:t>
      </w:r>
      <w:r w:rsidRPr="0084544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с</w:t>
      </w:r>
      <w:r w:rsidR="00730692" w:rsidRPr="0084544D">
        <w:rPr>
          <w:rFonts w:ascii="Times New Roman" w:hAnsi="Times New Roman" w:cs="Times New Roman"/>
          <w:kern w:val="0"/>
          <w:sz w:val="24"/>
          <w:szCs w:val="24"/>
          <w14:ligatures w14:val="none"/>
        </w:rPr>
        <w:t>ъс</w:t>
      </w:r>
      <w:r w:rsidRPr="0084544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заинтересовани</w:t>
      </w:r>
      <w:r w:rsidR="002A6D2F">
        <w:rPr>
          <w:rFonts w:ascii="Times New Roman" w:hAnsi="Times New Roman" w:cs="Times New Roman"/>
          <w:kern w:val="0"/>
          <w:sz w:val="24"/>
          <w:szCs w:val="24"/>
          <w14:ligatures w14:val="none"/>
        </w:rPr>
        <w:t>те</w:t>
      </w:r>
      <w:r w:rsidRPr="0084544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страни</w:t>
      </w:r>
      <w:r w:rsidR="00530DE8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включително синдикалните организации</w:t>
      </w:r>
      <w:r w:rsidRPr="0084544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за обсъждане на условията на предстоящата обществена поръчка</w:t>
      </w:r>
      <w:r w:rsidR="00D51F17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  <w:r w:rsidRPr="008454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B8D35F" w14:textId="77777777" w:rsidR="007F2D9D" w:rsidRPr="00F45AD3" w:rsidRDefault="00F45AD3" w:rsidP="00F45AD3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5AD3">
        <w:rPr>
          <w:rFonts w:ascii="Times New Roman" w:hAnsi="Times New Roman" w:cs="Times New Roman"/>
          <w:b/>
          <w:sz w:val="24"/>
          <w:szCs w:val="24"/>
          <w:u w:val="single"/>
        </w:rPr>
        <w:t xml:space="preserve">2. </w:t>
      </w:r>
      <w:r w:rsidR="001E4A8F" w:rsidRPr="00F45AD3">
        <w:rPr>
          <w:rFonts w:ascii="Times New Roman" w:hAnsi="Times New Roman" w:cs="Times New Roman"/>
          <w:b/>
          <w:sz w:val="24"/>
          <w:szCs w:val="24"/>
          <w:u w:val="single"/>
        </w:rPr>
        <w:t>Продължителност на договорите</w:t>
      </w:r>
      <w:r w:rsidR="000242AD" w:rsidRPr="00F45AD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C42E3" w:rsidRPr="00F45AD3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="008C42E3" w:rsidRPr="00F45A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062B" w:rsidRPr="00F45AD3">
        <w:rPr>
          <w:rFonts w:ascii="Times New Roman" w:hAnsi="Times New Roman" w:cs="Times New Roman"/>
          <w:sz w:val="24"/>
          <w:szCs w:val="24"/>
        </w:rPr>
        <w:t xml:space="preserve">планираната продължителност на договорите е </w:t>
      </w:r>
      <w:r w:rsidR="00125090" w:rsidRPr="00F45AD3">
        <w:rPr>
          <w:rFonts w:ascii="Times New Roman" w:hAnsi="Times New Roman" w:cs="Times New Roman"/>
          <w:sz w:val="24"/>
          <w:szCs w:val="24"/>
        </w:rPr>
        <w:t>1</w:t>
      </w:r>
      <w:r w:rsidR="00530DE8" w:rsidRPr="00F45AD3">
        <w:rPr>
          <w:rFonts w:ascii="Times New Roman" w:hAnsi="Times New Roman" w:cs="Times New Roman"/>
          <w:sz w:val="24"/>
          <w:szCs w:val="24"/>
        </w:rPr>
        <w:t>2</w:t>
      </w:r>
      <w:r w:rsidR="008C42E3" w:rsidRPr="00F45AD3">
        <w:rPr>
          <w:rFonts w:ascii="Times New Roman" w:hAnsi="Times New Roman" w:cs="Times New Roman"/>
          <w:sz w:val="24"/>
          <w:szCs w:val="24"/>
        </w:rPr>
        <w:t xml:space="preserve"> </w:t>
      </w:r>
      <w:r w:rsidR="00530DE8" w:rsidRPr="00F45AD3">
        <w:rPr>
          <w:rFonts w:ascii="Times New Roman" w:hAnsi="Times New Roman" w:cs="Times New Roman"/>
          <w:sz w:val="24"/>
          <w:szCs w:val="24"/>
        </w:rPr>
        <w:t xml:space="preserve">(дванадесет) </w:t>
      </w:r>
      <w:r w:rsidR="008C42E3" w:rsidRPr="00F45AD3">
        <w:rPr>
          <w:rFonts w:ascii="Times New Roman" w:hAnsi="Times New Roman" w:cs="Times New Roman"/>
          <w:sz w:val="24"/>
          <w:szCs w:val="24"/>
        </w:rPr>
        <w:t>години</w:t>
      </w:r>
      <w:r w:rsidR="00BF2000" w:rsidRPr="00F45AD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като</w:t>
      </w:r>
      <w:r w:rsidR="00530DE8" w:rsidRPr="00F45AD3">
        <w:rPr>
          <w:rFonts w:ascii="Times New Roman" w:hAnsi="Times New Roman" w:cs="Times New Roman"/>
          <w:sz w:val="24"/>
          <w:szCs w:val="24"/>
        </w:rPr>
        <w:t xml:space="preserve"> </w:t>
      </w:r>
      <w:r w:rsidR="002A6D2F" w:rsidRPr="00F45AD3">
        <w:rPr>
          <w:rFonts w:ascii="Times New Roman" w:hAnsi="Times New Roman" w:cs="Times New Roman"/>
          <w:sz w:val="24"/>
          <w:szCs w:val="24"/>
        </w:rPr>
        <w:t>Е</w:t>
      </w:r>
      <w:r w:rsidR="00530DE8" w:rsidRPr="00F45AD3">
        <w:rPr>
          <w:rFonts w:ascii="Times New Roman" w:hAnsi="Times New Roman" w:cs="Times New Roman"/>
          <w:sz w:val="24"/>
          <w:szCs w:val="24"/>
        </w:rPr>
        <w:t>фективна</w:t>
      </w:r>
      <w:r>
        <w:rPr>
          <w:rFonts w:ascii="Times New Roman" w:hAnsi="Times New Roman" w:cs="Times New Roman"/>
          <w:sz w:val="24"/>
          <w:szCs w:val="24"/>
        </w:rPr>
        <w:t>та</w:t>
      </w:r>
      <w:r w:rsidR="00530DE8" w:rsidRPr="00F45AD3">
        <w:rPr>
          <w:rFonts w:ascii="Times New Roman" w:hAnsi="Times New Roman" w:cs="Times New Roman"/>
          <w:sz w:val="24"/>
          <w:szCs w:val="24"/>
        </w:rPr>
        <w:t xml:space="preserve"> (</w:t>
      </w:r>
      <w:r w:rsidR="002A6D2F" w:rsidRPr="00F45AD3">
        <w:rPr>
          <w:rFonts w:ascii="Times New Roman" w:hAnsi="Times New Roman" w:cs="Times New Roman"/>
          <w:sz w:val="24"/>
          <w:szCs w:val="24"/>
        </w:rPr>
        <w:t>Н</w:t>
      </w:r>
      <w:r w:rsidR="00530DE8" w:rsidRPr="00F45AD3">
        <w:rPr>
          <w:rFonts w:ascii="Times New Roman" w:hAnsi="Times New Roman" w:cs="Times New Roman"/>
          <w:sz w:val="24"/>
          <w:szCs w:val="24"/>
        </w:rPr>
        <w:t>ачална</w:t>
      </w:r>
      <w:r>
        <w:rPr>
          <w:rFonts w:ascii="Times New Roman" w:hAnsi="Times New Roman" w:cs="Times New Roman"/>
          <w:sz w:val="24"/>
          <w:szCs w:val="24"/>
        </w:rPr>
        <w:t>та</w:t>
      </w:r>
      <w:r w:rsidR="00530DE8" w:rsidRPr="00F45AD3">
        <w:rPr>
          <w:rFonts w:ascii="Times New Roman" w:hAnsi="Times New Roman" w:cs="Times New Roman"/>
          <w:sz w:val="24"/>
          <w:szCs w:val="24"/>
        </w:rPr>
        <w:t xml:space="preserve">) дата на изпълнение на </w:t>
      </w:r>
      <w:r w:rsidR="002A6D2F" w:rsidRPr="00F45AD3">
        <w:rPr>
          <w:rFonts w:ascii="Times New Roman" w:hAnsi="Times New Roman" w:cs="Times New Roman"/>
          <w:sz w:val="24"/>
          <w:szCs w:val="24"/>
        </w:rPr>
        <w:t>всеки от договорите</w:t>
      </w:r>
      <w:r w:rsidR="00530DE8" w:rsidRPr="00F45AD3">
        <w:rPr>
          <w:rFonts w:ascii="Times New Roman" w:hAnsi="Times New Roman" w:cs="Times New Roman"/>
          <w:sz w:val="24"/>
          <w:szCs w:val="24"/>
        </w:rPr>
        <w:t xml:space="preserve"> е </w:t>
      </w:r>
      <w:r w:rsidR="00BF2000" w:rsidRPr="00F45AD3">
        <w:rPr>
          <w:rFonts w:ascii="Times New Roman" w:hAnsi="Times New Roman" w:cs="Times New Roman"/>
          <w:sz w:val="24"/>
          <w:szCs w:val="24"/>
        </w:rPr>
        <w:t>1</w:t>
      </w:r>
      <w:r w:rsidR="00D51F17" w:rsidRPr="00F45AD3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80062B" w:rsidRPr="00F45AD3">
        <w:rPr>
          <w:rFonts w:ascii="Times New Roman" w:hAnsi="Times New Roman" w:cs="Times New Roman"/>
          <w:sz w:val="24"/>
          <w:szCs w:val="24"/>
        </w:rPr>
        <w:t xml:space="preserve"> </w:t>
      </w:r>
      <w:r w:rsidR="001455EE" w:rsidRPr="00F45AD3">
        <w:rPr>
          <w:rFonts w:ascii="Times New Roman" w:hAnsi="Times New Roman" w:cs="Times New Roman"/>
          <w:sz w:val="24"/>
          <w:szCs w:val="24"/>
        </w:rPr>
        <w:t>декември</w:t>
      </w:r>
      <w:r w:rsidR="00865BF6" w:rsidRPr="00F45A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2000" w:rsidRPr="00F45AD3">
        <w:rPr>
          <w:rFonts w:ascii="Times New Roman" w:hAnsi="Times New Roman" w:cs="Times New Roman"/>
          <w:sz w:val="24"/>
          <w:szCs w:val="24"/>
        </w:rPr>
        <w:t>2026 г.</w:t>
      </w:r>
    </w:p>
    <w:p w14:paraId="2691B257" w14:textId="77777777" w:rsidR="008C42E3" w:rsidRPr="0084544D" w:rsidRDefault="008C42E3" w:rsidP="008C240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44D">
        <w:rPr>
          <w:rFonts w:ascii="Times New Roman" w:hAnsi="Times New Roman" w:cs="Times New Roman"/>
          <w:sz w:val="24"/>
          <w:szCs w:val="24"/>
        </w:rPr>
        <w:t xml:space="preserve">Избраната продължителност на договорите </w:t>
      </w:r>
      <w:r w:rsidR="00B95591" w:rsidRPr="0084544D">
        <w:rPr>
          <w:rFonts w:ascii="Times New Roman" w:hAnsi="Times New Roman" w:cs="Times New Roman"/>
          <w:sz w:val="24"/>
          <w:szCs w:val="24"/>
        </w:rPr>
        <w:t>е съобразена с</w:t>
      </w:r>
      <w:r w:rsidRPr="0084544D">
        <w:rPr>
          <w:rFonts w:ascii="Times New Roman" w:hAnsi="Times New Roman" w:cs="Times New Roman"/>
          <w:sz w:val="24"/>
          <w:szCs w:val="24"/>
        </w:rPr>
        <w:t xml:space="preserve"> ч</w:t>
      </w:r>
      <w:r w:rsidR="0033418F" w:rsidRPr="0084544D">
        <w:rPr>
          <w:rFonts w:ascii="Times New Roman" w:hAnsi="Times New Roman" w:cs="Times New Roman"/>
          <w:sz w:val="24"/>
          <w:szCs w:val="24"/>
        </w:rPr>
        <w:t>лен 4, параграф 3</w:t>
      </w:r>
      <w:r w:rsidRPr="0084544D">
        <w:rPr>
          <w:rFonts w:ascii="Times New Roman" w:hAnsi="Times New Roman" w:cs="Times New Roman"/>
          <w:sz w:val="24"/>
          <w:szCs w:val="24"/>
        </w:rPr>
        <w:t xml:space="preserve"> от Реглам</w:t>
      </w:r>
      <w:r w:rsidR="00F45AD3">
        <w:rPr>
          <w:rFonts w:ascii="Times New Roman" w:hAnsi="Times New Roman" w:cs="Times New Roman"/>
          <w:sz w:val="24"/>
          <w:szCs w:val="24"/>
        </w:rPr>
        <w:t>ент (ЕО) № 1370/2007, както и</w:t>
      </w:r>
      <w:r w:rsidRPr="0084544D">
        <w:rPr>
          <w:rFonts w:ascii="Times New Roman" w:hAnsi="Times New Roman" w:cs="Times New Roman"/>
          <w:sz w:val="24"/>
          <w:szCs w:val="24"/>
        </w:rPr>
        <w:t xml:space="preserve"> чл. 54, ал. 2 от Закона за железопътния транспорт</w:t>
      </w:r>
      <w:r w:rsidR="00E601DE" w:rsidRPr="0084544D">
        <w:rPr>
          <w:rFonts w:ascii="Times New Roman" w:hAnsi="Times New Roman" w:cs="Times New Roman"/>
          <w:sz w:val="24"/>
          <w:szCs w:val="24"/>
        </w:rPr>
        <w:t>, като е в рамките на ограничението от 15 години за пътническите превози с железопътен транспорт</w:t>
      </w:r>
      <w:r w:rsidRPr="0084544D">
        <w:rPr>
          <w:rFonts w:ascii="Times New Roman" w:hAnsi="Times New Roman" w:cs="Times New Roman"/>
          <w:sz w:val="24"/>
          <w:szCs w:val="24"/>
        </w:rPr>
        <w:t xml:space="preserve">. Избран е балансиран подход, при който продължителността </w:t>
      </w:r>
      <w:r w:rsidR="00E601DE" w:rsidRPr="0084544D">
        <w:rPr>
          <w:rFonts w:ascii="Times New Roman" w:hAnsi="Times New Roman" w:cs="Times New Roman"/>
          <w:sz w:val="24"/>
          <w:szCs w:val="24"/>
        </w:rPr>
        <w:t xml:space="preserve">от </w:t>
      </w:r>
      <w:r w:rsidR="00125090" w:rsidRPr="0084544D">
        <w:rPr>
          <w:rFonts w:ascii="Times New Roman" w:hAnsi="Times New Roman" w:cs="Times New Roman"/>
          <w:sz w:val="24"/>
          <w:szCs w:val="24"/>
        </w:rPr>
        <w:t>1</w:t>
      </w:r>
      <w:r w:rsidR="00530DE8">
        <w:rPr>
          <w:rFonts w:ascii="Times New Roman" w:hAnsi="Times New Roman" w:cs="Times New Roman"/>
          <w:sz w:val="24"/>
          <w:szCs w:val="24"/>
        </w:rPr>
        <w:t>2</w:t>
      </w:r>
      <w:r w:rsidR="00125090" w:rsidRPr="0084544D">
        <w:rPr>
          <w:rFonts w:ascii="Times New Roman" w:hAnsi="Times New Roman" w:cs="Times New Roman"/>
          <w:sz w:val="24"/>
          <w:szCs w:val="24"/>
        </w:rPr>
        <w:t xml:space="preserve"> </w:t>
      </w:r>
      <w:r w:rsidR="00E601DE" w:rsidRPr="0084544D">
        <w:rPr>
          <w:rFonts w:ascii="Times New Roman" w:hAnsi="Times New Roman" w:cs="Times New Roman"/>
          <w:sz w:val="24"/>
          <w:szCs w:val="24"/>
        </w:rPr>
        <w:t xml:space="preserve">години </w:t>
      </w:r>
      <w:r w:rsidR="00F45AD3">
        <w:rPr>
          <w:rFonts w:ascii="Times New Roman" w:hAnsi="Times New Roman" w:cs="Times New Roman"/>
          <w:sz w:val="24"/>
          <w:szCs w:val="24"/>
        </w:rPr>
        <w:t>е достатъчна</w:t>
      </w:r>
      <w:r w:rsidR="00E601DE" w:rsidRPr="0084544D">
        <w:rPr>
          <w:rFonts w:ascii="Times New Roman" w:hAnsi="Times New Roman" w:cs="Times New Roman"/>
          <w:sz w:val="24"/>
          <w:szCs w:val="24"/>
        </w:rPr>
        <w:t>,</w:t>
      </w:r>
      <w:r w:rsidR="00F45AD3">
        <w:rPr>
          <w:rFonts w:ascii="Times New Roman" w:hAnsi="Times New Roman" w:cs="Times New Roman"/>
          <w:sz w:val="24"/>
          <w:szCs w:val="24"/>
        </w:rPr>
        <w:t xml:space="preserve"> за да се обезпечи</w:t>
      </w:r>
      <w:r w:rsidRPr="0084544D">
        <w:rPr>
          <w:rFonts w:ascii="Times New Roman" w:hAnsi="Times New Roman" w:cs="Times New Roman"/>
          <w:sz w:val="24"/>
          <w:szCs w:val="24"/>
        </w:rPr>
        <w:t xml:space="preserve"> финансова и оперативна сиг</w:t>
      </w:r>
      <w:r w:rsidR="00F45AD3">
        <w:rPr>
          <w:rFonts w:ascii="Times New Roman" w:hAnsi="Times New Roman" w:cs="Times New Roman"/>
          <w:sz w:val="24"/>
          <w:szCs w:val="24"/>
        </w:rPr>
        <w:t xml:space="preserve">урност на </w:t>
      </w:r>
      <w:r w:rsidR="000857A7">
        <w:rPr>
          <w:rFonts w:ascii="Times New Roman" w:hAnsi="Times New Roman" w:cs="Times New Roman"/>
          <w:sz w:val="24"/>
          <w:szCs w:val="24"/>
        </w:rPr>
        <w:t>И</w:t>
      </w:r>
      <w:r w:rsidR="00F45AD3">
        <w:rPr>
          <w:rFonts w:ascii="Times New Roman" w:hAnsi="Times New Roman" w:cs="Times New Roman"/>
          <w:sz w:val="24"/>
          <w:szCs w:val="24"/>
        </w:rPr>
        <w:t>зпълнителите. Н</w:t>
      </w:r>
      <w:r w:rsidRPr="0084544D">
        <w:rPr>
          <w:rFonts w:ascii="Times New Roman" w:hAnsi="Times New Roman" w:cs="Times New Roman"/>
          <w:sz w:val="24"/>
          <w:szCs w:val="24"/>
        </w:rPr>
        <w:t>е</w:t>
      </w:r>
      <w:r w:rsidR="00F45AD3">
        <w:rPr>
          <w:rFonts w:ascii="Times New Roman" w:hAnsi="Times New Roman" w:cs="Times New Roman"/>
          <w:sz w:val="24"/>
          <w:szCs w:val="24"/>
        </w:rPr>
        <w:t xml:space="preserve"> се предвижда възлагане </w:t>
      </w:r>
      <w:r w:rsidR="00F45AD3">
        <w:rPr>
          <w:rFonts w:ascii="Times New Roman" w:hAnsi="Times New Roman" w:cs="Times New Roman"/>
          <w:sz w:val="24"/>
          <w:szCs w:val="24"/>
        </w:rPr>
        <w:lastRenderedPageBreak/>
        <w:t>за</w:t>
      </w:r>
      <w:r w:rsidRPr="0084544D">
        <w:rPr>
          <w:rFonts w:ascii="Times New Roman" w:hAnsi="Times New Roman" w:cs="Times New Roman"/>
          <w:sz w:val="24"/>
          <w:szCs w:val="24"/>
        </w:rPr>
        <w:t xml:space="preserve"> </w:t>
      </w:r>
      <w:r w:rsidR="002A6D2F">
        <w:rPr>
          <w:rFonts w:ascii="Times New Roman" w:hAnsi="Times New Roman" w:cs="Times New Roman"/>
          <w:sz w:val="24"/>
          <w:szCs w:val="24"/>
        </w:rPr>
        <w:t>максимално допустимия срок</w:t>
      </w:r>
      <w:r w:rsidRPr="0084544D">
        <w:rPr>
          <w:rFonts w:ascii="Times New Roman" w:hAnsi="Times New Roman" w:cs="Times New Roman"/>
          <w:sz w:val="24"/>
          <w:szCs w:val="24"/>
        </w:rPr>
        <w:t xml:space="preserve">, за да се стимулира конкуренцията и да се позволи бъдещото навлизане на нови участници </w:t>
      </w:r>
      <w:r w:rsidR="00C4405C" w:rsidRPr="0084544D">
        <w:rPr>
          <w:rFonts w:ascii="Times New Roman" w:hAnsi="Times New Roman" w:cs="Times New Roman"/>
          <w:sz w:val="24"/>
          <w:szCs w:val="24"/>
        </w:rPr>
        <w:t>на</w:t>
      </w:r>
      <w:r w:rsidRPr="0084544D">
        <w:rPr>
          <w:rFonts w:ascii="Times New Roman" w:hAnsi="Times New Roman" w:cs="Times New Roman"/>
          <w:sz w:val="24"/>
          <w:szCs w:val="24"/>
        </w:rPr>
        <w:t xml:space="preserve"> пазара на пътнически железопътни услуги.</w:t>
      </w:r>
      <w:r w:rsidR="002A6D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736A61" w14:textId="77777777" w:rsidR="00115B1E" w:rsidRPr="0084544D" w:rsidRDefault="00B4171F" w:rsidP="008C240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44D">
        <w:rPr>
          <w:rFonts w:ascii="Times New Roman" w:hAnsi="Times New Roman" w:cs="Times New Roman"/>
          <w:sz w:val="24"/>
          <w:szCs w:val="24"/>
        </w:rPr>
        <w:t xml:space="preserve">Ефективната дата </w:t>
      </w:r>
      <w:r w:rsidR="00F45AD3">
        <w:rPr>
          <w:rFonts w:ascii="Times New Roman" w:hAnsi="Times New Roman" w:cs="Times New Roman"/>
          <w:sz w:val="24"/>
          <w:szCs w:val="24"/>
        </w:rPr>
        <w:t xml:space="preserve">(13 декември 2026 г.) </w:t>
      </w:r>
      <w:r w:rsidR="00115B1E" w:rsidRPr="0084544D">
        <w:rPr>
          <w:rFonts w:ascii="Times New Roman" w:hAnsi="Times New Roman" w:cs="Times New Roman"/>
          <w:sz w:val="24"/>
          <w:szCs w:val="24"/>
        </w:rPr>
        <w:t>ще бъде предшестван</w:t>
      </w:r>
      <w:r w:rsidR="00057213" w:rsidRPr="0084544D">
        <w:rPr>
          <w:rFonts w:ascii="Times New Roman" w:hAnsi="Times New Roman" w:cs="Times New Roman"/>
          <w:sz w:val="24"/>
          <w:szCs w:val="24"/>
        </w:rPr>
        <w:t>а</w:t>
      </w:r>
      <w:r w:rsidR="00115B1E" w:rsidRPr="0084544D">
        <w:rPr>
          <w:rFonts w:ascii="Times New Roman" w:hAnsi="Times New Roman" w:cs="Times New Roman"/>
          <w:sz w:val="24"/>
          <w:szCs w:val="24"/>
        </w:rPr>
        <w:t xml:space="preserve"> от период на мобилизация, по време на който </w:t>
      </w:r>
      <w:r w:rsidR="0080062B" w:rsidRPr="0084544D">
        <w:rPr>
          <w:rFonts w:ascii="Times New Roman" w:hAnsi="Times New Roman" w:cs="Times New Roman"/>
          <w:sz w:val="24"/>
          <w:szCs w:val="24"/>
        </w:rPr>
        <w:t xml:space="preserve">съответният </w:t>
      </w:r>
      <w:r w:rsidR="000857A7">
        <w:rPr>
          <w:rFonts w:ascii="Times New Roman" w:hAnsi="Times New Roman" w:cs="Times New Roman"/>
          <w:sz w:val="24"/>
          <w:szCs w:val="24"/>
        </w:rPr>
        <w:t>И</w:t>
      </w:r>
      <w:r w:rsidR="00115B1E" w:rsidRPr="0084544D">
        <w:rPr>
          <w:rFonts w:ascii="Times New Roman" w:hAnsi="Times New Roman" w:cs="Times New Roman"/>
          <w:sz w:val="24"/>
          <w:szCs w:val="24"/>
        </w:rPr>
        <w:t xml:space="preserve">зпълнител следва </w:t>
      </w:r>
      <w:r w:rsidR="004473E4" w:rsidRPr="0084544D">
        <w:rPr>
          <w:rFonts w:ascii="Times New Roman" w:hAnsi="Times New Roman" w:cs="Times New Roman"/>
          <w:sz w:val="24"/>
          <w:szCs w:val="24"/>
        </w:rPr>
        <w:t xml:space="preserve">да </w:t>
      </w:r>
      <w:r w:rsidR="00115B1E" w:rsidRPr="0084544D">
        <w:rPr>
          <w:rFonts w:ascii="Times New Roman" w:hAnsi="Times New Roman" w:cs="Times New Roman"/>
          <w:sz w:val="24"/>
          <w:szCs w:val="24"/>
        </w:rPr>
        <w:t xml:space="preserve">се подготви за започване на </w:t>
      </w:r>
      <w:r w:rsidR="004473E4" w:rsidRPr="0084544D">
        <w:rPr>
          <w:rFonts w:ascii="Times New Roman" w:hAnsi="Times New Roman" w:cs="Times New Roman"/>
          <w:sz w:val="24"/>
          <w:szCs w:val="24"/>
        </w:rPr>
        <w:t>обществената превозна услуга</w:t>
      </w:r>
      <w:r w:rsidR="00115B1E" w:rsidRPr="0084544D">
        <w:rPr>
          <w:rFonts w:ascii="Times New Roman" w:hAnsi="Times New Roman" w:cs="Times New Roman"/>
          <w:sz w:val="24"/>
          <w:szCs w:val="24"/>
        </w:rPr>
        <w:t xml:space="preserve">. </w:t>
      </w:r>
      <w:r w:rsidR="004473E4" w:rsidRPr="0084544D">
        <w:rPr>
          <w:rFonts w:ascii="Times New Roman" w:hAnsi="Times New Roman" w:cs="Times New Roman"/>
          <w:sz w:val="24"/>
          <w:szCs w:val="24"/>
        </w:rPr>
        <w:t>Периодът на мобилизация е в</w:t>
      </w:r>
      <w:r w:rsidR="00115B1E" w:rsidRPr="0084544D">
        <w:rPr>
          <w:rFonts w:ascii="Times New Roman" w:hAnsi="Times New Roman" w:cs="Times New Roman"/>
          <w:sz w:val="24"/>
          <w:szCs w:val="24"/>
        </w:rPr>
        <w:t>ремето</w:t>
      </w:r>
      <w:r w:rsidR="004473E4" w:rsidRPr="0084544D">
        <w:rPr>
          <w:rFonts w:ascii="Times New Roman" w:hAnsi="Times New Roman" w:cs="Times New Roman"/>
          <w:sz w:val="24"/>
          <w:szCs w:val="24"/>
        </w:rPr>
        <w:t xml:space="preserve"> </w:t>
      </w:r>
      <w:r w:rsidR="00115B1E" w:rsidRPr="0084544D">
        <w:rPr>
          <w:rFonts w:ascii="Times New Roman" w:hAnsi="Times New Roman" w:cs="Times New Roman"/>
          <w:sz w:val="24"/>
          <w:szCs w:val="24"/>
        </w:rPr>
        <w:t>от подписването на договора по съответната позиция до 1</w:t>
      </w:r>
      <w:r w:rsidR="009D03C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530DE8">
        <w:rPr>
          <w:rFonts w:ascii="Times New Roman" w:hAnsi="Times New Roman" w:cs="Times New Roman"/>
          <w:sz w:val="24"/>
          <w:szCs w:val="24"/>
        </w:rPr>
        <w:t xml:space="preserve"> декември </w:t>
      </w:r>
      <w:r w:rsidR="00115B1E" w:rsidRPr="0084544D">
        <w:rPr>
          <w:rFonts w:ascii="Times New Roman" w:hAnsi="Times New Roman" w:cs="Times New Roman"/>
          <w:sz w:val="24"/>
          <w:szCs w:val="24"/>
        </w:rPr>
        <w:t>2026 г. Периодът на мобилизация н</w:t>
      </w:r>
      <w:r w:rsidR="002A6D2F">
        <w:rPr>
          <w:rFonts w:ascii="Times New Roman" w:hAnsi="Times New Roman" w:cs="Times New Roman"/>
          <w:sz w:val="24"/>
          <w:szCs w:val="24"/>
        </w:rPr>
        <w:t xml:space="preserve">яма </w:t>
      </w:r>
      <w:r w:rsidR="004473E4" w:rsidRPr="0084544D">
        <w:rPr>
          <w:rFonts w:ascii="Times New Roman" w:hAnsi="Times New Roman" w:cs="Times New Roman"/>
          <w:sz w:val="24"/>
          <w:szCs w:val="24"/>
        </w:rPr>
        <w:t>да бъд</w:t>
      </w:r>
      <w:r w:rsidR="00115B1E" w:rsidRPr="0084544D">
        <w:rPr>
          <w:rFonts w:ascii="Times New Roman" w:hAnsi="Times New Roman" w:cs="Times New Roman"/>
          <w:sz w:val="24"/>
          <w:szCs w:val="24"/>
        </w:rPr>
        <w:t xml:space="preserve">е включен в срока на договора. </w:t>
      </w:r>
      <w:r w:rsidR="00F97C70" w:rsidRPr="0084544D">
        <w:rPr>
          <w:rFonts w:ascii="Times New Roman" w:hAnsi="Times New Roman" w:cs="Times New Roman"/>
          <w:sz w:val="24"/>
          <w:szCs w:val="24"/>
        </w:rPr>
        <w:t xml:space="preserve">Периодът на мобилизация ще бъде </w:t>
      </w:r>
      <w:r w:rsidR="0096345C">
        <w:rPr>
          <w:rFonts w:ascii="Times New Roman" w:hAnsi="Times New Roman" w:cs="Times New Roman"/>
          <w:sz w:val="24"/>
          <w:szCs w:val="24"/>
        </w:rPr>
        <w:t>между 6 (шест) месеца и 1 (една) година</w:t>
      </w:r>
      <w:r w:rsidR="00F97C70" w:rsidRPr="0084544D">
        <w:rPr>
          <w:rFonts w:ascii="Times New Roman" w:hAnsi="Times New Roman" w:cs="Times New Roman"/>
          <w:sz w:val="24"/>
          <w:szCs w:val="24"/>
        </w:rPr>
        <w:t>, в зависимост от датата на сключване на договора.</w:t>
      </w:r>
    </w:p>
    <w:p w14:paraId="6CC4DC9C" w14:textId="77777777" w:rsidR="00F45AD3" w:rsidRDefault="004473E4" w:rsidP="00F45AD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44D">
        <w:rPr>
          <w:rFonts w:ascii="Times New Roman" w:hAnsi="Times New Roman" w:cs="Times New Roman"/>
          <w:sz w:val="24"/>
          <w:szCs w:val="24"/>
        </w:rPr>
        <w:t>Възложителят не планира</w:t>
      </w:r>
      <w:r w:rsidR="00115B1E" w:rsidRPr="0084544D">
        <w:rPr>
          <w:rFonts w:ascii="Times New Roman" w:hAnsi="Times New Roman" w:cs="Times New Roman"/>
          <w:sz w:val="24"/>
          <w:szCs w:val="24"/>
        </w:rPr>
        <w:t xml:space="preserve"> да</w:t>
      </w:r>
      <w:r w:rsidR="00B4171F" w:rsidRPr="0084544D">
        <w:rPr>
          <w:rFonts w:ascii="Times New Roman" w:hAnsi="Times New Roman" w:cs="Times New Roman"/>
          <w:sz w:val="24"/>
          <w:szCs w:val="24"/>
        </w:rPr>
        <w:t xml:space="preserve"> извършва авансови плащания към </w:t>
      </w:r>
      <w:r w:rsidR="00B4171F" w:rsidRPr="00C70F16">
        <w:rPr>
          <w:rFonts w:ascii="Times New Roman" w:hAnsi="Times New Roman" w:cs="Times New Roman"/>
          <w:sz w:val="24"/>
          <w:szCs w:val="24"/>
        </w:rPr>
        <w:t>Изпълнител</w:t>
      </w:r>
      <w:r w:rsidR="00A61B4E" w:rsidRPr="00C70F16">
        <w:rPr>
          <w:rFonts w:ascii="Times New Roman" w:hAnsi="Times New Roman" w:cs="Times New Roman"/>
          <w:sz w:val="24"/>
          <w:szCs w:val="24"/>
        </w:rPr>
        <w:t>ите</w:t>
      </w:r>
      <w:r w:rsidR="00115B1E" w:rsidRPr="00C70F16">
        <w:rPr>
          <w:rFonts w:ascii="Times New Roman" w:hAnsi="Times New Roman" w:cs="Times New Roman"/>
          <w:sz w:val="24"/>
          <w:szCs w:val="24"/>
        </w:rPr>
        <w:t xml:space="preserve"> п</w:t>
      </w:r>
      <w:r w:rsidR="00115B1E" w:rsidRPr="0084544D">
        <w:rPr>
          <w:rFonts w:ascii="Times New Roman" w:hAnsi="Times New Roman" w:cs="Times New Roman"/>
          <w:sz w:val="24"/>
          <w:szCs w:val="24"/>
        </w:rPr>
        <w:t>рез периода на мобилизация.</w:t>
      </w:r>
    </w:p>
    <w:p w14:paraId="5750308D" w14:textId="77777777" w:rsidR="00BD5844" w:rsidRPr="00F45AD3" w:rsidRDefault="00F45AD3" w:rsidP="00F45AD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AD3">
        <w:rPr>
          <w:rFonts w:ascii="Times New Roman" w:hAnsi="Times New Roman" w:cs="Times New Roman"/>
          <w:b/>
          <w:sz w:val="24"/>
          <w:szCs w:val="24"/>
          <w:u w:val="single"/>
        </w:rPr>
        <w:t xml:space="preserve">3. </w:t>
      </w:r>
      <w:r w:rsidR="00667333" w:rsidRPr="00F45AD3">
        <w:rPr>
          <w:rFonts w:ascii="Times New Roman" w:hAnsi="Times New Roman" w:cs="Times New Roman"/>
          <w:b/>
          <w:sz w:val="24"/>
          <w:szCs w:val="24"/>
          <w:u w:val="single"/>
        </w:rPr>
        <w:t>Изключителни права</w:t>
      </w:r>
      <w:r w:rsidR="008C42E3" w:rsidRPr="00F45AD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D21A4" w:rsidRPr="00F45AD3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="008C42E3" w:rsidRPr="00F45AD3">
        <w:rPr>
          <w:rFonts w:ascii="Times New Roman" w:hAnsi="Times New Roman" w:cs="Times New Roman"/>
          <w:sz w:val="24"/>
          <w:szCs w:val="24"/>
        </w:rPr>
        <w:t xml:space="preserve"> не се предвижда предоставяне на изключителни права </w:t>
      </w:r>
      <w:r w:rsidR="001E0101" w:rsidRPr="00F45AD3">
        <w:rPr>
          <w:rFonts w:ascii="Times New Roman" w:hAnsi="Times New Roman" w:cs="Times New Roman"/>
          <w:sz w:val="24"/>
          <w:szCs w:val="24"/>
        </w:rPr>
        <w:t>по обособените позиции.</w:t>
      </w:r>
    </w:p>
    <w:p w14:paraId="3A637002" w14:textId="77777777" w:rsidR="00F45AD3" w:rsidRDefault="00B4171F" w:rsidP="00F45AD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44D">
        <w:rPr>
          <w:rFonts w:ascii="Times New Roman" w:hAnsi="Times New Roman" w:cs="Times New Roman"/>
          <w:sz w:val="24"/>
          <w:szCs w:val="24"/>
        </w:rPr>
        <w:t>И</w:t>
      </w:r>
      <w:r w:rsidR="009C0F1C" w:rsidRPr="0084544D">
        <w:rPr>
          <w:rFonts w:ascii="Times New Roman" w:hAnsi="Times New Roman" w:cs="Times New Roman"/>
          <w:sz w:val="24"/>
          <w:szCs w:val="24"/>
        </w:rPr>
        <w:t>зключителното право</w:t>
      </w:r>
      <w:r w:rsidR="004473E4" w:rsidRPr="0084544D">
        <w:rPr>
          <w:rFonts w:ascii="Times New Roman" w:hAnsi="Times New Roman" w:cs="Times New Roman"/>
          <w:sz w:val="24"/>
          <w:szCs w:val="24"/>
        </w:rPr>
        <w:t xml:space="preserve">, както </w:t>
      </w:r>
      <w:r w:rsidR="009C0F1C" w:rsidRPr="0084544D">
        <w:rPr>
          <w:rFonts w:ascii="Times New Roman" w:hAnsi="Times New Roman" w:cs="Times New Roman"/>
          <w:sz w:val="24"/>
          <w:szCs w:val="24"/>
        </w:rPr>
        <w:t xml:space="preserve">е определено в член 2, буква </w:t>
      </w:r>
      <w:r w:rsidR="004D7B9A" w:rsidRPr="0084544D">
        <w:rPr>
          <w:rFonts w:ascii="Times New Roman" w:hAnsi="Times New Roman" w:cs="Times New Roman"/>
          <w:sz w:val="24"/>
          <w:szCs w:val="24"/>
        </w:rPr>
        <w:t>„е“</w:t>
      </w:r>
      <w:r w:rsidR="009C0F1C" w:rsidRPr="0084544D">
        <w:rPr>
          <w:rFonts w:ascii="Times New Roman" w:hAnsi="Times New Roman" w:cs="Times New Roman"/>
          <w:sz w:val="24"/>
          <w:szCs w:val="24"/>
        </w:rPr>
        <w:t xml:space="preserve"> от Регламент (ЕО) № 1370/2007</w:t>
      </w:r>
      <w:r w:rsidR="004473E4" w:rsidRPr="0084544D">
        <w:rPr>
          <w:rFonts w:ascii="Times New Roman" w:hAnsi="Times New Roman" w:cs="Times New Roman"/>
          <w:sz w:val="24"/>
          <w:szCs w:val="24"/>
        </w:rPr>
        <w:t>,</w:t>
      </w:r>
      <w:r w:rsidR="009C0F1C" w:rsidRPr="0084544D">
        <w:rPr>
          <w:rFonts w:ascii="Times New Roman" w:hAnsi="Times New Roman" w:cs="Times New Roman"/>
          <w:sz w:val="24"/>
          <w:szCs w:val="24"/>
        </w:rPr>
        <w:t xml:space="preserve"> упълномощава оператор на обществена услуга да извършва определени обществени услуги за пътнически превоз по конкретен маршрут или мрежа в рамките на определен район, като се изключва всеки друг такъв оператор</w:t>
      </w:r>
      <w:r w:rsidRPr="0084544D">
        <w:rPr>
          <w:rFonts w:ascii="Times New Roman" w:hAnsi="Times New Roman" w:cs="Times New Roman"/>
          <w:sz w:val="24"/>
          <w:szCs w:val="24"/>
        </w:rPr>
        <w:t xml:space="preserve">. </w:t>
      </w:r>
      <w:r w:rsidR="004473E4" w:rsidRPr="0084544D">
        <w:rPr>
          <w:rFonts w:ascii="Times New Roman" w:hAnsi="Times New Roman" w:cs="Times New Roman"/>
          <w:sz w:val="24"/>
          <w:szCs w:val="24"/>
        </w:rPr>
        <w:t>Възложителят не планира да</w:t>
      </w:r>
      <w:r w:rsidR="005363BB" w:rsidRPr="0084544D">
        <w:rPr>
          <w:rFonts w:ascii="Times New Roman" w:hAnsi="Times New Roman" w:cs="Times New Roman"/>
          <w:sz w:val="24"/>
          <w:szCs w:val="24"/>
        </w:rPr>
        <w:t xml:space="preserve"> го предвиди в условията на обществената поръчка, за да се</w:t>
      </w:r>
      <w:r w:rsidR="009C0F1C" w:rsidRPr="0084544D">
        <w:rPr>
          <w:rFonts w:ascii="Times New Roman" w:hAnsi="Times New Roman" w:cs="Times New Roman"/>
          <w:sz w:val="24"/>
          <w:szCs w:val="24"/>
        </w:rPr>
        <w:t xml:space="preserve"> сведе до минимум възможностт</w:t>
      </w:r>
      <w:r w:rsidR="005363BB" w:rsidRPr="0084544D">
        <w:rPr>
          <w:rFonts w:ascii="Times New Roman" w:hAnsi="Times New Roman" w:cs="Times New Roman"/>
          <w:sz w:val="24"/>
          <w:szCs w:val="24"/>
        </w:rPr>
        <w:t>а</w:t>
      </w:r>
      <w:r w:rsidR="009C0F1C" w:rsidRPr="0084544D">
        <w:rPr>
          <w:rFonts w:ascii="Times New Roman" w:hAnsi="Times New Roman" w:cs="Times New Roman"/>
          <w:sz w:val="24"/>
          <w:szCs w:val="24"/>
        </w:rPr>
        <w:t xml:space="preserve"> за нарушаване на конкуренцията.</w:t>
      </w:r>
    </w:p>
    <w:p w14:paraId="13CCCDF4" w14:textId="77777777" w:rsidR="009C0F1C" w:rsidRPr="00F45AD3" w:rsidRDefault="00F45AD3" w:rsidP="00F45AD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5AD3">
        <w:rPr>
          <w:rFonts w:ascii="Times New Roman" w:hAnsi="Times New Roman" w:cs="Times New Roman"/>
          <w:b/>
          <w:sz w:val="24"/>
          <w:szCs w:val="24"/>
          <w:u w:val="single"/>
        </w:rPr>
        <w:t xml:space="preserve">4. </w:t>
      </w:r>
      <w:r w:rsidR="00500139" w:rsidRPr="00F45AD3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="001E4A8F" w:rsidRPr="00F45AD3">
        <w:rPr>
          <w:rFonts w:ascii="Times New Roman" w:hAnsi="Times New Roman" w:cs="Times New Roman"/>
          <w:b/>
          <w:sz w:val="24"/>
          <w:szCs w:val="24"/>
          <w:u w:val="single"/>
        </w:rPr>
        <w:t>бем на поръчката</w:t>
      </w:r>
      <w:r w:rsidR="00C8489C">
        <w:rPr>
          <w:rFonts w:ascii="Times New Roman" w:hAnsi="Times New Roman" w:cs="Times New Roman"/>
          <w:b/>
          <w:sz w:val="24"/>
          <w:szCs w:val="24"/>
          <w:u w:val="single"/>
        </w:rPr>
        <w:t>; пазарни сегменти</w:t>
      </w:r>
    </w:p>
    <w:p w14:paraId="3305B939" w14:textId="77777777" w:rsidR="0033418F" w:rsidRPr="00F45AD3" w:rsidRDefault="00AB16F7" w:rsidP="008C240F">
      <w:pPr>
        <w:tabs>
          <w:tab w:val="left" w:pos="1134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44D">
        <w:rPr>
          <w:rFonts w:ascii="Times New Roman" w:hAnsi="Times New Roman" w:cs="Times New Roman"/>
          <w:sz w:val="24"/>
          <w:szCs w:val="24"/>
        </w:rPr>
        <w:t xml:space="preserve">Обемът на поръчката е определен на базата на графика за движение на влаковете за 2025 г. </w:t>
      </w:r>
      <w:r w:rsidR="004D7B9A" w:rsidRPr="0084544D">
        <w:rPr>
          <w:rFonts w:ascii="Times New Roman" w:hAnsi="Times New Roman" w:cs="Times New Roman"/>
          <w:sz w:val="24"/>
          <w:szCs w:val="24"/>
        </w:rPr>
        <w:t>При определяне обема на поръчката</w:t>
      </w:r>
      <w:r w:rsidR="002A6D2F">
        <w:rPr>
          <w:rFonts w:ascii="Times New Roman" w:hAnsi="Times New Roman" w:cs="Times New Roman"/>
          <w:sz w:val="24"/>
          <w:szCs w:val="24"/>
        </w:rPr>
        <w:t xml:space="preserve"> са</w:t>
      </w:r>
      <w:r w:rsidR="004D7B9A" w:rsidRPr="0084544D">
        <w:rPr>
          <w:rFonts w:ascii="Times New Roman" w:hAnsi="Times New Roman" w:cs="Times New Roman"/>
          <w:sz w:val="24"/>
          <w:szCs w:val="24"/>
        </w:rPr>
        <w:t xml:space="preserve"> взети под внимание анализите (на търсенето, демографски, на нагласите за ползване на ж</w:t>
      </w:r>
      <w:r w:rsidR="00B4171F" w:rsidRPr="0084544D">
        <w:rPr>
          <w:rFonts w:ascii="Times New Roman" w:hAnsi="Times New Roman" w:cs="Times New Roman"/>
          <w:sz w:val="24"/>
          <w:szCs w:val="24"/>
        </w:rPr>
        <w:t>елезопътен</w:t>
      </w:r>
      <w:r w:rsidR="004D7B9A" w:rsidRPr="0084544D">
        <w:rPr>
          <w:rFonts w:ascii="Times New Roman" w:hAnsi="Times New Roman" w:cs="Times New Roman"/>
          <w:sz w:val="24"/>
          <w:szCs w:val="24"/>
        </w:rPr>
        <w:t xml:space="preserve"> транспорт), извършени в рамките на изготвената </w:t>
      </w:r>
      <w:r w:rsidR="004D7B9A" w:rsidRPr="00F45AD3">
        <w:rPr>
          <w:rFonts w:ascii="Times New Roman" w:hAnsi="Times New Roman" w:cs="Times New Roman"/>
          <w:sz w:val="24"/>
          <w:szCs w:val="24"/>
        </w:rPr>
        <w:t>Пазарна оценка за железопътния сектор, определяща обхвата на задължението за извършване на обществена услуга в новия договор.</w:t>
      </w:r>
      <w:r w:rsidR="0096345C">
        <w:rPr>
          <w:rFonts w:ascii="Times New Roman" w:hAnsi="Times New Roman" w:cs="Times New Roman"/>
          <w:sz w:val="24"/>
          <w:szCs w:val="24"/>
        </w:rPr>
        <w:t xml:space="preserve"> Пазарната оценка е публикувана на сайта на Министерството на транспорта и съобщенията на адрес: </w:t>
      </w:r>
      <w:hyperlink r:id="rId8" w:history="1">
        <w:r w:rsidR="0085002B" w:rsidRPr="00B27AB9">
          <w:rPr>
            <w:rStyle w:val="Hyperlink"/>
            <w:rFonts w:ascii="Times New Roman" w:hAnsi="Times New Roman" w:cs="Times New Roman"/>
            <w:sz w:val="24"/>
            <w:szCs w:val="24"/>
          </w:rPr>
          <w:t>https://www.mtc.government.bg/bg/category/312/izgotvena-e-pazarna-ocenka-na-zhelezoptniya-sektor-opredelyascha-obkhvata-na-zadlzhenieto-za-izvrshvane-na-obschestveni-prevozni-uslugi-za-sledvaschiya-dogovor-za-izvrshvane-na-obschestveni-prevozni-uslugi-s-zhelezopten-transport</w:t>
        </w:r>
      </w:hyperlink>
      <w:r w:rsidR="0096345C">
        <w:rPr>
          <w:rFonts w:ascii="Times New Roman" w:hAnsi="Times New Roman" w:cs="Times New Roman"/>
          <w:sz w:val="24"/>
          <w:szCs w:val="24"/>
        </w:rPr>
        <w:t>.</w:t>
      </w:r>
    </w:p>
    <w:p w14:paraId="7D9F804B" w14:textId="77777777" w:rsidR="00F97C70" w:rsidRPr="0084544D" w:rsidRDefault="00BA38BF" w:rsidP="008C240F">
      <w:pPr>
        <w:tabs>
          <w:tab w:val="left" w:pos="1134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44D">
        <w:rPr>
          <w:rFonts w:ascii="Times New Roman" w:hAnsi="Times New Roman" w:cs="Times New Roman"/>
          <w:sz w:val="24"/>
          <w:szCs w:val="24"/>
        </w:rPr>
        <w:t xml:space="preserve">На базата на действащия договор и </w:t>
      </w:r>
      <w:r w:rsidR="00F45AD3">
        <w:rPr>
          <w:rFonts w:ascii="Times New Roman" w:hAnsi="Times New Roman" w:cs="Times New Roman"/>
          <w:sz w:val="24"/>
          <w:szCs w:val="24"/>
        </w:rPr>
        <w:t>График за движение на влаковете (</w:t>
      </w:r>
      <w:r w:rsidRPr="0084544D">
        <w:rPr>
          <w:rFonts w:ascii="Times New Roman" w:hAnsi="Times New Roman" w:cs="Times New Roman"/>
          <w:sz w:val="24"/>
          <w:szCs w:val="24"/>
        </w:rPr>
        <w:t>ГДВ</w:t>
      </w:r>
      <w:r w:rsidR="00F45AD3">
        <w:rPr>
          <w:rFonts w:ascii="Times New Roman" w:hAnsi="Times New Roman" w:cs="Times New Roman"/>
          <w:sz w:val="24"/>
          <w:szCs w:val="24"/>
        </w:rPr>
        <w:t>)</w:t>
      </w:r>
      <w:r w:rsidRPr="0084544D">
        <w:rPr>
          <w:rFonts w:ascii="Times New Roman" w:hAnsi="Times New Roman" w:cs="Times New Roman"/>
          <w:sz w:val="24"/>
          <w:szCs w:val="24"/>
        </w:rPr>
        <w:t xml:space="preserve"> 2024-2025 г. са изчислени планираните </w:t>
      </w:r>
      <w:proofErr w:type="spellStart"/>
      <w:r w:rsidRPr="0084544D">
        <w:rPr>
          <w:rFonts w:ascii="Times New Roman" w:hAnsi="Times New Roman" w:cs="Times New Roman"/>
          <w:sz w:val="24"/>
          <w:szCs w:val="24"/>
        </w:rPr>
        <w:t>влаккилометри</w:t>
      </w:r>
      <w:proofErr w:type="spellEnd"/>
      <w:r w:rsidRPr="0084544D">
        <w:rPr>
          <w:rFonts w:ascii="Times New Roman" w:hAnsi="Times New Roman" w:cs="Times New Roman"/>
          <w:sz w:val="24"/>
          <w:szCs w:val="24"/>
        </w:rPr>
        <w:t xml:space="preserve"> </w:t>
      </w:r>
      <w:r w:rsidR="00C8489C">
        <w:rPr>
          <w:rFonts w:ascii="Times New Roman" w:hAnsi="Times New Roman" w:cs="Times New Roman"/>
          <w:sz w:val="24"/>
          <w:szCs w:val="24"/>
        </w:rPr>
        <w:t>за първата година</w:t>
      </w:r>
      <w:r w:rsidR="00C70F16">
        <w:rPr>
          <w:rFonts w:ascii="Times New Roman" w:hAnsi="Times New Roman" w:cs="Times New Roman"/>
          <w:sz w:val="24"/>
          <w:szCs w:val="24"/>
        </w:rPr>
        <w:t xml:space="preserve"> от изпълнението на договорите</w:t>
      </w:r>
      <w:r w:rsidRPr="0084544D">
        <w:rPr>
          <w:rFonts w:ascii="Times New Roman" w:hAnsi="Times New Roman" w:cs="Times New Roman"/>
          <w:sz w:val="24"/>
          <w:szCs w:val="24"/>
        </w:rPr>
        <w:t xml:space="preserve">. </w:t>
      </w:r>
      <w:r w:rsidR="00F97C70" w:rsidRPr="0084544D">
        <w:rPr>
          <w:rFonts w:ascii="Times New Roman" w:hAnsi="Times New Roman" w:cs="Times New Roman"/>
          <w:sz w:val="24"/>
          <w:szCs w:val="24"/>
        </w:rPr>
        <w:t>При подготовката на Гр</w:t>
      </w:r>
      <w:r w:rsidR="00F45AD3">
        <w:rPr>
          <w:rFonts w:ascii="Times New Roman" w:hAnsi="Times New Roman" w:cs="Times New Roman"/>
          <w:sz w:val="24"/>
          <w:szCs w:val="24"/>
        </w:rPr>
        <w:t xml:space="preserve">афика за движение на влаковете </w:t>
      </w:r>
      <w:r w:rsidR="00A61B4E" w:rsidRPr="00C70F16">
        <w:rPr>
          <w:rFonts w:ascii="Times New Roman" w:hAnsi="Times New Roman" w:cs="Times New Roman"/>
          <w:sz w:val="24"/>
          <w:szCs w:val="24"/>
        </w:rPr>
        <w:t>за следващите години от действието на договорите</w:t>
      </w:r>
      <w:r w:rsidR="00A61B4E">
        <w:rPr>
          <w:rFonts w:ascii="Times New Roman" w:hAnsi="Times New Roman" w:cs="Times New Roman"/>
          <w:sz w:val="24"/>
          <w:szCs w:val="24"/>
        </w:rPr>
        <w:t xml:space="preserve"> </w:t>
      </w:r>
      <w:r w:rsidR="00F97C70" w:rsidRPr="0084544D">
        <w:rPr>
          <w:rFonts w:ascii="Times New Roman" w:hAnsi="Times New Roman" w:cs="Times New Roman"/>
          <w:sz w:val="24"/>
          <w:szCs w:val="24"/>
        </w:rPr>
        <w:t xml:space="preserve">всеки от превозвачите представя заявки за капацитет, които се координират от управителя на инфраструктурата. Координирането на услугите между </w:t>
      </w:r>
      <w:r w:rsidR="000857A7">
        <w:rPr>
          <w:rFonts w:ascii="Times New Roman" w:hAnsi="Times New Roman" w:cs="Times New Roman"/>
          <w:sz w:val="24"/>
          <w:szCs w:val="24"/>
        </w:rPr>
        <w:t>И</w:t>
      </w:r>
      <w:r w:rsidR="00F97C70" w:rsidRPr="0084544D">
        <w:rPr>
          <w:rFonts w:ascii="Times New Roman" w:hAnsi="Times New Roman" w:cs="Times New Roman"/>
          <w:sz w:val="24"/>
          <w:szCs w:val="24"/>
        </w:rPr>
        <w:t xml:space="preserve">зпълнителите на </w:t>
      </w:r>
      <w:r w:rsidR="002340D2">
        <w:rPr>
          <w:rFonts w:ascii="Times New Roman" w:hAnsi="Times New Roman" w:cs="Times New Roman"/>
          <w:sz w:val="24"/>
          <w:szCs w:val="24"/>
        </w:rPr>
        <w:t>отделните обособени позиции</w:t>
      </w:r>
      <w:r w:rsidR="00F97C70" w:rsidRPr="0084544D">
        <w:rPr>
          <w:rFonts w:ascii="Times New Roman" w:hAnsi="Times New Roman" w:cs="Times New Roman"/>
          <w:sz w:val="24"/>
          <w:szCs w:val="24"/>
        </w:rPr>
        <w:t xml:space="preserve"> ще се извършва чрез Общ График за движение на влаковете, който ще бъде изготвен </w:t>
      </w:r>
      <w:r w:rsidR="00F45AD3">
        <w:rPr>
          <w:rFonts w:ascii="Times New Roman" w:hAnsi="Times New Roman" w:cs="Times New Roman"/>
          <w:sz w:val="24"/>
          <w:szCs w:val="24"/>
        </w:rPr>
        <w:t>от държавата</w:t>
      </w:r>
      <w:r w:rsidR="00206995">
        <w:rPr>
          <w:rFonts w:ascii="Times New Roman" w:hAnsi="Times New Roman" w:cs="Times New Roman"/>
          <w:sz w:val="24"/>
          <w:szCs w:val="24"/>
        </w:rPr>
        <w:t>,</w:t>
      </w:r>
      <w:r w:rsidR="00F45AD3">
        <w:rPr>
          <w:rFonts w:ascii="Times New Roman" w:hAnsi="Times New Roman" w:cs="Times New Roman"/>
          <w:sz w:val="24"/>
          <w:szCs w:val="24"/>
        </w:rPr>
        <w:t xml:space="preserve"> </w:t>
      </w:r>
      <w:r w:rsidR="00F97C70" w:rsidRPr="0084544D">
        <w:rPr>
          <w:rFonts w:ascii="Times New Roman" w:hAnsi="Times New Roman" w:cs="Times New Roman"/>
          <w:sz w:val="24"/>
          <w:szCs w:val="24"/>
        </w:rPr>
        <w:t>след съгласуване с общини</w:t>
      </w:r>
      <w:r w:rsidR="009D03CC">
        <w:rPr>
          <w:rFonts w:ascii="Times New Roman" w:hAnsi="Times New Roman" w:cs="Times New Roman"/>
          <w:sz w:val="24"/>
          <w:szCs w:val="24"/>
        </w:rPr>
        <w:t>те</w:t>
      </w:r>
      <w:r w:rsidR="00F97C70" w:rsidRPr="0084544D">
        <w:rPr>
          <w:rFonts w:ascii="Times New Roman" w:hAnsi="Times New Roman" w:cs="Times New Roman"/>
          <w:sz w:val="24"/>
          <w:szCs w:val="24"/>
        </w:rPr>
        <w:t xml:space="preserve"> и областни</w:t>
      </w:r>
      <w:r w:rsidR="009D03CC">
        <w:rPr>
          <w:rFonts w:ascii="Times New Roman" w:hAnsi="Times New Roman" w:cs="Times New Roman"/>
          <w:sz w:val="24"/>
          <w:szCs w:val="24"/>
        </w:rPr>
        <w:t>те</w:t>
      </w:r>
      <w:r w:rsidR="00F97C70" w:rsidRPr="0084544D">
        <w:rPr>
          <w:rFonts w:ascii="Times New Roman" w:hAnsi="Times New Roman" w:cs="Times New Roman"/>
          <w:sz w:val="24"/>
          <w:szCs w:val="24"/>
        </w:rPr>
        <w:t xml:space="preserve"> администрации. В договора ще се предвиди задължение за съответния </w:t>
      </w:r>
      <w:r w:rsidR="000857A7">
        <w:rPr>
          <w:rFonts w:ascii="Times New Roman" w:hAnsi="Times New Roman" w:cs="Times New Roman"/>
          <w:sz w:val="24"/>
          <w:szCs w:val="24"/>
        </w:rPr>
        <w:t>И</w:t>
      </w:r>
      <w:r w:rsidR="00F97C70" w:rsidRPr="0084544D">
        <w:rPr>
          <w:rFonts w:ascii="Times New Roman" w:hAnsi="Times New Roman" w:cs="Times New Roman"/>
          <w:sz w:val="24"/>
          <w:szCs w:val="24"/>
        </w:rPr>
        <w:t xml:space="preserve">зпълнител да осигури взаимосвързана система от маршрути и график с </w:t>
      </w:r>
      <w:r w:rsidR="000857A7">
        <w:rPr>
          <w:rFonts w:ascii="Times New Roman" w:hAnsi="Times New Roman" w:cs="Times New Roman"/>
          <w:sz w:val="24"/>
          <w:szCs w:val="24"/>
        </w:rPr>
        <w:t>И</w:t>
      </w:r>
      <w:r w:rsidR="00F97C70" w:rsidRPr="0084544D">
        <w:rPr>
          <w:rFonts w:ascii="Times New Roman" w:hAnsi="Times New Roman" w:cs="Times New Roman"/>
          <w:sz w:val="24"/>
          <w:szCs w:val="24"/>
        </w:rPr>
        <w:t xml:space="preserve">зпълнителите по останалите </w:t>
      </w:r>
      <w:r w:rsidR="002340D2">
        <w:rPr>
          <w:rFonts w:ascii="Times New Roman" w:hAnsi="Times New Roman" w:cs="Times New Roman"/>
          <w:sz w:val="24"/>
          <w:szCs w:val="24"/>
        </w:rPr>
        <w:t>обособени позиции</w:t>
      </w:r>
      <w:r w:rsidR="00F97C70" w:rsidRPr="0084544D">
        <w:rPr>
          <w:rFonts w:ascii="Times New Roman" w:hAnsi="Times New Roman" w:cs="Times New Roman"/>
          <w:sz w:val="24"/>
          <w:szCs w:val="24"/>
        </w:rPr>
        <w:t xml:space="preserve">. Изпълнителите са задължени в периода на мобилизация да осигурят съвместимост между </w:t>
      </w:r>
      <w:proofErr w:type="spellStart"/>
      <w:r w:rsidR="00F97C70" w:rsidRPr="0084544D">
        <w:rPr>
          <w:rFonts w:ascii="Times New Roman" w:hAnsi="Times New Roman" w:cs="Times New Roman"/>
          <w:sz w:val="24"/>
          <w:szCs w:val="24"/>
        </w:rPr>
        <w:t>билетоиздаващите</w:t>
      </w:r>
      <w:proofErr w:type="spellEnd"/>
      <w:r w:rsidR="00F97C70" w:rsidRPr="0084544D">
        <w:rPr>
          <w:rFonts w:ascii="Times New Roman" w:hAnsi="Times New Roman" w:cs="Times New Roman"/>
          <w:sz w:val="24"/>
          <w:szCs w:val="24"/>
        </w:rPr>
        <w:t xml:space="preserve"> </w:t>
      </w:r>
      <w:r w:rsidR="00F45AD3">
        <w:rPr>
          <w:rFonts w:ascii="Times New Roman" w:hAnsi="Times New Roman" w:cs="Times New Roman"/>
          <w:sz w:val="24"/>
          <w:szCs w:val="24"/>
        </w:rPr>
        <w:t>си системи</w:t>
      </w:r>
      <w:r w:rsidR="00F97C70" w:rsidRPr="0084544D">
        <w:rPr>
          <w:rFonts w:ascii="Times New Roman" w:hAnsi="Times New Roman" w:cs="Times New Roman"/>
          <w:sz w:val="24"/>
          <w:szCs w:val="24"/>
        </w:rPr>
        <w:t>, като сключват споразумение помежду си.</w:t>
      </w:r>
      <w:r w:rsidR="0096345C" w:rsidRPr="0096345C">
        <w:t xml:space="preserve"> </w:t>
      </w:r>
      <w:r w:rsidR="0096345C" w:rsidRPr="0096345C">
        <w:rPr>
          <w:rFonts w:ascii="Times New Roman" w:hAnsi="Times New Roman" w:cs="Times New Roman"/>
          <w:sz w:val="24"/>
          <w:szCs w:val="24"/>
        </w:rPr>
        <w:t>Предвижда се в проект</w:t>
      </w:r>
      <w:r w:rsidR="0096345C">
        <w:rPr>
          <w:rFonts w:ascii="Times New Roman" w:hAnsi="Times New Roman" w:cs="Times New Roman"/>
          <w:sz w:val="24"/>
          <w:szCs w:val="24"/>
        </w:rPr>
        <w:t xml:space="preserve">а на </w:t>
      </w:r>
      <w:r w:rsidR="0096345C" w:rsidRPr="0096345C">
        <w:rPr>
          <w:rFonts w:ascii="Times New Roman" w:hAnsi="Times New Roman" w:cs="Times New Roman"/>
          <w:sz w:val="24"/>
          <w:szCs w:val="24"/>
        </w:rPr>
        <w:t xml:space="preserve">договор да бъде </w:t>
      </w:r>
      <w:r w:rsidR="0096345C">
        <w:rPr>
          <w:rFonts w:ascii="Times New Roman" w:hAnsi="Times New Roman" w:cs="Times New Roman"/>
          <w:sz w:val="24"/>
          <w:szCs w:val="24"/>
        </w:rPr>
        <w:t>предложен</w:t>
      </w:r>
      <w:r w:rsidR="0096345C" w:rsidRPr="0096345C">
        <w:rPr>
          <w:rFonts w:ascii="Times New Roman" w:hAnsi="Times New Roman" w:cs="Times New Roman"/>
          <w:sz w:val="24"/>
          <w:szCs w:val="24"/>
        </w:rPr>
        <w:t xml:space="preserve"> механизъм за преглед, за да се поддържа договорът ефективен, както от гледна точка на изпълнението му от </w:t>
      </w:r>
      <w:r w:rsidR="002D7F85" w:rsidRPr="00206995">
        <w:rPr>
          <w:rFonts w:ascii="Times New Roman" w:hAnsi="Times New Roman" w:cs="Times New Roman"/>
          <w:sz w:val="24"/>
          <w:szCs w:val="24"/>
        </w:rPr>
        <w:t>съответния</w:t>
      </w:r>
      <w:r w:rsidR="002D7F85">
        <w:rPr>
          <w:rFonts w:ascii="Times New Roman" w:hAnsi="Times New Roman" w:cs="Times New Roman"/>
          <w:sz w:val="24"/>
          <w:szCs w:val="24"/>
        </w:rPr>
        <w:t xml:space="preserve"> </w:t>
      </w:r>
      <w:r w:rsidR="0096345C" w:rsidRPr="0096345C">
        <w:rPr>
          <w:rFonts w:ascii="Times New Roman" w:hAnsi="Times New Roman" w:cs="Times New Roman"/>
          <w:sz w:val="24"/>
          <w:szCs w:val="24"/>
        </w:rPr>
        <w:t xml:space="preserve">Изпълнител, така и </w:t>
      </w:r>
      <w:r w:rsidR="0096345C">
        <w:rPr>
          <w:rFonts w:ascii="Times New Roman" w:hAnsi="Times New Roman" w:cs="Times New Roman"/>
          <w:sz w:val="24"/>
          <w:szCs w:val="24"/>
        </w:rPr>
        <w:t>от гледна точка на</w:t>
      </w:r>
      <w:r w:rsidR="0096345C" w:rsidRPr="0096345C">
        <w:rPr>
          <w:rFonts w:ascii="Times New Roman" w:hAnsi="Times New Roman" w:cs="Times New Roman"/>
          <w:sz w:val="24"/>
          <w:szCs w:val="24"/>
        </w:rPr>
        <w:t xml:space="preserve"> нуждите на пътниците.</w:t>
      </w:r>
    </w:p>
    <w:p w14:paraId="6B09AD1D" w14:textId="77777777" w:rsidR="00F97C70" w:rsidRPr="0084544D" w:rsidRDefault="00F97C70" w:rsidP="008C240F">
      <w:pPr>
        <w:tabs>
          <w:tab w:val="left" w:pos="1134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44D">
        <w:rPr>
          <w:rFonts w:ascii="Times New Roman" w:hAnsi="Times New Roman" w:cs="Times New Roman"/>
          <w:sz w:val="24"/>
          <w:szCs w:val="24"/>
        </w:rPr>
        <w:t xml:space="preserve">Съществено влияние върху обема на услугата имат демографските тенденции и търсенето. Изготвените в </w:t>
      </w:r>
      <w:r w:rsidR="00206995" w:rsidRPr="0084544D">
        <w:rPr>
          <w:rFonts w:ascii="Times New Roman" w:hAnsi="Times New Roman" w:cs="Times New Roman"/>
          <w:sz w:val="24"/>
          <w:szCs w:val="24"/>
        </w:rPr>
        <w:t>П</w:t>
      </w:r>
      <w:r w:rsidRPr="0084544D">
        <w:rPr>
          <w:rFonts w:ascii="Times New Roman" w:hAnsi="Times New Roman" w:cs="Times New Roman"/>
          <w:sz w:val="24"/>
          <w:szCs w:val="24"/>
        </w:rPr>
        <w:t xml:space="preserve">азарната оценка анализи показват, че влияние върху търсенето на пътнически железопътни услуги ще има спадът на населението в страната, който ще доведе до намаляване на броя пътуващи. Прогнозата до 2040 година показва, че общият брой на населението на България се очаква да бъде 6 135 500 души или с близо 12% по-малко спрямо това, което е било към 2020 г. Това ще повлияе съществено на броя пътувания с железопътен транспорт, независимо от очакванията за ръст на мобилността и нарастване на използването на железопътния транспорт в общия дял пътувания на гражданите. Освен намаляване на населението, прогнозните данни очертават допълнителна концентрация на населението в петте </w:t>
      </w:r>
      <w:r w:rsidRPr="0084544D">
        <w:rPr>
          <w:rFonts w:ascii="Times New Roman" w:hAnsi="Times New Roman" w:cs="Times New Roman"/>
          <w:sz w:val="24"/>
          <w:szCs w:val="24"/>
        </w:rPr>
        <w:lastRenderedPageBreak/>
        <w:t>най-големи области на страната (София, Пловдив, Варна, Бургас и Стара Загора), където към 2040 година се очаква да живее около половината население на страната. При хипотеза за увеличаване на активността и пътуванията, общият брой превозени пътници ще нараства, но те ще бъдат генерирани от по-малък брой лица.</w:t>
      </w:r>
    </w:p>
    <w:p w14:paraId="6D4312B7" w14:textId="77777777" w:rsidR="00F97C70" w:rsidRPr="0084544D" w:rsidRDefault="0096345C" w:rsidP="008C240F">
      <w:pPr>
        <w:tabs>
          <w:tab w:val="left" w:pos="1134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45C">
        <w:rPr>
          <w:rFonts w:ascii="Times New Roman" w:hAnsi="Times New Roman" w:cs="Times New Roman"/>
          <w:sz w:val="24"/>
          <w:szCs w:val="24"/>
        </w:rPr>
        <w:t>Процедурата ще се въз</w:t>
      </w:r>
      <w:r w:rsidR="00E92878">
        <w:rPr>
          <w:rFonts w:ascii="Times New Roman" w:hAnsi="Times New Roman" w:cs="Times New Roman"/>
          <w:sz w:val="24"/>
          <w:szCs w:val="24"/>
        </w:rPr>
        <w:t>ложи</w:t>
      </w:r>
      <w:r w:rsidRPr="0096345C">
        <w:rPr>
          <w:rFonts w:ascii="Times New Roman" w:hAnsi="Times New Roman" w:cs="Times New Roman"/>
          <w:sz w:val="24"/>
          <w:szCs w:val="24"/>
        </w:rPr>
        <w:t xml:space="preserve"> при условията на Регламент (ЕО) № 1370/2007 и след</w:t>
      </w:r>
      <w:r>
        <w:rPr>
          <w:rFonts w:ascii="Times New Roman" w:hAnsi="Times New Roman" w:cs="Times New Roman"/>
          <w:sz w:val="24"/>
          <w:szCs w:val="24"/>
        </w:rPr>
        <w:t>вайки</w:t>
      </w:r>
      <w:r w:rsidRPr="0096345C">
        <w:rPr>
          <w:rFonts w:ascii="Times New Roman" w:hAnsi="Times New Roman" w:cs="Times New Roman"/>
          <w:sz w:val="24"/>
          <w:szCs w:val="24"/>
        </w:rPr>
        <w:t xml:space="preserve"> процедурата за кандидатстване, определена в Закона за обществените поръчки.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7C70" w:rsidRPr="0084544D">
        <w:rPr>
          <w:rFonts w:ascii="Times New Roman" w:hAnsi="Times New Roman" w:cs="Times New Roman"/>
          <w:sz w:val="24"/>
          <w:szCs w:val="24"/>
        </w:rPr>
        <w:t xml:space="preserve">В тази връзка </w:t>
      </w:r>
      <w:r w:rsidR="0097217F">
        <w:rPr>
          <w:rFonts w:ascii="Times New Roman" w:hAnsi="Times New Roman" w:cs="Times New Roman"/>
          <w:sz w:val="24"/>
          <w:szCs w:val="24"/>
        </w:rPr>
        <w:t xml:space="preserve">се </w:t>
      </w:r>
      <w:r w:rsidR="00F97C70" w:rsidRPr="0084544D">
        <w:rPr>
          <w:rFonts w:ascii="Times New Roman" w:hAnsi="Times New Roman" w:cs="Times New Roman"/>
          <w:sz w:val="24"/>
          <w:szCs w:val="24"/>
        </w:rPr>
        <w:t xml:space="preserve">предвижда обемът на възложените услуги да се актуализира ежегодно чрез подписване на допълнително споразумение към основния договор. </w:t>
      </w:r>
      <w:r w:rsidR="0086706E" w:rsidRPr="0084544D">
        <w:rPr>
          <w:rFonts w:ascii="Times New Roman" w:hAnsi="Times New Roman" w:cs="Times New Roman"/>
          <w:sz w:val="24"/>
          <w:szCs w:val="24"/>
        </w:rPr>
        <w:t>В п</w:t>
      </w:r>
      <w:r w:rsidR="00904E7D" w:rsidRPr="0084544D">
        <w:rPr>
          <w:rFonts w:ascii="Times New Roman" w:hAnsi="Times New Roman" w:cs="Times New Roman"/>
          <w:sz w:val="24"/>
          <w:szCs w:val="24"/>
        </w:rPr>
        <w:t>роект</w:t>
      </w:r>
      <w:r w:rsidR="0086706E" w:rsidRPr="0084544D">
        <w:rPr>
          <w:rFonts w:ascii="Times New Roman" w:hAnsi="Times New Roman" w:cs="Times New Roman"/>
          <w:sz w:val="24"/>
          <w:szCs w:val="24"/>
        </w:rPr>
        <w:t>а</w:t>
      </w:r>
      <w:r w:rsidR="00904E7D" w:rsidRPr="0084544D">
        <w:rPr>
          <w:rFonts w:ascii="Times New Roman" w:hAnsi="Times New Roman" w:cs="Times New Roman"/>
          <w:sz w:val="24"/>
          <w:szCs w:val="24"/>
        </w:rPr>
        <w:t xml:space="preserve"> на договор за извършване на обществената превозна услуга </w:t>
      </w:r>
      <w:r w:rsidR="0097217F">
        <w:rPr>
          <w:rFonts w:ascii="Times New Roman" w:hAnsi="Times New Roman" w:cs="Times New Roman"/>
          <w:sz w:val="24"/>
          <w:szCs w:val="24"/>
        </w:rPr>
        <w:t>ще бъдат включени</w:t>
      </w:r>
      <w:r w:rsidR="00904E7D" w:rsidRPr="0084544D">
        <w:rPr>
          <w:rFonts w:ascii="Times New Roman" w:hAnsi="Times New Roman" w:cs="Times New Roman"/>
          <w:sz w:val="24"/>
          <w:szCs w:val="24"/>
        </w:rPr>
        <w:t xml:space="preserve"> разпоредби относно възможностите за актуализация на обема на възложените услуги. </w:t>
      </w:r>
      <w:r w:rsidRPr="0096345C">
        <w:rPr>
          <w:rFonts w:ascii="Times New Roman" w:hAnsi="Times New Roman" w:cs="Times New Roman"/>
          <w:sz w:val="24"/>
          <w:szCs w:val="24"/>
        </w:rPr>
        <w:t xml:space="preserve">Ще се извършва </w:t>
      </w:r>
      <w:r>
        <w:rPr>
          <w:rFonts w:ascii="Times New Roman" w:hAnsi="Times New Roman" w:cs="Times New Roman"/>
          <w:sz w:val="24"/>
          <w:szCs w:val="24"/>
        </w:rPr>
        <w:t>еже</w:t>
      </w:r>
      <w:r w:rsidRPr="0096345C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6345C">
        <w:rPr>
          <w:rFonts w:ascii="Times New Roman" w:hAnsi="Times New Roman" w:cs="Times New Roman"/>
          <w:sz w:val="24"/>
          <w:szCs w:val="24"/>
        </w:rPr>
        <w:t xml:space="preserve">н преглед на параметрите на договора, за да се поддържа договорът </w:t>
      </w:r>
      <w:r>
        <w:rPr>
          <w:rFonts w:ascii="Times New Roman" w:hAnsi="Times New Roman" w:cs="Times New Roman"/>
          <w:sz w:val="24"/>
          <w:szCs w:val="24"/>
        </w:rPr>
        <w:t>ефективен</w:t>
      </w:r>
      <w:r w:rsidRPr="009634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7C70" w:rsidRPr="0084544D">
        <w:rPr>
          <w:rFonts w:ascii="Times New Roman" w:hAnsi="Times New Roman" w:cs="Times New Roman"/>
          <w:sz w:val="24"/>
          <w:szCs w:val="24"/>
        </w:rPr>
        <w:t xml:space="preserve">В случай че настъпят обстоятелства, които да доведат до увеличение на </w:t>
      </w:r>
      <w:proofErr w:type="spellStart"/>
      <w:r w:rsidR="00F97C70" w:rsidRPr="0084544D">
        <w:rPr>
          <w:rFonts w:ascii="Times New Roman" w:hAnsi="Times New Roman" w:cs="Times New Roman"/>
          <w:sz w:val="24"/>
          <w:szCs w:val="24"/>
        </w:rPr>
        <w:t>влаккилометрите</w:t>
      </w:r>
      <w:proofErr w:type="spellEnd"/>
      <w:r w:rsidR="00F97C70" w:rsidRPr="0084544D">
        <w:rPr>
          <w:rFonts w:ascii="Times New Roman" w:hAnsi="Times New Roman" w:cs="Times New Roman"/>
          <w:sz w:val="24"/>
          <w:szCs w:val="24"/>
        </w:rPr>
        <w:t xml:space="preserve">, ще се пристъпи и към увеличение на </w:t>
      </w:r>
      <w:proofErr w:type="spellStart"/>
      <w:r w:rsidR="00F97C70" w:rsidRPr="0084544D">
        <w:rPr>
          <w:rFonts w:ascii="Times New Roman" w:hAnsi="Times New Roman" w:cs="Times New Roman"/>
          <w:sz w:val="24"/>
          <w:szCs w:val="24"/>
        </w:rPr>
        <w:t>влаккилометрите</w:t>
      </w:r>
      <w:proofErr w:type="spellEnd"/>
      <w:r w:rsidR="00F97C70" w:rsidRPr="0084544D">
        <w:rPr>
          <w:rFonts w:ascii="Times New Roman" w:hAnsi="Times New Roman" w:cs="Times New Roman"/>
          <w:sz w:val="24"/>
          <w:szCs w:val="24"/>
        </w:rPr>
        <w:t xml:space="preserve"> по договорите с </w:t>
      </w:r>
      <w:r w:rsidR="000857A7">
        <w:rPr>
          <w:rFonts w:ascii="Times New Roman" w:hAnsi="Times New Roman" w:cs="Times New Roman"/>
          <w:sz w:val="24"/>
          <w:szCs w:val="24"/>
        </w:rPr>
        <w:t>И</w:t>
      </w:r>
      <w:r w:rsidR="00F97C70" w:rsidRPr="0084544D">
        <w:rPr>
          <w:rFonts w:ascii="Times New Roman" w:hAnsi="Times New Roman" w:cs="Times New Roman"/>
          <w:sz w:val="24"/>
          <w:szCs w:val="24"/>
        </w:rPr>
        <w:t>зпълнителите, при съо</w:t>
      </w:r>
      <w:r w:rsidR="00F45AD3">
        <w:rPr>
          <w:rFonts w:ascii="Times New Roman" w:hAnsi="Times New Roman" w:cs="Times New Roman"/>
          <w:sz w:val="24"/>
          <w:szCs w:val="24"/>
        </w:rPr>
        <w:t>бразяване с техните възможности.</w:t>
      </w:r>
    </w:p>
    <w:p w14:paraId="4131E6F3" w14:textId="77777777" w:rsidR="0087034A" w:rsidRPr="0084544D" w:rsidRDefault="0087034A" w:rsidP="008C240F">
      <w:pPr>
        <w:tabs>
          <w:tab w:val="left" w:pos="1134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44D">
        <w:rPr>
          <w:rFonts w:ascii="Times New Roman" w:hAnsi="Times New Roman" w:cs="Times New Roman"/>
          <w:sz w:val="24"/>
          <w:szCs w:val="24"/>
        </w:rPr>
        <w:t xml:space="preserve">По отношение на финансовото отражение върху </w:t>
      </w:r>
      <w:r w:rsidR="000857A7">
        <w:rPr>
          <w:rFonts w:ascii="Times New Roman" w:hAnsi="Times New Roman" w:cs="Times New Roman"/>
          <w:sz w:val="24"/>
          <w:szCs w:val="24"/>
        </w:rPr>
        <w:t>Изпълнителите</w:t>
      </w:r>
      <w:r w:rsidR="000857A7" w:rsidRPr="0084544D">
        <w:rPr>
          <w:rFonts w:ascii="Times New Roman" w:hAnsi="Times New Roman" w:cs="Times New Roman"/>
          <w:sz w:val="24"/>
          <w:szCs w:val="24"/>
        </w:rPr>
        <w:t xml:space="preserve"> </w:t>
      </w:r>
      <w:r w:rsidRPr="0084544D">
        <w:rPr>
          <w:rFonts w:ascii="Times New Roman" w:hAnsi="Times New Roman" w:cs="Times New Roman"/>
          <w:sz w:val="24"/>
          <w:szCs w:val="24"/>
        </w:rPr>
        <w:t>в съответствие с предвиденото в техническ</w:t>
      </w:r>
      <w:r w:rsidR="000857A7">
        <w:rPr>
          <w:rFonts w:ascii="Times New Roman" w:hAnsi="Times New Roman" w:cs="Times New Roman"/>
          <w:sz w:val="24"/>
          <w:szCs w:val="24"/>
        </w:rPr>
        <w:t>ите</w:t>
      </w:r>
      <w:r w:rsidRPr="0084544D">
        <w:rPr>
          <w:rFonts w:ascii="Times New Roman" w:hAnsi="Times New Roman" w:cs="Times New Roman"/>
          <w:sz w:val="24"/>
          <w:szCs w:val="24"/>
        </w:rPr>
        <w:t xml:space="preserve"> спецификаци</w:t>
      </w:r>
      <w:r w:rsidR="000857A7">
        <w:rPr>
          <w:rFonts w:ascii="Times New Roman" w:hAnsi="Times New Roman" w:cs="Times New Roman"/>
          <w:sz w:val="24"/>
          <w:szCs w:val="24"/>
        </w:rPr>
        <w:t>и</w:t>
      </w:r>
      <w:r w:rsidRPr="0084544D">
        <w:rPr>
          <w:rFonts w:ascii="Times New Roman" w:hAnsi="Times New Roman" w:cs="Times New Roman"/>
          <w:sz w:val="24"/>
          <w:szCs w:val="24"/>
        </w:rPr>
        <w:t>, съгласно изискването на Регламент 1370/2007, субсидията за компенсиране на задължението за превоз не може да надвишава сумата, съответстваща на нетния финансов ефект, който се равнява на сбора от последиците – (положителни или отрицателни) от изпълнението на задължението за обществени превозни услуги върху приходите и разходите на Изпълнителя, извършващ обществени превозни услуги.</w:t>
      </w:r>
    </w:p>
    <w:p w14:paraId="3275C47B" w14:textId="77777777" w:rsidR="00DE1C48" w:rsidRPr="0084544D" w:rsidRDefault="00DE1C48" w:rsidP="008C240F">
      <w:pPr>
        <w:tabs>
          <w:tab w:val="left" w:pos="1134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44D">
        <w:rPr>
          <w:rFonts w:ascii="Times New Roman" w:hAnsi="Times New Roman" w:cs="Times New Roman"/>
          <w:sz w:val="24"/>
          <w:szCs w:val="24"/>
        </w:rPr>
        <w:t xml:space="preserve">В техническите спецификации </w:t>
      </w:r>
      <w:r w:rsidR="0086706E" w:rsidRPr="0084544D">
        <w:rPr>
          <w:rFonts w:ascii="Times New Roman" w:hAnsi="Times New Roman" w:cs="Times New Roman"/>
          <w:sz w:val="24"/>
          <w:szCs w:val="24"/>
        </w:rPr>
        <w:t>ще бъд</w:t>
      </w:r>
      <w:r w:rsidRPr="0084544D">
        <w:rPr>
          <w:rFonts w:ascii="Times New Roman" w:hAnsi="Times New Roman" w:cs="Times New Roman"/>
          <w:sz w:val="24"/>
          <w:szCs w:val="24"/>
        </w:rPr>
        <w:t>е представена подробна информация за обхвата и обема на възлагането и графика за движение на влаковете за съответната обособена позиция, в т.ч. категория влакове (</w:t>
      </w:r>
      <w:r w:rsidR="0036575E">
        <w:rPr>
          <w:rFonts w:ascii="Times New Roman" w:hAnsi="Times New Roman" w:cs="Times New Roman"/>
          <w:sz w:val="24"/>
          <w:szCs w:val="24"/>
        </w:rPr>
        <w:t xml:space="preserve">експресни, </w:t>
      </w:r>
      <w:r w:rsidRPr="0084544D">
        <w:rPr>
          <w:rFonts w:ascii="Times New Roman" w:hAnsi="Times New Roman" w:cs="Times New Roman"/>
          <w:sz w:val="24"/>
          <w:szCs w:val="24"/>
        </w:rPr>
        <w:t>бързи, пътнически, крайградски пътнически</w:t>
      </w:r>
      <w:r w:rsidR="0036575E">
        <w:rPr>
          <w:rFonts w:ascii="Times New Roman" w:hAnsi="Times New Roman" w:cs="Times New Roman"/>
          <w:sz w:val="24"/>
          <w:szCs w:val="24"/>
        </w:rPr>
        <w:t>, международни и нощни</w:t>
      </w:r>
      <w:r w:rsidRPr="0084544D">
        <w:rPr>
          <w:rFonts w:ascii="Times New Roman" w:hAnsi="Times New Roman" w:cs="Times New Roman"/>
          <w:sz w:val="24"/>
          <w:szCs w:val="24"/>
        </w:rPr>
        <w:t xml:space="preserve">), номер на влаковете, начални гари, междинни гари и спирки, крайни гари, разстояния между гарите, скорости на движение в </w:t>
      </w:r>
      <w:proofErr w:type="spellStart"/>
      <w:r w:rsidRPr="0084544D">
        <w:rPr>
          <w:rFonts w:ascii="Times New Roman" w:hAnsi="Times New Roman" w:cs="Times New Roman"/>
          <w:sz w:val="24"/>
          <w:szCs w:val="24"/>
        </w:rPr>
        <w:t>междугарията</w:t>
      </w:r>
      <w:proofErr w:type="spellEnd"/>
      <w:r w:rsidRPr="0084544D">
        <w:rPr>
          <w:rFonts w:ascii="Times New Roman" w:hAnsi="Times New Roman" w:cs="Times New Roman"/>
          <w:sz w:val="24"/>
          <w:szCs w:val="24"/>
        </w:rPr>
        <w:t xml:space="preserve">, часове на тръгване, часове на пристигане, престои, дни на движение, </w:t>
      </w:r>
      <w:proofErr w:type="spellStart"/>
      <w:r w:rsidRPr="0084544D">
        <w:rPr>
          <w:rFonts w:ascii="Times New Roman" w:hAnsi="Times New Roman" w:cs="Times New Roman"/>
          <w:sz w:val="24"/>
          <w:szCs w:val="24"/>
        </w:rPr>
        <w:t>влаккилометри</w:t>
      </w:r>
      <w:proofErr w:type="spellEnd"/>
      <w:r w:rsidRPr="0084544D">
        <w:rPr>
          <w:rFonts w:ascii="Times New Roman" w:hAnsi="Times New Roman" w:cs="Times New Roman"/>
          <w:sz w:val="24"/>
          <w:szCs w:val="24"/>
        </w:rPr>
        <w:t xml:space="preserve"> и </w:t>
      </w:r>
      <w:r w:rsidR="00BC6653">
        <w:rPr>
          <w:rFonts w:ascii="Times New Roman" w:hAnsi="Times New Roman" w:cs="Times New Roman"/>
          <w:sz w:val="24"/>
          <w:szCs w:val="24"/>
        </w:rPr>
        <w:t>други</w:t>
      </w:r>
      <w:r w:rsidRPr="0084544D">
        <w:rPr>
          <w:rFonts w:ascii="Times New Roman" w:hAnsi="Times New Roman" w:cs="Times New Roman"/>
          <w:sz w:val="24"/>
          <w:szCs w:val="24"/>
        </w:rPr>
        <w:t>.</w:t>
      </w:r>
      <w:r w:rsidR="0096345C">
        <w:rPr>
          <w:rFonts w:ascii="Times New Roman" w:hAnsi="Times New Roman" w:cs="Times New Roman"/>
          <w:sz w:val="24"/>
          <w:szCs w:val="24"/>
        </w:rPr>
        <w:t xml:space="preserve"> Тарифните задължения са определени с</w:t>
      </w:r>
      <w:r w:rsidR="00BF1DCE">
        <w:rPr>
          <w:rFonts w:ascii="Times New Roman" w:hAnsi="Times New Roman" w:cs="Times New Roman"/>
          <w:sz w:val="24"/>
          <w:szCs w:val="24"/>
        </w:rPr>
        <w:t xml:space="preserve"> отделен</w:t>
      </w:r>
      <w:r w:rsidR="0096345C">
        <w:rPr>
          <w:rFonts w:ascii="Times New Roman" w:hAnsi="Times New Roman" w:cs="Times New Roman"/>
          <w:sz w:val="24"/>
          <w:szCs w:val="24"/>
        </w:rPr>
        <w:t xml:space="preserve"> акт на Министерския съвет (ПМС № 295/2001).</w:t>
      </w:r>
    </w:p>
    <w:p w14:paraId="6AFF721B" w14:textId="77777777" w:rsidR="00C8489C" w:rsidRPr="00657BB0" w:rsidRDefault="00F97C70" w:rsidP="00657BB0">
      <w:pPr>
        <w:tabs>
          <w:tab w:val="left" w:pos="1134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F17">
        <w:rPr>
          <w:rFonts w:ascii="Times New Roman" w:hAnsi="Times New Roman" w:cs="Times New Roman"/>
          <w:sz w:val="24"/>
          <w:szCs w:val="24"/>
        </w:rPr>
        <w:t>Обемът на обособените позиции е</w:t>
      </w:r>
      <w:r w:rsidR="00587099">
        <w:rPr>
          <w:rFonts w:ascii="Times New Roman" w:hAnsi="Times New Roman" w:cs="Times New Roman"/>
          <w:sz w:val="24"/>
          <w:szCs w:val="24"/>
        </w:rPr>
        <w:t xml:space="preserve"> изчислен на база </w:t>
      </w:r>
      <w:proofErr w:type="spellStart"/>
      <w:r w:rsidR="00587099">
        <w:rPr>
          <w:rFonts w:ascii="Times New Roman" w:hAnsi="Times New Roman" w:cs="Times New Roman"/>
          <w:sz w:val="24"/>
          <w:szCs w:val="24"/>
        </w:rPr>
        <w:t>влаккилометри</w:t>
      </w:r>
      <w:proofErr w:type="spellEnd"/>
      <w:r w:rsidRPr="00D51F17">
        <w:rPr>
          <w:rFonts w:ascii="Times New Roman" w:hAnsi="Times New Roman" w:cs="Times New Roman"/>
          <w:sz w:val="24"/>
          <w:szCs w:val="24"/>
        </w:rPr>
        <w:t xml:space="preserve"> в съответствие с ГДВ 2024 – 2025 г. През първата година от срока на новите договори (202</w:t>
      </w:r>
      <w:r w:rsidR="00BC6653" w:rsidRPr="00D51F17">
        <w:rPr>
          <w:rFonts w:ascii="Times New Roman" w:hAnsi="Times New Roman" w:cs="Times New Roman"/>
          <w:sz w:val="24"/>
          <w:szCs w:val="24"/>
        </w:rPr>
        <w:t>7</w:t>
      </w:r>
      <w:r w:rsidRPr="00D51F17">
        <w:rPr>
          <w:rFonts w:ascii="Times New Roman" w:hAnsi="Times New Roman" w:cs="Times New Roman"/>
          <w:sz w:val="24"/>
          <w:szCs w:val="24"/>
        </w:rPr>
        <w:t xml:space="preserve"> г.) </w:t>
      </w:r>
      <w:r w:rsidR="000857A7">
        <w:rPr>
          <w:rFonts w:ascii="Times New Roman" w:hAnsi="Times New Roman" w:cs="Times New Roman"/>
          <w:sz w:val="24"/>
          <w:szCs w:val="24"/>
        </w:rPr>
        <w:t>И</w:t>
      </w:r>
      <w:r w:rsidRPr="00D51F17">
        <w:rPr>
          <w:rFonts w:ascii="Times New Roman" w:hAnsi="Times New Roman" w:cs="Times New Roman"/>
          <w:sz w:val="24"/>
          <w:szCs w:val="24"/>
        </w:rPr>
        <w:t>зпълнителите ще спазват одобрения график за движение на влаковете за 202</w:t>
      </w:r>
      <w:r w:rsidR="00D51F17" w:rsidRPr="00D51F17">
        <w:rPr>
          <w:rFonts w:ascii="Times New Roman" w:hAnsi="Times New Roman" w:cs="Times New Roman"/>
          <w:sz w:val="24"/>
          <w:szCs w:val="24"/>
        </w:rPr>
        <w:t>6</w:t>
      </w:r>
      <w:r w:rsidRPr="00D51F17">
        <w:rPr>
          <w:rFonts w:ascii="Times New Roman" w:hAnsi="Times New Roman" w:cs="Times New Roman"/>
          <w:sz w:val="24"/>
          <w:szCs w:val="24"/>
        </w:rPr>
        <w:t>-202</w:t>
      </w:r>
      <w:r w:rsidR="00D51F17" w:rsidRPr="00D51F17">
        <w:rPr>
          <w:rFonts w:ascii="Times New Roman" w:hAnsi="Times New Roman" w:cs="Times New Roman"/>
          <w:sz w:val="24"/>
          <w:szCs w:val="24"/>
        </w:rPr>
        <w:t>7</w:t>
      </w:r>
      <w:r w:rsidRPr="00D51F17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64C96453" w14:textId="77777777" w:rsidR="00C8489C" w:rsidRDefault="00C8489C" w:rsidP="00657BB0">
      <w:pPr>
        <w:spacing w:before="120" w:after="0" w:line="240" w:lineRule="auto"/>
        <w:ind w:firstLine="709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sz w:val="24"/>
          <w:szCs w:val="24"/>
        </w:rPr>
        <w:t>Планирани пазарни сегменти, включени в обема на поръчката:</w:t>
      </w:r>
    </w:p>
    <w:p w14:paraId="1D1AC15C" w14:textId="77777777" w:rsidR="00C8489C" w:rsidRDefault="00C8489C" w:rsidP="00657BB0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Експресни влакове (с минимум първа и втора класа, с резервация на всички места, със средна съобщителна скорост от минимум 80 км/ч, маршрут над 100 км в посока, обслужващи само градове с над 20 000 д</w:t>
      </w:r>
      <w:r w:rsidR="009D03CC">
        <w:rPr>
          <w:rFonts w:ascii="Times New Roman" w:eastAsia="Times New Roman" w:hAnsi="Times New Roman"/>
          <w:sz w:val="24"/>
          <w:szCs w:val="24"/>
        </w:rPr>
        <w:t>уши</w:t>
      </w:r>
      <w:r>
        <w:rPr>
          <w:rFonts w:ascii="Times New Roman" w:eastAsia="Times New Roman" w:hAnsi="Times New Roman"/>
          <w:sz w:val="24"/>
          <w:szCs w:val="24"/>
        </w:rPr>
        <w:t xml:space="preserve"> население и/или на кръстопътни гари). Този пазарен сегмент понастоящем не </w:t>
      </w:r>
      <w:r w:rsidR="0096345C">
        <w:rPr>
          <w:rFonts w:ascii="Times New Roman" w:eastAsia="Times New Roman" w:hAnsi="Times New Roman"/>
          <w:sz w:val="24"/>
          <w:szCs w:val="24"/>
        </w:rPr>
        <w:t xml:space="preserve">е част </w:t>
      </w:r>
      <w:r w:rsidR="0096345C" w:rsidRPr="00206995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2D7F85" w:rsidRPr="00206995">
        <w:rPr>
          <w:rFonts w:ascii="Times New Roman" w:eastAsia="Times New Roman" w:hAnsi="Times New Roman"/>
          <w:sz w:val="24"/>
          <w:szCs w:val="24"/>
        </w:rPr>
        <w:t>З</w:t>
      </w:r>
      <w:r w:rsidR="0096345C" w:rsidRPr="00206995">
        <w:rPr>
          <w:rFonts w:ascii="Times New Roman" w:eastAsia="Times New Roman" w:hAnsi="Times New Roman"/>
          <w:sz w:val="24"/>
          <w:szCs w:val="24"/>
        </w:rPr>
        <w:t>ОУ</w:t>
      </w:r>
      <w:r w:rsidR="00F57B6E">
        <w:rPr>
          <w:rFonts w:ascii="Times New Roman" w:eastAsia="Times New Roman" w:hAnsi="Times New Roman"/>
          <w:sz w:val="24"/>
          <w:szCs w:val="24"/>
        </w:rPr>
        <w:t xml:space="preserve"> и</w:t>
      </w:r>
      <w:r w:rsidR="0096345C" w:rsidRPr="0096345C">
        <w:rPr>
          <w:rFonts w:ascii="Times New Roman" w:eastAsia="Times New Roman" w:hAnsi="Times New Roman"/>
          <w:sz w:val="24"/>
          <w:szCs w:val="24"/>
        </w:rPr>
        <w:t xml:space="preserve"> няма достатъчно наличен подвижен състав, който е подходящ за </w:t>
      </w:r>
      <w:r w:rsidR="00F1340A">
        <w:rPr>
          <w:rFonts w:ascii="Times New Roman" w:eastAsia="Times New Roman" w:hAnsi="Times New Roman"/>
          <w:sz w:val="24"/>
          <w:szCs w:val="24"/>
        </w:rPr>
        <w:t>извършването на този вид</w:t>
      </w:r>
      <w:r w:rsidR="0096345C" w:rsidRPr="0096345C">
        <w:rPr>
          <w:rFonts w:ascii="Times New Roman" w:eastAsia="Times New Roman" w:hAnsi="Times New Roman"/>
          <w:sz w:val="24"/>
          <w:szCs w:val="24"/>
        </w:rPr>
        <w:t xml:space="preserve"> услуги</w:t>
      </w:r>
      <w:r>
        <w:rPr>
          <w:rFonts w:ascii="Times New Roman" w:eastAsia="Times New Roman" w:hAnsi="Times New Roman"/>
          <w:sz w:val="24"/>
          <w:szCs w:val="24"/>
        </w:rPr>
        <w:t xml:space="preserve">. Предвижда се поетапно да се въвежда от първата година на новите договори с превозвачите, в зависимост от възможността да се осигури подходящ подвижен състав и </w:t>
      </w:r>
      <w:r w:rsidR="00073FEB" w:rsidRPr="00206995">
        <w:rPr>
          <w:rFonts w:ascii="Times New Roman" w:eastAsia="Times New Roman" w:hAnsi="Times New Roman"/>
          <w:sz w:val="24"/>
          <w:szCs w:val="24"/>
        </w:rPr>
        <w:t>капацитета</w:t>
      </w:r>
      <w:r>
        <w:rPr>
          <w:rFonts w:ascii="Times New Roman" w:eastAsia="Times New Roman" w:hAnsi="Times New Roman"/>
          <w:sz w:val="24"/>
          <w:szCs w:val="24"/>
        </w:rPr>
        <w:t xml:space="preserve"> на железопътната инфраструктура.</w:t>
      </w:r>
      <w:r w:rsidR="0096345C">
        <w:rPr>
          <w:rFonts w:ascii="Times New Roman" w:eastAsia="Times New Roman" w:hAnsi="Times New Roman"/>
          <w:sz w:val="24"/>
          <w:szCs w:val="24"/>
        </w:rPr>
        <w:t xml:space="preserve"> (Виж картата на експресните влакове)</w:t>
      </w:r>
      <w:r w:rsidR="00657BB0">
        <w:rPr>
          <w:rFonts w:ascii="Times New Roman" w:eastAsia="Times New Roman" w:hAnsi="Times New Roman"/>
          <w:sz w:val="24"/>
          <w:szCs w:val="24"/>
        </w:rPr>
        <w:t>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678ADE8" w14:textId="77777777" w:rsidR="00C8489C" w:rsidRDefault="00C8489C" w:rsidP="00657BB0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Бързи влакове (с минимум първа и втора класа, с резервация на всички места, маршрут над 100 км в посока и обслужващи част от гарите и спирките по маршрута). Този пазарен сегмент понастоящем се изпълнява. Предвижда се оптимизирането</w:t>
      </w:r>
      <w:r w:rsidR="00654052">
        <w:rPr>
          <w:rFonts w:ascii="Times New Roman" w:eastAsia="Times New Roman" w:hAnsi="Times New Roman"/>
          <w:sz w:val="24"/>
          <w:szCs w:val="24"/>
        </w:rPr>
        <w:t xml:space="preserve"> му, във връзка с разделянето на обема на лотове</w:t>
      </w:r>
      <w:r w:rsidR="0096345C">
        <w:rPr>
          <w:rFonts w:ascii="Times New Roman" w:eastAsia="Times New Roman" w:hAnsi="Times New Roman"/>
          <w:sz w:val="24"/>
          <w:szCs w:val="24"/>
        </w:rPr>
        <w:t>. По-голямата част от бързите влакове ще се обслужват от западния превозвач. (Ви</w:t>
      </w:r>
      <w:r w:rsidR="00DC1740">
        <w:rPr>
          <w:rFonts w:ascii="Times New Roman" w:eastAsia="Times New Roman" w:hAnsi="Times New Roman"/>
          <w:sz w:val="24"/>
          <w:szCs w:val="24"/>
        </w:rPr>
        <w:t>ж картата на бързите влакове)</w:t>
      </w:r>
      <w:r w:rsidR="00657BB0">
        <w:rPr>
          <w:rFonts w:ascii="Times New Roman" w:eastAsia="Times New Roman" w:hAnsi="Times New Roman"/>
          <w:sz w:val="24"/>
          <w:szCs w:val="24"/>
        </w:rPr>
        <w:t>;</w:t>
      </w:r>
    </w:p>
    <w:p w14:paraId="7EB45BB1" w14:textId="77777777" w:rsidR="00C8489C" w:rsidRDefault="00C8489C" w:rsidP="00657BB0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Пътнически влакове (с маршрут до 200 км в посока и обслужващи всички гари и спирки по маршрута)</w:t>
      </w:r>
      <w:r w:rsidR="00654052">
        <w:rPr>
          <w:rFonts w:ascii="Times New Roman" w:eastAsia="Times New Roman" w:hAnsi="Times New Roman"/>
          <w:sz w:val="24"/>
          <w:szCs w:val="24"/>
        </w:rPr>
        <w:t>. Този пазарен сегмент понастоящем се изпълнява. Предвижда се оптимизирането му, във връзка с разделянето на обема на</w:t>
      </w:r>
      <w:r w:rsidR="00657BB0">
        <w:rPr>
          <w:rFonts w:ascii="Times New Roman" w:eastAsia="Times New Roman" w:hAnsi="Times New Roman"/>
          <w:sz w:val="24"/>
          <w:szCs w:val="24"/>
        </w:rPr>
        <w:t xml:space="preserve"> лотове</w:t>
      </w:r>
      <w:r w:rsidR="00DC1740">
        <w:rPr>
          <w:rFonts w:ascii="Times New Roman" w:eastAsia="Times New Roman" w:hAnsi="Times New Roman"/>
          <w:sz w:val="24"/>
          <w:szCs w:val="24"/>
        </w:rPr>
        <w:t xml:space="preserve"> (Виж картата на регионалните и крайградските пътнически влакове)</w:t>
      </w:r>
      <w:r w:rsidR="00657BB0">
        <w:rPr>
          <w:rFonts w:ascii="Times New Roman" w:eastAsia="Times New Roman" w:hAnsi="Times New Roman"/>
          <w:sz w:val="24"/>
          <w:szCs w:val="24"/>
        </w:rPr>
        <w:t>;</w:t>
      </w:r>
    </w:p>
    <w:p w14:paraId="682EA144" w14:textId="77777777" w:rsidR="00C8489C" w:rsidRDefault="00C8489C" w:rsidP="00657BB0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Крайградски пътнически влакове (с маршрут до 100 км в посока и обслужващи крайградските зони на административно-икономическите центрове)</w:t>
      </w:r>
      <w:r w:rsidR="00654052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hAnsi="Times New Roman"/>
          <w:noProof/>
          <w:lang w:eastAsia="bg-BG"/>
        </w:rPr>
        <w:t xml:space="preserve"> </w:t>
      </w:r>
      <w:r w:rsidR="00654052">
        <w:rPr>
          <w:rFonts w:ascii="Times New Roman" w:eastAsia="Times New Roman" w:hAnsi="Times New Roman"/>
          <w:sz w:val="24"/>
          <w:szCs w:val="24"/>
        </w:rPr>
        <w:t xml:space="preserve">Този пазарен сегмент </w:t>
      </w:r>
      <w:r w:rsidR="00654052">
        <w:rPr>
          <w:rFonts w:ascii="Times New Roman" w:eastAsia="Times New Roman" w:hAnsi="Times New Roman"/>
          <w:sz w:val="24"/>
          <w:szCs w:val="24"/>
        </w:rPr>
        <w:lastRenderedPageBreak/>
        <w:t>понастоящем се изпълнява. Предвижда се оптимизирането му, във връзка с разделянето на</w:t>
      </w:r>
      <w:r w:rsidR="00657BB0">
        <w:rPr>
          <w:rFonts w:ascii="Times New Roman" w:eastAsia="Times New Roman" w:hAnsi="Times New Roman"/>
          <w:sz w:val="24"/>
          <w:szCs w:val="24"/>
        </w:rPr>
        <w:t xml:space="preserve"> обема на лотове</w:t>
      </w:r>
      <w:r w:rsidR="00DC1740">
        <w:rPr>
          <w:rFonts w:ascii="Times New Roman" w:eastAsia="Times New Roman" w:hAnsi="Times New Roman"/>
          <w:sz w:val="24"/>
          <w:szCs w:val="24"/>
        </w:rPr>
        <w:t xml:space="preserve"> </w:t>
      </w:r>
      <w:r w:rsidR="00DC1740" w:rsidRPr="00DC1740">
        <w:rPr>
          <w:rFonts w:ascii="Times New Roman" w:eastAsia="Times New Roman" w:hAnsi="Times New Roman"/>
          <w:sz w:val="24"/>
          <w:szCs w:val="24"/>
        </w:rPr>
        <w:t>(Виж картата на регионалните и крайградските пътнически влакове)</w:t>
      </w:r>
      <w:r w:rsidR="00657BB0">
        <w:rPr>
          <w:rFonts w:ascii="Times New Roman" w:eastAsia="Times New Roman" w:hAnsi="Times New Roman"/>
          <w:sz w:val="24"/>
          <w:szCs w:val="24"/>
        </w:rPr>
        <w:t>;</w:t>
      </w:r>
    </w:p>
    <w:p w14:paraId="5FED933B" w14:textId="77777777" w:rsidR="00C8489C" w:rsidRDefault="00C8489C" w:rsidP="00657BB0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Международни влакове (с минимум първа и втора класа, с резервация на всички места, с маршрут, който пресича държавната граница на Република България и обслужващи част от гарите и спирките по маршрута в страната)</w:t>
      </w:r>
      <w:r w:rsidR="00654052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hAnsi="Times New Roman"/>
          <w:noProof/>
          <w:lang w:eastAsia="bg-BG"/>
        </w:rPr>
        <w:t xml:space="preserve"> </w:t>
      </w:r>
      <w:r w:rsidR="00654052">
        <w:rPr>
          <w:rFonts w:ascii="Times New Roman" w:eastAsia="Times New Roman" w:hAnsi="Times New Roman"/>
          <w:sz w:val="24"/>
          <w:szCs w:val="24"/>
        </w:rPr>
        <w:t>Този пазарен сегмент понастоящем се изпълнява</w:t>
      </w:r>
      <w:r w:rsidR="00DC1740">
        <w:rPr>
          <w:rFonts w:ascii="Times New Roman" w:eastAsia="Times New Roman" w:hAnsi="Times New Roman"/>
          <w:sz w:val="24"/>
          <w:szCs w:val="24"/>
        </w:rPr>
        <w:t xml:space="preserve"> – на българска територия в състава на влаковете се включват допълнителни вагони, които превозват пътници в рамките на страната</w:t>
      </w:r>
      <w:r w:rsidR="00654052">
        <w:rPr>
          <w:rFonts w:ascii="Times New Roman" w:eastAsia="Times New Roman" w:hAnsi="Times New Roman"/>
          <w:sz w:val="24"/>
          <w:szCs w:val="24"/>
        </w:rPr>
        <w:t>. Предвижда се запазването му и прецизиране на начина на покриване на нетния финансов ефект от изпълнениет</w:t>
      </w:r>
      <w:r w:rsidR="00657BB0">
        <w:rPr>
          <w:rFonts w:ascii="Times New Roman" w:eastAsia="Times New Roman" w:hAnsi="Times New Roman"/>
          <w:sz w:val="24"/>
          <w:szCs w:val="24"/>
        </w:rPr>
        <w:t>о му на територията на страната</w:t>
      </w:r>
      <w:r w:rsidR="00DC1740">
        <w:rPr>
          <w:rFonts w:ascii="Times New Roman" w:eastAsia="Times New Roman" w:hAnsi="Times New Roman"/>
          <w:sz w:val="24"/>
          <w:szCs w:val="24"/>
        </w:rPr>
        <w:t xml:space="preserve"> (Виж картата на международните влакове)</w:t>
      </w:r>
      <w:r w:rsidR="00657BB0">
        <w:rPr>
          <w:rFonts w:ascii="Times New Roman" w:eastAsia="Times New Roman" w:hAnsi="Times New Roman"/>
          <w:sz w:val="24"/>
          <w:szCs w:val="24"/>
        </w:rPr>
        <w:t>;</w:t>
      </w:r>
    </w:p>
    <w:p w14:paraId="38361CFE" w14:textId="77777777" w:rsidR="00C8489C" w:rsidRDefault="00C8489C" w:rsidP="00C8489C">
      <w:pPr>
        <w:tabs>
          <w:tab w:val="left" w:pos="1134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Нощни влакове (с минимум първа и втора класа, с резервация на всички места, предлагащи условия, включващи легла и/или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кушети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за преспиване, с маршрут над 100 км, който пресича или не пресича държавната граница на Република България и обслужващи част от гарите и спирките по маршрута в страната, с разписание в два последователни календарни дни)</w:t>
      </w:r>
      <w:r w:rsidR="00654052">
        <w:rPr>
          <w:rFonts w:ascii="Times New Roman" w:eastAsia="Times New Roman" w:hAnsi="Times New Roman"/>
          <w:sz w:val="24"/>
          <w:szCs w:val="24"/>
        </w:rPr>
        <w:t>. Този пазарен сегмент понастоящем се изпълнява. Предвижда се запазването му</w:t>
      </w:r>
      <w:r w:rsidR="00DC1740">
        <w:rPr>
          <w:rFonts w:ascii="Times New Roman" w:eastAsia="Times New Roman" w:hAnsi="Times New Roman"/>
          <w:sz w:val="24"/>
          <w:szCs w:val="24"/>
        </w:rPr>
        <w:t xml:space="preserve"> (Виж картата на нощните влакове)</w:t>
      </w:r>
      <w:r w:rsidR="00654052">
        <w:rPr>
          <w:rFonts w:ascii="Times New Roman" w:eastAsia="Times New Roman" w:hAnsi="Times New Roman"/>
          <w:sz w:val="24"/>
          <w:szCs w:val="24"/>
        </w:rPr>
        <w:t>.</w:t>
      </w:r>
    </w:p>
    <w:p w14:paraId="0F031EF5" w14:textId="77777777" w:rsidR="001E4A8F" w:rsidRPr="00587099" w:rsidRDefault="00587099" w:rsidP="00D51F17">
      <w:pPr>
        <w:tabs>
          <w:tab w:val="left" w:pos="1134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7099">
        <w:rPr>
          <w:rFonts w:ascii="Times New Roman" w:hAnsi="Times New Roman" w:cs="Times New Roman"/>
          <w:b/>
          <w:sz w:val="24"/>
          <w:szCs w:val="24"/>
          <w:u w:val="single"/>
        </w:rPr>
        <w:t xml:space="preserve">5. </w:t>
      </w:r>
      <w:r w:rsidR="00602D3C" w:rsidRPr="00587099">
        <w:rPr>
          <w:rFonts w:ascii="Times New Roman" w:hAnsi="Times New Roman" w:cs="Times New Roman"/>
          <w:b/>
          <w:sz w:val="24"/>
          <w:szCs w:val="24"/>
          <w:u w:val="single"/>
        </w:rPr>
        <w:t>Достъп до подвижен състав</w:t>
      </w:r>
    </w:p>
    <w:p w14:paraId="05C758F3" w14:textId="77777777" w:rsidR="0031095E" w:rsidRPr="0084544D" w:rsidRDefault="00E601DE" w:rsidP="008C240F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544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Предвижда се и</w:t>
      </w:r>
      <w:r w:rsidR="00C05632" w:rsidRPr="0084544D">
        <w:rPr>
          <w:rFonts w:ascii="Times New Roman" w:eastAsia="Times New Roman" w:hAnsi="Times New Roman" w:cs="Times New Roman"/>
          <w:sz w:val="24"/>
          <w:szCs w:val="24"/>
          <w:lang w:eastAsia="bg-BG"/>
        </w:rPr>
        <w:t>зпълнението на д</w:t>
      </w:r>
      <w:r w:rsidR="0031095E" w:rsidRPr="0084544D">
        <w:rPr>
          <w:rFonts w:ascii="Times New Roman" w:eastAsia="Times New Roman" w:hAnsi="Times New Roman" w:cs="Times New Roman"/>
          <w:sz w:val="24"/>
          <w:szCs w:val="24"/>
          <w:lang w:eastAsia="bg-BG"/>
        </w:rPr>
        <w:t>оговорите</w:t>
      </w:r>
      <w:r w:rsidR="00C05632" w:rsidRPr="008454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84544D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  <w:r w:rsidR="00C05632" w:rsidRPr="008454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бъде осигурено чрез собствен и/или нает подвижен железопътен състав, както и с </w:t>
      </w:r>
      <w:r w:rsidRPr="0084544D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подвижен състав</w:t>
      </w:r>
      <w:r w:rsidR="00C05632" w:rsidRPr="0084544D">
        <w:rPr>
          <w:rFonts w:ascii="Times New Roman" w:eastAsia="Times New Roman" w:hAnsi="Times New Roman" w:cs="Times New Roman"/>
          <w:sz w:val="24"/>
          <w:szCs w:val="24"/>
          <w:lang w:eastAsia="bg-BG"/>
        </w:rPr>
        <w:t>, предоставен от държавата.</w:t>
      </w:r>
      <w:r w:rsidR="0031095E" w:rsidRPr="008454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4BAC21BE" w14:textId="77777777" w:rsidR="001C5CED" w:rsidRPr="0084544D" w:rsidRDefault="001C5CED" w:rsidP="008C240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44D">
        <w:rPr>
          <w:rFonts w:ascii="Times New Roman" w:hAnsi="Times New Roman" w:cs="Times New Roman"/>
          <w:sz w:val="24"/>
          <w:szCs w:val="24"/>
        </w:rPr>
        <w:t xml:space="preserve">Подвижният състав, който ще бъде предоставен на избраните </w:t>
      </w:r>
      <w:r w:rsidR="000857A7">
        <w:rPr>
          <w:rFonts w:ascii="Times New Roman" w:hAnsi="Times New Roman" w:cs="Times New Roman"/>
          <w:sz w:val="24"/>
          <w:szCs w:val="24"/>
        </w:rPr>
        <w:t>И</w:t>
      </w:r>
      <w:r w:rsidRPr="0084544D">
        <w:rPr>
          <w:rFonts w:ascii="Times New Roman" w:hAnsi="Times New Roman" w:cs="Times New Roman"/>
          <w:sz w:val="24"/>
          <w:szCs w:val="24"/>
        </w:rPr>
        <w:t>зпълнители за безвъзмездно ползване</w:t>
      </w:r>
      <w:r w:rsidR="001F3844" w:rsidRPr="0084544D">
        <w:rPr>
          <w:rFonts w:ascii="Times New Roman" w:hAnsi="Times New Roman" w:cs="Times New Roman"/>
          <w:sz w:val="24"/>
          <w:szCs w:val="24"/>
        </w:rPr>
        <w:t>,</w:t>
      </w:r>
      <w:r w:rsidRPr="0084544D">
        <w:rPr>
          <w:rFonts w:ascii="Times New Roman" w:hAnsi="Times New Roman" w:cs="Times New Roman"/>
          <w:sz w:val="24"/>
          <w:szCs w:val="24"/>
        </w:rPr>
        <w:t xml:space="preserve"> </w:t>
      </w:r>
      <w:r w:rsidR="004D7884" w:rsidRPr="0084544D">
        <w:rPr>
          <w:rFonts w:ascii="Times New Roman" w:hAnsi="Times New Roman" w:cs="Times New Roman"/>
          <w:sz w:val="24"/>
          <w:szCs w:val="24"/>
        </w:rPr>
        <w:t>щ</w:t>
      </w:r>
      <w:r w:rsidRPr="0084544D">
        <w:rPr>
          <w:rFonts w:ascii="Times New Roman" w:hAnsi="Times New Roman" w:cs="Times New Roman"/>
          <w:sz w:val="24"/>
          <w:szCs w:val="24"/>
        </w:rPr>
        <w:t>е</w:t>
      </w:r>
      <w:r w:rsidR="004D7884" w:rsidRPr="0084544D">
        <w:rPr>
          <w:rFonts w:ascii="Times New Roman" w:hAnsi="Times New Roman" w:cs="Times New Roman"/>
          <w:sz w:val="24"/>
          <w:szCs w:val="24"/>
        </w:rPr>
        <w:t xml:space="preserve"> бъде</w:t>
      </w:r>
      <w:r w:rsidRPr="0084544D">
        <w:rPr>
          <w:rFonts w:ascii="Times New Roman" w:hAnsi="Times New Roman" w:cs="Times New Roman"/>
          <w:sz w:val="24"/>
          <w:szCs w:val="24"/>
        </w:rPr>
        <w:t xml:space="preserve"> определен пропорционално на обема на услугата, която ще </w:t>
      </w:r>
      <w:r w:rsidR="008E252B" w:rsidRPr="0084544D">
        <w:rPr>
          <w:rFonts w:ascii="Times New Roman" w:hAnsi="Times New Roman" w:cs="Times New Roman"/>
          <w:sz w:val="24"/>
          <w:szCs w:val="24"/>
        </w:rPr>
        <w:t xml:space="preserve">се </w:t>
      </w:r>
      <w:r w:rsidRPr="0084544D">
        <w:rPr>
          <w:rFonts w:ascii="Times New Roman" w:hAnsi="Times New Roman" w:cs="Times New Roman"/>
          <w:sz w:val="24"/>
          <w:szCs w:val="24"/>
        </w:rPr>
        <w:t>извършва за съответната обособена позиция, спрямо обема на обществената услуга за цялата страна.</w:t>
      </w:r>
    </w:p>
    <w:p w14:paraId="25974A18" w14:textId="77777777" w:rsidR="004D7884" w:rsidRDefault="007320B0" w:rsidP="008C240F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544D">
        <w:rPr>
          <w:rFonts w:ascii="Times New Roman" w:eastAsia="Times New Roman" w:hAnsi="Times New Roman" w:cs="Times New Roman"/>
          <w:sz w:val="24"/>
          <w:szCs w:val="24"/>
          <w:lang w:eastAsia="bg-BG"/>
        </w:rPr>
        <w:t>В съответствие с</w:t>
      </w:r>
      <w:r w:rsidR="00657B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член</w:t>
      </w:r>
      <w:r w:rsidR="0031095E" w:rsidRPr="008454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5а от Регламент 1370/2007 на избраните </w:t>
      </w:r>
      <w:r w:rsidR="000857A7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31095E" w:rsidRPr="0084544D">
        <w:rPr>
          <w:rFonts w:ascii="Times New Roman" w:eastAsia="Times New Roman" w:hAnsi="Times New Roman" w:cs="Times New Roman"/>
          <w:sz w:val="24"/>
          <w:szCs w:val="24"/>
          <w:lang w:eastAsia="bg-BG"/>
        </w:rPr>
        <w:t>зпълнители ще бъде осигурен достъп до подвижен състав</w:t>
      </w:r>
      <w:r w:rsidR="004D7884" w:rsidRPr="0084544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38024CEA" w14:textId="77777777" w:rsidR="00F57B6E" w:rsidRDefault="00F57B6E" w:rsidP="00F57B6E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Подвижният състав, който се предвижда да бъде осигурен по Националния план за възстановяване и устойчивост е:</w:t>
      </w:r>
    </w:p>
    <w:p w14:paraId="4B4D90D0" w14:textId="77777777" w:rsidR="00F808CC" w:rsidRPr="0084544D" w:rsidRDefault="00F808CC" w:rsidP="00F57B6E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Style w:val="TableGrid"/>
        <w:tblW w:w="9017" w:type="dxa"/>
        <w:jc w:val="center"/>
        <w:tblLook w:val="04A0" w:firstRow="1" w:lastRow="0" w:firstColumn="1" w:lastColumn="0" w:noHBand="0" w:noVBand="1"/>
      </w:tblPr>
      <w:tblGrid>
        <w:gridCol w:w="1413"/>
        <w:gridCol w:w="1959"/>
        <w:gridCol w:w="1497"/>
        <w:gridCol w:w="1823"/>
        <w:gridCol w:w="2325"/>
      </w:tblGrid>
      <w:tr w:rsidR="0084544D" w:rsidRPr="0084544D" w14:paraId="7712F862" w14:textId="77777777" w:rsidTr="0042792F">
        <w:trPr>
          <w:jc w:val="center"/>
        </w:trPr>
        <w:tc>
          <w:tcPr>
            <w:tcW w:w="1413" w:type="dxa"/>
          </w:tcPr>
          <w:p w14:paraId="79B9534D" w14:textId="77777777" w:rsidR="004D7884" w:rsidRPr="0084544D" w:rsidRDefault="004D7884" w:rsidP="004D788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59" w:type="dxa"/>
          </w:tcPr>
          <w:p w14:paraId="55BDA5B6" w14:textId="77777777" w:rsidR="004D7884" w:rsidRPr="0084544D" w:rsidRDefault="004D7884" w:rsidP="00BD427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8454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Влаккилометри</w:t>
            </w:r>
            <w:proofErr w:type="spellEnd"/>
          </w:p>
        </w:tc>
        <w:tc>
          <w:tcPr>
            <w:tcW w:w="1497" w:type="dxa"/>
          </w:tcPr>
          <w:p w14:paraId="678B10F4" w14:textId="77777777" w:rsidR="004D7884" w:rsidRPr="0084544D" w:rsidRDefault="004D7884" w:rsidP="00BD427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454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ЕМВ</w:t>
            </w:r>
          </w:p>
        </w:tc>
        <w:tc>
          <w:tcPr>
            <w:tcW w:w="1823" w:type="dxa"/>
          </w:tcPr>
          <w:p w14:paraId="5D1658AD" w14:textId="77777777" w:rsidR="004D7884" w:rsidRPr="0084544D" w:rsidRDefault="004D7884" w:rsidP="00BD427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454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Маневрени локомотиви</w:t>
            </w:r>
          </w:p>
        </w:tc>
        <w:tc>
          <w:tcPr>
            <w:tcW w:w="2325" w:type="dxa"/>
          </w:tcPr>
          <w:p w14:paraId="3D54BE3D" w14:textId="77777777" w:rsidR="004D7884" w:rsidRPr="0084544D" w:rsidRDefault="004D7884" w:rsidP="00073FE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454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Пояснение</w:t>
            </w:r>
          </w:p>
        </w:tc>
      </w:tr>
      <w:tr w:rsidR="0084544D" w:rsidRPr="0084544D" w14:paraId="54FEEBAC" w14:textId="77777777" w:rsidTr="0042792F">
        <w:trPr>
          <w:jc w:val="center"/>
        </w:trPr>
        <w:tc>
          <w:tcPr>
            <w:tcW w:w="1413" w:type="dxa"/>
          </w:tcPr>
          <w:p w14:paraId="2DCFB9B8" w14:textId="77777777" w:rsidR="004D7884" w:rsidRPr="0084544D" w:rsidRDefault="004D7884" w:rsidP="00BD427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454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Общо</w:t>
            </w:r>
          </w:p>
        </w:tc>
        <w:tc>
          <w:tcPr>
            <w:tcW w:w="1959" w:type="dxa"/>
          </w:tcPr>
          <w:p w14:paraId="151493E6" w14:textId="77777777" w:rsidR="004D7884" w:rsidRPr="0084544D" w:rsidRDefault="00933072" w:rsidP="00BD427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Приблизително </w:t>
            </w:r>
            <w:r w:rsidR="00F57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23 </w:t>
            </w:r>
            <w:r w:rsidR="003C0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000</w:t>
            </w:r>
            <w:r w:rsidR="00F57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r w:rsidR="00DC17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000</w:t>
            </w:r>
          </w:p>
        </w:tc>
        <w:tc>
          <w:tcPr>
            <w:tcW w:w="1497" w:type="dxa"/>
          </w:tcPr>
          <w:p w14:paraId="517AA00B" w14:textId="77777777" w:rsidR="004D7884" w:rsidRPr="0084544D" w:rsidRDefault="00E31AA5" w:rsidP="00073FE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454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60</w:t>
            </w:r>
            <w:r w:rsidR="004D7884" w:rsidRPr="008454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бр.</w:t>
            </w:r>
          </w:p>
        </w:tc>
        <w:tc>
          <w:tcPr>
            <w:tcW w:w="1823" w:type="dxa"/>
          </w:tcPr>
          <w:p w14:paraId="685A9664" w14:textId="77777777" w:rsidR="004D7884" w:rsidRPr="0084544D" w:rsidRDefault="004D7884" w:rsidP="00073FE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454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9 бр.</w:t>
            </w:r>
          </w:p>
        </w:tc>
        <w:tc>
          <w:tcPr>
            <w:tcW w:w="2325" w:type="dxa"/>
          </w:tcPr>
          <w:p w14:paraId="764876B5" w14:textId="77777777" w:rsidR="004D7884" w:rsidRPr="001A679B" w:rsidRDefault="004D7884" w:rsidP="00073FE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67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Приблизително по </w:t>
            </w:r>
            <w:r w:rsidR="00073FEB" w:rsidRPr="001A67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2,6</w:t>
            </w:r>
            <w:r w:rsidRPr="001A67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ЕМВ и 0,4 локомотиви на 1 млн. </w:t>
            </w:r>
            <w:proofErr w:type="spellStart"/>
            <w:r w:rsidRPr="001A67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влаккилометра</w:t>
            </w:r>
            <w:proofErr w:type="spellEnd"/>
          </w:p>
        </w:tc>
      </w:tr>
    </w:tbl>
    <w:p w14:paraId="52A4114E" w14:textId="77777777" w:rsidR="00B263C7" w:rsidRPr="0084544D" w:rsidRDefault="00B263C7" w:rsidP="008C240F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263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закупения подвижен състав съгласно Договор № Д-30/04.09.2024 г. за доставка на 20 броя едноетажни </w:t>
      </w:r>
      <w:proofErr w:type="spellStart"/>
      <w:r w:rsidRPr="00B263C7">
        <w:rPr>
          <w:rFonts w:ascii="Times New Roman" w:eastAsia="Times New Roman" w:hAnsi="Times New Roman" w:cs="Times New Roman"/>
          <w:sz w:val="24"/>
          <w:szCs w:val="24"/>
          <w:lang w:eastAsia="bg-BG"/>
        </w:rPr>
        <w:t>нулевоемисионни</w:t>
      </w:r>
      <w:proofErr w:type="spellEnd"/>
      <w:r w:rsidRPr="00B263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електрически </w:t>
      </w:r>
      <w:proofErr w:type="spellStart"/>
      <w:r w:rsidRPr="00B263C7">
        <w:rPr>
          <w:rFonts w:ascii="Times New Roman" w:eastAsia="Times New Roman" w:hAnsi="Times New Roman" w:cs="Times New Roman"/>
          <w:sz w:val="24"/>
          <w:szCs w:val="24"/>
          <w:lang w:eastAsia="bg-BG"/>
        </w:rPr>
        <w:t>мотрисни</w:t>
      </w:r>
      <w:proofErr w:type="spellEnd"/>
      <w:r w:rsidRPr="00B263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влака, както и Допълнително споразумение към него ДС-12/7.11.2024 г. за доставка на още 5 броя едноетажни </w:t>
      </w:r>
      <w:proofErr w:type="spellStart"/>
      <w:r w:rsidRPr="00B263C7">
        <w:rPr>
          <w:rFonts w:ascii="Times New Roman" w:eastAsia="Times New Roman" w:hAnsi="Times New Roman" w:cs="Times New Roman"/>
          <w:sz w:val="24"/>
          <w:szCs w:val="24"/>
          <w:lang w:eastAsia="bg-BG"/>
        </w:rPr>
        <w:t>нулевоемисионни</w:t>
      </w:r>
      <w:proofErr w:type="spellEnd"/>
      <w:r w:rsidRPr="00B263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електрически </w:t>
      </w:r>
      <w:proofErr w:type="spellStart"/>
      <w:r w:rsidRPr="00B263C7">
        <w:rPr>
          <w:rFonts w:ascii="Times New Roman" w:eastAsia="Times New Roman" w:hAnsi="Times New Roman" w:cs="Times New Roman"/>
          <w:sz w:val="24"/>
          <w:szCs w:val="24"/>
          <w:lang w:eastAsia="bg-BG"/>
        </w:rPr>
        <w:t>мотрисни</w:t>
      </w:r>
      <w:proofErr w:type="spellEnd"/>
      <w:r w:rsidRPr="00B263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263C7">
        <w:rPr>
          <w:rFonts w:ascii="Times New Roman" w:eastAsia="Times New Roman" w:hAnsi="Times New Roman" w:cs="Times New Roman"/>
          <w:sz w:val="24"/>
          <w:szCs w:val="24"/>
          <w:lang w:eastAsia="bg-BG"/>
        </w:rPr>
        <w:t>влака,Договор</w:t>
      </w:r>
      <w:proofErr w:type="spellEnd"/>
      <w:r w:rsidRPr="00B263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№ Д-4/22.02.2024 за доставка на 9 броя електрически маневрени локомотиви и Договор № Д-9/25.04.2025 г. за доставка на 35 броя </w:t>
      </w:r>
      <w:proofErr w:type="spellStart"/>
      <w:r w:rsidRPr="00B263C7">
        <w:rPr>
          <w:rFonts w:ascii="Times New Roman" w:eastAsia="Times New Roman" w:hAnsi="Times New Roman" w:cs="Times New Roman"/>
          <w:sz w:val="24"/>
          <w:szCs w:val="24"/>
          <w:lang w:eastAsia="bg-BG"/>
        </w:rPr>
        <w:t>нулевоемисионни</w:t>
      </w:r>
      <w:proofErr w:type="spellEnd"/>
      <w:r w:rsidRPr="00B263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електрически </w:t>
      </w:r>
      <w:proofErr w:type="spellStart"/>
      <w:r w:rsidRPr="00B263C7">
        <w:rPr>
          <w:rFonts w:ascii="Times New Roman" w:eastAsia="Times New Roman" w:hAnsi="Times New Roman" w:cs="Times New Roman"/>
          <w:sz w:val="24"/>
          <w:szCs w:val="24"/>
          <w:lang w:eastAsia="bg-BG"/>
        </w:rPr>
        <w:t>мотрисни</w:t>
      </w:r>
      <w:proofErr w:type="spellEnd"/>
      <w:r w:rsidRPr="00B263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влака, на избрания Изпълнител за всяка обособена позиция ще бъдат предоставени безвъзмездно за ползване съответен брой едноетажни </w:t>
      </w:r>
      <w:proofErr w:type="spellStart"/>
      <w:r w:rsidRPr="00B263C7">
        <w:rPr>
          <w:rFonts w:ascii="Times New Roman" w:eastAsia="Times New Roman" w:hAnsi="Times New Roman" w:cs="Times New Roman"/>
          <w:sz w:val="24"/>
          <w:szCs w:val="24"/>
          <w:lang w:eastAsia="bg-BG"/>
        </w:rPr>
        <w:t>нулевоемисионни</w:t>
      </w:r>
      <w:proofErr w:type="spellEnd"/>
      <w:r w:rsidRPr="00B263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електрически </w:t>
      </w:r>
      <w:proofErr w:type="spellStart"/>
      <w:r w:rsidRPr="00B263C7">
        <w:rPr>
          <w:rFonts w:ascii="Times New Roman" w:eastAsia="Times New Roman" w:hAnsi="Times New Roman" w:cs="Times New Roman"/>
          <w:sz w:val="24"/>
          <w:szCs w:val="24"/>
          <w:lang w:eastAsia="bg-BG"/>
        </w:rPr>
        <w:t>мотрисни</w:t>
      </w:r>
      <w:proofErr w:type="spellEnd"/>
      <w:r w:rsidRPr="00B263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влака и съответен брой електрически маневрени локомотиви за маневри в неелектрифицирани депа, пропорционално на обема на услугата, която извършва, спрямо обема на обществената превозна услуга за цялата страна. Срокът на доставка и регистрация на посочения подвижен състав е 31 август</w:t>
      </w:r>
      <w:r w:rsidR="002F10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263C7">
        <w:rPr>
          <w:rFonts w:ascii="Times New Roman" w:eastAsia="Times New Roman" w:hAnsi="Times New Roman" w:cs="Times New Roman"/>
          <w:sz w:val="24"/>
          <w:szCs w:val="24"/>
          <w:lang w:eastAsia="bg-BG"/>
        </w:rPr>
        <w:t>2026 г. (по Договор № Д-30/04.09.2024 г. и Договор № Д-4/22.02.2024) и 25 август 2027 г. (на Договор № Д-9/25.04.2025 г.), когато се планира да бъде предоставен на Изпълнителя по съответната обособена позиция. След изтичане на срока на договор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ите,</w:t>
      </w:r>
      <w:r w:rsidRPr="00B263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Изпълнител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ите</w:t>
      </w:r>
      <w:r w:rsidRPr="00B263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са</w:t>
      </w:r>
      <w:r w:rsidRPr="00B263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длъжн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Pr="00B263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 върн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ат</w:t>
      </w:r>
      <w:r w:rsidRPr="00B263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собственика подвижния състав в състоянието, в което е получен, като се вземе предвид нормалната амортизационна норма, за да може държавата да го предостави на следващи</w:t>
      </w:r>
      <w:r w:rsidR="000857A7">
        <w:rPr>
          <w:rFonts w:ascii="Times New Roman" w:eastAsia="Times New Roman" w:hAnsi="Times New Roman" w:cs="Times New Roman"/>
          <w:sz w:val="24"/>
          <w:szCs w:val="24"/>
          <w:lang w:eastAsia="bg-BG"/>
        </w:rPr>
        <w:t>те</w:t>
      </w:r>
      <w:r w:rsidRPr="00B263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Изпълнител</w:t>
      </w:r>
      <w:r w:rsidR="000857A7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Pr="00B263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обществена услуга.</w:t>
      </w:r>
    </w:p>
    <w:p w14:paraId="7B38C5C8" w14:textId="77777777" w:rsidR="002F10D0" w:rsidRDefault="004D7884" w:rsidP="00C52684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544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Подвижният железопътен състав, закупен с капиталов трансфер през срока на действие на настоящия договор, </w:t>
      </w:r>
      <w:r w:rsidR="003729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който ще бъде </w:t>
      </w:r>
      <w:r w:rsidRPr="008454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описан в </w:t>
      </w:r>
      <w:r w:rsidR="00372915"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Pr="00372915">
        <w:rPr>
          <w:rFonts w:ascii="Times New Roman" w:eastAsia="Times New Roman" w:hAnsi="Times New Roman" w:cs="Times New Roman"/>
          <w:sz w:val="24"/>
          <w:szCs w:val="24"/>
          <w:lang w:eastAsia="bg-BG"/>
        </w:rPr>
        <w:t>риложение към Т</w:t>
      </w:r>
      <w:r w:rsidR="009D03CC">
        <w:rPr>
          <w:rFonts w:ascii="Times New Roman" w:eastAsia="Times New Roman" w:hAnsi="Times New Roman" w:cs="Times New Roman"/>
          <w:sz w:val="24"/>
          <w:szCs w:val="24"/>
          <w:lang w:eastAsia="bg-BG"/>
        </w:rPr>
        <w:t>ехническ</w:t>
      </w:r>
      <w:r w:rsidR="00DA2283">
        <w:rPr>
          <w:rFonts w:ascii="Times New Roman" w:eastAsia="Times New Roman" w:hAnsi="Times New Roman" w:cs="Times New Roman"/>
          <w:sz w:val="24"/>
          <w:szCs w:val="24"/>
          <w:lang w:eastAsia="bg-BG"/>
        </w:rPr>
        <w:t>ите</w:t>
      </w:r>
      <w:r w:rsidR="009D03C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спецификаци</w:t>
      </w:r>
      <w:r w:rsidR="00DA2283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Pr="0084544D">
        <w:rPr>
          <w:rFonts w:ascii="Times New Roman" w:eastAsia="Times New Roman" w:hAnsi="Times New Roman" w:cs="Times New Roman"/>
          <w:sz w:val="24"/>
          <w:szCs w:val="24"/>
          <w:lang w:eastAsia="bg-BG"/>
        </w:rPr>
        <w:t>, при изразяване на желание от страна на избрани</w:t>
      </w:r>
      <w:r w:rsidR="009E690A">
        <w:rPr>
          <w:rFonts w:ascii="Times New Roman" w:eastAsia="Times New Roman" w:hAnsi="Times New Roman" w:cs="Times New Roman"/>
          <w:sz w:val="24"/>
          <w:szCs w:val="24"/>
          <w:lang w:eastAsia="bg-BG"/>
        </w:rPr>
        <w:t>те</w:t>
      </w:r>
      <w:r w:rsidRPr="008454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Изпълнител</w:t>
      </w:r>
      <w:r w:rsidR="009E690A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Pr="0084544D">
        <w:rPr>
          <w:rFonts w:ascii="Times New Roman" w:eastAsia="Times New Roman" w:hAnsi="Times New Roman" w:cs="Times New Roman"/>
          <w:sz w:val="24"/>
          <w:szCs w:val="24"/>
          <w:lang w:eastAsia="bg-BG"/>
        </w:rPr>
        <w:t>, ще бъде предоставен безвъзмездно за изпълнение на услугата.</w:t>
      </w:r>
      <w:r w:rsidR="00B263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2F10D0" w:rsidRPr="002F10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След доставката на подвижен състав с капиталов трансфер съгласно Договор № 03-43-218/18.12.2023 г. за доставка и гаранционна поддръжка на 10 броя </w:t>
      </w:r>
      <w:proofErr w:type="spellStart"/>
      <w:r w:rsidR="002F10D0" w:rsidRPr="002F10D0">
        <w:rPr>
          <w:rFonts w:ascii="Times New Roman" w:eastAsia="Times New Roman" w:hAnsi="Times New Roman" w:cs="Times New Roman"/>
          <w:sz w:val="24"/>
          <w:szCs w:val="24"/>
          <w:lang w:eastAsia="bg-BG"/>
        </w:rPr>
        <w:t>новопроизведени</w:t>
      </w:r>
      <w:proofErr w:type="spellEnd"/>
      <w:r w:rsidR="002F10D0" w:rsidRPr="002F10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магистрални електрически локомотиви, на избрания Изпълнител </w:t>
      </w:r>
      <w:r w:rsidR="000857A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всяка обособена позиция </w:t>
      </w:r>
      <w:r w:rsidR="002F10D0" w:rsidRPr="002F10D0">
        <w:rPr>
          <w:rFonts w:ascii="Times New Roman" w:eastAsia="Times New Roman" w:hAnsi="Times New Roman" w:cs="Times New Roman"/>
          <w:sz w:val="24"/>
          <w:szCs w:val="24"/>
          <w:lang w:eastAsia="bg-BG"/>
        </w:rPr>
        <w:t>ще бъде предоставен за безвъзмездно ползване подвижен състав, пропорционално на обема на услугата, която извършва спрямо обема на обществената услуга за цялата страна. Новият подвижен състав</w:t>
      </w:r>
      <w:r w:rsidR="002F10D0" w:rsidRPr="002F10D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="002F10D0" w:rsidRPr="002F10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ще бъде тестван и в експлоатационна готовност до </w:t>
      </w:r>
      <w:r w:rsidR="002F10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м. </w:t>
      </w:r>
      <w:r w:rsidR="002F10D0" w:rsidRPr="002F10D0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декември 2025 г.</w:t>
      </w:r>
      <w:r w:rsidR="002F10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4C0891CD" w14:textId="77777777" w:rsidR="008878AB" w:rsidRPr="008878AB" w:rsidRDefault="008878AB" w:rsidP="008878AB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78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предоставяне </w:t>
      </w:r>
      <w:r w:rsidRPr="008878A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на </w:t>
      </w:r>
      <w:proofErr w:type="spellStart"/>
      <w:r w:rsidRPr="008878A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новозакупен</w:t>
      </w:r>
      <w:proofErr w:type="spellEnd"/>
      <w:r w:rsidRPr="008878A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подвижен състав и закупен с капиталов трансфер през време на действие на настоящия договор подвижен състав, </w:t>
      </w:r>
      <w:r w:rsidRPr="008878AB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Изпълнител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ите</w:t>
      </w:r>
      <w:r w:rsidRPr="008878A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поема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т</w:t>
      </w:r>
      <w:r w:rsidRPr="008878A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задължение да го използва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т</w:t>
      </w:r>
      <w:r w:rsidRPr="008878A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само за извършване на възложените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им</w:t>
      </w:r>
      <w:r w:rsidRPr="008878A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превозни услуги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  <w:r w:rsidRPr="008878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52684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 изтичане на срока на договорите, Изпълнителите са длъжни да върнат на собственика подвижния състав в състоянието, в което е получен, като се вземе предвид нормалната амортизационна норма, за да може държавата да го предостави на следващите Изпълнители на обществена услуга.</w:t>
      </w:r>
    </w:p>
    <w:p w14:paraId="7FCE40F5" w14:textId="77777777" w:rsidR="00C52684" w:rsidRPr="00C52684" w:rsidRDefault="00C52684" w:rsidP="00C52684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2684">
        <w:rPr>
          <w:rFonts w:ascii="Times New Roman" w:eastAsia="Times New Roman" w:hAnsi="Times New Roman" w:cs="Times New Roman"/>
          <w:sz w:val="24"/>
          <w:szCs w:val="24"/>
          <w:lang w:eastAsia="bg-BG"/>
        </w:rPr>
        <w:t>По</w:t>
      </w:r>
      <w:r w:rsidRPr="00C5268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C52684">
        <w:rPr>
          <w:rFonts w:ascii="Times New Roman" w:eastAsia="Times New Roman" w:hAnsi="Times New Roman" w:cs="Times New Roman"/>
          <w:sz w:val="24"/>
          <w:szCs w:val="24"/>
          <w:lang w:eastAsia="bg-BG"/>
        </w:rPr>
        <w:t>отношение на подвижния състав, който е собственост на досегашния превозвач и е придобит преди влизането в сила на Регламент (ЕО) № 1370/2007, новоизбранит</w:t>
      </w:r>
      <w:r w:rsidR="000857A7"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Pr="00C526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0857A7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Pr="00C52684">
        <w:rPr>
          <w:rFonts w:ascii="Times New Roman" w:eastAsia="Times New Roman" w:hAnsi="Times New Roman" w:cs="Times New Roman"/>
          <w:sz w:val="24"/>
          <w:szCs w:val="24"/>
          <w:lang w:eastAsia="bg-BG"/>
        </w:rPr>
        <w:t>зпълнител</w:t>
      </w:r>
      <w:r w:rsidR="000857A7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Pr="00C526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ще има</w:t>
      </w:r>
      <w:r w:rsidR="000857A7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Pr="00C526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възможност да го закуп</w:t>
      </w:r>
      <w:r w:rsidR="000857A7">
        <w:rPr>
          <w:rFonts w:ascii="Times New Roman" w:eastAsia="Times New Roman" w:hAnsi="Times New Roman" w:cs="Times New Roman"/>
          <w:sz w:val="24"/>
          <w:szCs w:val="24"/>
          <w:lang w:eastAsia="bg-BG"/>
        </w:rPr>
        <w:t>ят</w:t>
      </w:r>
      <w:r w:rsidRPr="00C526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или наем</w:t>
      </w:r>
      <w:r w:rsidR="000857A7">
        <w:rPr>
          <w:rFonts w:ascii="Times New Roman" w:eastAsia="Times New Roman" w:hAnsi="Times New Roman" w:cs="Times New Roman"/>
          <w:sz w:val="24"/>
          <w:szCs w:val="24"/>
          <w:lang w:eastAsia="bg-BG"/>
        </w:rPr>
        <w:t>ат</w:t>
      </w:r>
      <w:r w:rsidRPr="00C526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пазарна цена. Пазарната цена ще бъде не по-ниска от определената от независим оценител, намалена с всяка сума на компенсация от държавата, предоставена на настоящия превозвач под формата на субсидия за компенсиране на задължението за превоз на пътници и/или капиталов трансфер, получена от него във връзка със съответния подвижен състав. Настоящият </w:t>
      </w:r>
      <w:r w:rsidR="000857A7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Pr="00C52684">
        <w:rPr>
          <w:rFonts w:ascii="Times New Roman" w:eastAsia="Times New Roman" w:hAnsi="Times New Roman" w:cs="Times New Roman"/>
          <w:sz w:val="24"/>
          <w:szCs w:val="24"/>
          <w:lang w:eastAsia="bg-BG"/>
        </w:rPr>
        <w:t>зпълнител подготвя процедура за избор на независим оценител, който да изготви оценка на подвижния състав, която ще бъде надлежно обявена преди началото на тръжната процедура – и ще бъде част от тръжната документация.</w:t>
      </w:r>
    </w:p>
    <w:p w14:paraId="269EEEE4" w14:textId="77777777" w:rsidR="006767E7" w:rsidRPr="0084544D" w:rsidRDefault="006767E7" w:rsidP="006767E7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54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 доставката на новия подвижен състав </w:t>
      </w:r>
      <w:r w:rsidR="009E690A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Pr="0084544D">
        <w:rPr>
          <w:rFonts w:ascii="Times New Roman" w:eastAsia="Times New Roman" w:hAnsi="Times New Roman" w:cs="Times New Roman"/>
          <w:sz w:val="24"/>
          <w:szCs w:val="24"/>
          <w:lang w:eastAsia="bg-BG"/>
        </w:rPr>
        <w:t>зпълнителите ще организират изпълнението на услугата чрез собствен и/или нает подвижен железопътен състав, както и с подвижния състав, закупен до момента с капиталови трансфери и/или с подвижния състав, придобит преди влизането в сила на Регламент (ЕО) № 1370/2007.</w:t>
      </w:r>
      <w:r w:rsidR="00DC1740" w:rsidRPr="00DC1740">
        <w:t xml:space="preserve"> </w:t>
      </w:r>
      <w:r w:rsidR="00DC1740" w:rsidRPr="00DC17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отношение на подвижния състав на </w:t>
      </w:r>
      <w:r w:rsidR="009E690A">
        <w:rPr>
          <w:rFonts w:ascii="Times New Roman" w:eastAsia="Times New Roman" w:hAnsi="Times New Roman" w:cs="Times New Roman"/>
          <w:sz w:val="24"/>
          <w:szCs w:val="24"/>
          <w:lang w:eastAsia="bg-BG"/>
        </w:rPr>
        <w:t>настоящия</w:t>
      </w:r>
      <w:r w:rsidR="009E690A" w:rsidRPr="00DC17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263C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превозвач</w:t>
      </w:r>
      <w:r w:rsidR="00DC1740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DC1740" w:rsidRPr="00DC17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тръжната документация ще бъде предвидено достатъчно време </w:t>
      </w:r>
      <w:r w:rsidR="00DC1740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r w:rsidR="00DC1740" w:rsidRPr="00DC17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E690A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Изпълнителите</w:t>
      </w:r>
      <w:r w:rsidR="009E690A" w:rsidRPr="00DC17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C1740" w:rsidRPr="00DC1740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осигуряване на подвижния състав, необходим за извършване на услугите.</w:t>
      </w:r>
    </w:p>
    <w:p w14:paraId="3A3F6C48" w14:textId="77777777" w:rsidR="00587099" w:rsidRDefault="00BA4DE9" w:rsidP="00587099">
      <w:pPr>
        <w:tabs>
          <w:tab w:val="left" w:pos="1134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приложения към</w:t>
      </w:r>
      <w:r w:rsidR="00280CF7" w:rsidRPr="0084544D">
        <w:rPr>
          <w:rFonts w:ascii="Times New Roman" w:hAnsi="Times New Roman" w:cs="Times New Roman"/>
          <w:sz w:val="24"/>
          <w:szCs w:val="24"/>
        </w:rPr>
        <w:t xml:space="preserve"> техническите спецификации </w:t>
      </w:r>
      <w:r>
        <w:rPr>
          <w:rFonts w:ascii="Times New Roman" w:hAnsi="Times New Roman" w:cs="Times New Roman"/>
          <w:sz w:val="24"/>
          <w:szCs w:val="24"/>
        </w:rPr>
        <w:t>ще бъде включена пълна и подробна</w:t>
      </w:r>
      <w:r w:rsidR="00280CF7" w:rsidRPr="0084544D">
        <w:rPr>
          <w:rFonts w:ascii="Times New Roman" w:hAnsi="Times New Roman" w:cs="Times New Roman"/>
          <w:sz w:val="24"/>
          <w:szCs w:val="24"/>
        </w:rPr>
        <w:t xml:space="preserve"> информация за подвижния състав, закупен с капиталов трансфер през срока на действие на настоящия договор и за</w:t>
      </w:r>
      <w:r w:rsidR="00280CF7" w:rsidRPr="008454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0CF7" w:rsidRPr="0084544D">
        <w:rPr>
          <w:rFonts w:ascii="Times New Roman" w:hAnsi="Times New Roman" w:cs="Times New Roman"/>
          <w:sz w:val="24"/>
          <w:szCs w:val="24"/>
        </w:rPr>
        <w:t xml:space="preserve">подвижния състав, придобит преди влизането в сила на Регламент (ЕО) № 1370/2007, до който ще бъде осигурен </w:t>
      </w:r>
      <w:r w:rsidR="009D03CC">
        <w:rPr>
          <w:rFonts w:ascii="Times New Roman" w:hAnsi="Times New Roman" w:cs="Times New Roman"/>
          <w:sz w:val="24"/>
          <w:szCs w:val="24"/>
        </w:rPr>
        <w:t xml:space="preserve">недискриминационен </w:t>
      </w:r>
      <w:r w:rsidR="00280CF7" w:rsidRPr="0084544D">
        <w:rPr>
          <w:rFonts w:ascii="Times New Roman" w:hAnsi="Times New Roman" w:cs="Times New Roman"/>
          <w:sz w:val="24"/>
          <w:szCs w:val="24"/>
        </w:rPr>
        <w:t xml:space="preserve">достъп на избраните </w:t>
      </w:r>
      <w:r w:rsidR="00CF3E37" w:rsidRPr="0084544D">
        <w:rPr>
          <w:rFonts w:ascii="Times New Roman" w:hAnsi="Times New Roman" w:cs="Times New Roman"/>
          <w:sz w:val="24"/>
          <w:szCs w:val="24"/>
        </w:rPr>
        <w:t>И</w:t>
      </w:r>
      <w:r w:rsidR="00280CF7" w:rsidRPr="0084544D">
        <w:rPr>
          <w:rFonts w:ascii="Times New Roman" w:hAnsi="Times New Roman" w:cs="Times New Roman"/>
          <w:sz w:val="24"/>
          <w:szCs w:val="24"/>
        </w:rPr>
        <w:t>зпълнители</w:t>
      </w:r>
      <w:r w:rsidR="002A67B3" w:rsidRPr="0084544D">
        <w:rPr>
          <w:rFonts w:ascii="Times New Roman" w:hAnsi="Times New Roman" w:cs="Times New Roman"/>
          <w:sz w:val="24"/>
          <w:szCs w:val="24"/>
        </w:rPr>
        <w:t xml:space="preserve"> за изпълнение на услугата за съответната обособена позиция. Информацията </w:t>
      </w:r>
      <w:r>
        <w:rPr>
          <w:rFonts w:ascii="Times New Roman" w:hAnsi="Times New Roman" w:cs="Times New Roman"/>
          <w:sz w:val="24"/>
          <w:szCs w:val="24"/>
        </w:rPr>
        <w:t xml:space="preserve">ще </w:t>
      </w:r>
      <w:r w:rsidR="002A67B3" w:rsidRPr="0084544D">
        <w:rPr>
          <w:rFonts w:ascii="Times New Roman" w:hAnsi="Times New Roman" w:cs="Times New Roman"/>
          <w:sz w:val="24"/>
          <w:szCs w:val="24"/>
        </w:rPr>
        <w:t>включва</w:t>
      </w:r>
      <w:r w:rsidR="00280CF7" w:rsidRPr="0084544D">
        <w:rPr>
          <w:rFonts w:ascii="Times New Roman" w:hAnsi="Times New Roman" w:cs="Times New Roman"/>
          <w:sz w:val="24"/>
          <w:szCs w:val="24"/>
        </w:rPr>
        <w:t xml:space="preserve"> </w:t>
      </w:r>
      <w:r w:rsidR="002A67B3" w:rsidRPr="0084544D">
        <w:rPr>
          <w:rFonts w:ascii="Times New Roman" w:hAnsi="Times New Roman" w:cs="Times New Roman"/>
          <w:sz w:val="24"/>
          <w:szCs w:val="24"/>
        </w:rPr>
        <w:t xml:space="preserve">инвентарни номера </w:t>
      </w:r>
      <w:r w:rsidR="00280CF7" w:rsidRPr="0084544D">
        <w:rPr>
          <w:rFonts w:ascii="Times New Roman" w:hAnsi="Times New Roman" w:cs="Times New Roman"/>
          <w:sz w:val="24"/>
          <w:szCs w:val="24"/>
        </w:rPr>
        <w:t>на локомотивите/вагоните,</w:t>
      </w:r>
      <w:r w:rsidR="002A67B3" w:rsidRPr="0084544D">
        <w:rPr>
          <w:rFonts w:ascii="Times New Roman" w:hAnsi="Times New Roman" w:cs="Times New Roman"/>
          <w:sz w:val="24"/>
          <w:szCs w:val="24"/>
        </w:rPr>
        <w:t xml:space="preserve"> име</w:t>
      </w:r>
      <w:r w:rsidR="00280CF7" w:rsidRPr="0084544D">
        <w:rPr>
          <w:rFonts w:ascii="Times New Roman" w:hAnsi="Times New Roman" w:cs="Times New Roman"/>
          <w:sz w:val="24"/>
          <w:szCs w:val="24"/>
        </w:rPr>
        <w:t>, група, серия</w:t>
      </w:r>
      <w:r w:rsidR="002A67B3" w:rsidRPr="0084544D">
        <w:rPr>
          <w:rFonts w:ascii="Times New Roman" w:hAnsi="Times New Roman" w:cs="Times New Roman"/>
          <w:sz w:val="24"/>
          <w:szCs w:val="24"/>
        </w:rPr>
        <w:t xml:space="preserve">. </w:t>
      </w:r>
      <w:r w:rsidR="00295006" w:rsidRPr="0084544D">
        <w:rPr>
          <w:rFonts w:ascii="Times New Roman" w:hAnsi="Times New Roman" w:cs="Times New Roman"/>
          <w:sz w:val="24"/>
          <w:szCs w:val="24"/>
        </w:rPr>
        <w:t xml:space="preserve">В документацията ще бъде предвиден също така и ред за предоставяне на подвижния състав. </w:t>
      </w:r>
    </w:p>
    <w:p w14:paraId="2E29DCA0" w14:textId="77777777" w:rsidR="007F2D9D" w:rsidRPr="00587099" w:rsidRDefault="00587099" w:rsidP="00587099">
      <w:pPr>
        <w:tabs>
          <w:tab w:val="left" w:pos="1134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7099">
        <w:rPr>
          <w:rFonts w:ascii="Times New Roman" w:hAnsi="Times New Roman" w:cs="Times New Roman"/>
          <w:b/>
          <w:sz w:val="24"/>
          <w:szCs w:val="24"/>
          <w:u w:val="single"/>
        </w:rPr>
        <w:t xml:space="preserve">6. </w:t>
      </w:r>
      <w:r w:rsidR="00046031" w:rsidRPr="00587099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Достъп до материална база за ремонт, поддържане и експлоатация </w:t>
      </w:r>
    </w:p>
    <w:p w14:paraId="1701B122" w14:textId="77777777" w:rsidR="006767E7" w:rsidRDefault="007A13BA" w:rsidP="008C240F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544D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изпълнение на задължението за превоз, на избрани</w:t>
      </w:r>
      <w:r w:rsidR="003B054E">
        <w:rPr>
          <w:rFonts w:ascii="Times New Roman" w:eastAsia="Times New Roman" w:hAnsi="Times New Roman" w:cs="Times New Roman"/>
          <w:sz w:val="24"/>
          <w:szCs w:val="24"/>
          <w:lang w:eastAsia="bg-BG"/>
        </w:rPr>
        <w:t>те</w:t>
      </w:r>
      <w:r w:rsidRPr="008454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F3E37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CF3E37" w:rsidRPr="0084544D">
        <w:rPr>
          <w:rFonts w:ascii="Times New Roman" w:eastAsia="Times New Roman" w:hAnsi="Times New Roman" w:cs="Times New Roman"/>
          <w:sz w:val="24"/>
          <w:szCs w:val="24"/>
          <w:lang w:eastAsia="bg-BG"/>
        </w:rPr>
        <w:t>зпълнител</w:t>
      </w:r>
      <w:r w:rsidR="00CF3E37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CF3E37" w:rsidRPr="008454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84544D">
        <w:rPr>
          <w:rFonts w:ascii="Times New Roman" w:eastAsia="Times New Roman" w:hAnsi="Times New Roman" w:cs="Times New Roman"/>
          <w:sz w:val="24"/>
          <w:szCs w:val="24"/>
          <w:lang w:eastAsia="bg-BG"/>
        </w:rPr>
        <w:t>ще бъде осигурен равнопоставен и недискриминационен достъп до материални бази за ремонт, поддържане и експлоатация на подвижния състав</w:t>
      </w:r>
      <w:r w:rsidR="006767E7" w:rsidRPr="0084544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36F51202" w14:textId="77777777" w:rsidR="0036575E" w:rsidRDefault="008878AB" w:rsidP="0036575E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</w:t>
      </w:r>
      <w:r w:rsidRPr="008878A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случай че избраният Изпълнител </w:t>
      </w:r>
      <w:r w:rsidR="00EB591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по съответната обособена позиция </w:t>
      </w:r>
      <w:r w:rsidRPr="008878A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не разполага със собствена сервизна база за техническа поддръжка на подвижния състав, същият е задължен към ефективната дата на изпълнението на договора да осигури сервизна база за изпълнение на задължението за поддръжка.</w:t>
      </w:r>
      <w:r w:rsidRPr="008878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6575E" w:rsidRPr="00F808C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 избраните Изпълнители ще се предостави възможност да наемат на пазарна цена, не по-ниска от определената от независим оценител, описаните в спецификацията бази.</w:t>
      </w:r>
    </w:p>
    <w:p w14:paraId="72C0BA74" w14:textId="77777777" w:rsidR="00F808CC" w:rsidRDefault="00F808CC" w:rsidP="0036575E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66BDEB46" w14:textId="77777777" w:rsidR="00F808CC" w:rsidRPr="0036575E" w:rsidRDefault="00F808CC" w:rsidP="0036575E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1EF7D571" w14:textId="77777777" w:rsidR="007F2D9D" w:rsidRPr="00587099" w:rsidRDefault="00587099" w:rsidP="00587099">
      <w:pPr>
        <w:tabs>
          <w:tab w:val="left" w:pos="993"/>
        </w:tabs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87099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 xml:space="preserve">7. </w:t>
      </w:r>
      <w:r>
        <w:rPr>
          <w:rFonts w:ascii="Times New Roman" w:hAnsi="Times New Roman" w:cs="Times New Roman"/>
          <w:b/>
          <w:sz w:val="24"/>
          <w:szCs w:val="24"/>
          <w:u w:val="single"/>
          <w14:ligatures w14:val="none"/>
        </w:rPr>
        <w:t>Гар</w:t>
      </w:r>
      <w:r w:rsidR="00A8206D" w:rsidRPr="00587099">
        <w:rPr>
          <w:rFonts w:ascii="Times New Roman" w:hAnsi="Times New Roman" w:cs="Times New Roman"/>
          <w:b/>
          <w:sz w:val="24"/>
          <w:szCs w:val="24"/>
          <w:u w:val="single"/>
          <w14:ligatures w14:val="none"/>
        </w:rPr>
        <w:t xml:space="preserve">антиране правата на заетите лица </w:t>
      </w:r>
    </w:p>
    <w:p w14:paraId="24C410F1" w14:textId="77777777" w:rsidR="0092494E" w:rsidRPr="0084544D" w:rsidRDefault="003B054E" w:rsidP="008C240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63DD9" w:rsidRPr="0084544D">
        <w:rPr>
          <w:rFonts w:ascii="Times New Roman" w:hAnsi="Times New Roman" w:cs="Times New Roman"/>
          <w:sz w:val="24"/>
          <w:szCs w:val="24"/>
        </w:rPr>
        <w:t xml:space="preserve"> рамките на процедура</w:t>
      </w:r>
      <w:r w:rsidR="00840F80" w:rsidRPr="0084544D">
        <w:rPr>
          <w:rFonts w:ascii="Times New Roman" w:hAnsi="Times New Roman" w:cs="Times New Roman"/>
          <w:sz w:val="24"/>
          <w:szCs w:val="24"/>
        </w:rPr>
        <w:t>та</w:t>
      </w:r>
      <w:r w:rsidR="00E63DD9" w:rsidRPr="00845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ще</w:t>
      </w:r>
      <w:r w:rsidR="00E63DD9" w:rsidRPr="0084544D">
        <w:rPr>
          <w:rFonts w:ascii="Times New Roman" w:hAnsi="Times New Roman" w:cs="Times New Roman"/>
          <w:sz w:val="24"/>
          <w:szCs w:val="24"/>
        </w:rPr>
        <w:t xml:space="preserve"> бъде осигурено</w:t>
      </w:r>
      <w:r w:rsidR="00773519" w:rsidRPr="0084544D">
        <w:rPr>
          <w:rFonts w:ascii="Times New Roman" w:hAnsi="Times New Roman" w:cs="Times New Roman"/>
          <w:sz w:val="24"/>
          <w:szCs w:val="24"/>
        </w:rPr>
        <w:t xml:space="preserve"> адекватно равнище на социална закрила за персонала на </w:t>
      </w:r>
      <w:r w:rsidR="000857A7">
        <w:rPr>
          <w:rFonts w:ascii="Times New Roman" w:hAnsi="Times New Roman" w:cs="Times New Roman"/>
          <w:sz w:val="24"/>
          <w:szCs w:val="24"/>
        </w:rPr>
        <w:t>Изпълнителите</w:t>
      </w:r>
      <w:r w:rsidR="000857A7" w:rsidRPr="0084544D">
        <w:rPr>
          <w:rFonts w:ascii="Times New Roman" w:hAnsi="Times New Roman" w:cs="Times New Roman"/>
          <w:sz w:val="24"/>
          <w:szCs w:val="24"/>
        </w:rPr>
        <w:t xml:space="preserve"> </w:t>
      </w:r>
      <w:r w:rsidR="00773519" w:rsidRPr="0084544D">
        <w:rPr>
          <w:rFonts w:ascii="Times New Roman" w:hAnsi="Times New Roman" w:cs="Times New Roman"/>
          <w:sz w:val="24"/>
          <w:szCs w:val="24"/>
        </w:rPr>
        <w:t>на обществени услуги</w:t>
      </w:r>
      <w:r w:rsidR="00E63DD9" w:rsidRPr="0084544D">
        <w:rPr>
          <w:rFonts w:ascii="Times New Roman" w:hAnsi="Times New Roman" w:cs="Times New Roman"/>
          <w:sz w:val="24"/>
          <w:szCs w:val="24"/>
        </w:rPr>
        <w:t xml:space="preserve">, съгласно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63DD9" w:rsidRPr="0084544D">
        <w:rPr>
          <w:rFonts w:ascii="Times New Roman" w:hAnsi="Times New Roman" w:cs="Times New Roman"/>
          <w:sz w:val="24"/>
          <w:szCs w:val="24"/>
        </w:rPr>
        <w:t>ъображение 12 от Регламент (ЕС) 2016/233</w:t>
      </w:r>
      <w:r w:rsidR="004E79B0" w:rsidRPr="0084544D">
        <w:rPr>
          <w:rFonts w:ascii="Times New Roman" w:hAnsi="Times New Roman" w:cs="Times New Roman"/>
          <w:sz w:val="24"/>
          <w:szCs w:val="24"/>
        </w:rPr>
        <w:t>8</w:t>
      </w:r>
      <w:r w:rsidR="00057213" w:rsidRPr="0084544D">
        <w:rPr>
          <w:rFonts w:ascii="Times New Roman" w:hAnsi="Times New Roman" w:cs="Times New Roman"/>
          <w:sz w:val="24"/>
          <w:szCs w:val="24"/>
        </w:rPr>
        <w:t>.</w:t>
      </w:r>
      <w:r w:rsidR="00773519" w:rsidRPr="0084544D">
        <w:rPr>
          <w:rFonts w:ascii="Times New Roman" w:hAnsi="Times New Roman" w:cs="Times New Roman"/>
          <w:sz w:val="24"/>
          <w:szCs w:val="24"/>
        </w:rPr>
        <w:t xml:space="preserve"> </w:t>
      </w:r>
      <w:r w:rsidR="004A29B4" w:rsidRPr="0084544D">
        <w:rPr>
          <w:rFonts w:ascii="Times New Roman" w:hAnsi="Times New Roman" w:cs="Times New Roman"/>
          <w:sz w:val="24"/>
          <w:szCs w:val="24"/>
        </w:rPr>
        <w:t>И</w:t>
      </w:r>
      <w:r w:rsidR="0092494E" w:rsidRPr="0084544D">
        <w:rPr>
          <w:rFonts w:ascii="Times New Roman" w:hAnsi="Times New Roman" w:cs="Times New Roman"/>
          <w:sz w:val="24"/>
          <w:szCs w:val="24"/>
        </w:rPr>
        <w:t xml:space="preserve">збраните </w:t>
      </w:r>
      <w:r w:rsidR="00CF3E37">
        <w:rPr>
          <w:rFonts w:ascii="Times New Roman" w:hAnsi="Times New Roman" w:cs="Times New Roman"/>
          <w:sz w:val="24"/>
          <w:szCs w:val="24"/>
        </w:rPr>
        <w:t>И</w:t>
      </w:r>
      <w:r w:rsidR="00657CFD" w:rsidRPr="0084544D">
        <w:rPr>
          <w:rFonts w:ascii="Times New Roman" w:hAnsi="Times New Roman" w:cs="Times New Roman"/>
          <w:sz w:val="24"/>
          <w:szCs w:val="24"/>
        </w:rPr>
        <w:t>зпълнители</w:t>
      </w:r>
      <w:r w:rsidR="004A29B4" w:rsidRPr="0084544D">
        <w:rPr>
          <w:rFonts w:ascii="Times New Roman" w:hAnsi="Times New Roman" w:cs="Times New Roman"/>
          <w:sz w:val="24"/>
          <w:szCs w:val="24"/>
        </w:rPr>
        <w:t xml:space="preserve"> ще бъдат задължени</w:t>
      </w:r>
      <w:r w:rsidR="00E63DD9" w:rsidRPr="0084544D">
        <w:rPr>
          <w:rFonts w:ascii="Times New Roman" w:hAnsi="Times New Roman" w:cs="Times New Roman"/>
          <w:sz w:val="24"/>
          <w:szCs w:val="24"/>
        </w:rPr>
        <w:t xml:space="preserve"> </w:t>
      </w:r>
      <w:r w:rsidR="0092494E" w:rsidRPr="0084544D">
        <w:rPr>
          <w:rFonts w:ascii="Times New Roman" w:hAnsi="Times New Roman" w:cs="Times New Roman"/>
          <w:sz w:val="24"/>
          <w:szCs w:val="24"/>
        </w:rPr>
        <w:t>да спазват изискванията, приложими в областта на социално</w:t>
      </w:r>
      <w:r w:rsidR="009A7A5A" w:rsidRPr="0084544D">
        <w:rPr>
          <w:rFonts w:ascii="Times New Roman" w:hAnsi="Times New Roman" w:cs="Times New Roman"/>
          <w:sz w:val="24"/>
          <w:szCs w:val="24"/>
        </w:rPr>
        <w:t>то и</w:t>
      </w:r>
      <w:r w:rsidR="0092494E" w:rsidRPr="0084544D">
        <w:rPr>
          <w:rFonts w:ascii="Times New Roman" w:hAnsi="Times New Roman" w:cs="Times New Roman"/>
          <w:sz w:val="24"/>
          <w:szCs w:val="24"/>
        </w:rPr>
        <w:t xml:space="preserve"> </w:t>
      </w:r>
      <w:r w:rsidR="009A7A5A" w:rsidRPr="0084544D">
        <w:rPr>
          <w:rFonts w:ascii="Times New Roman" w:hAnsi="Times New Roman" w:cs="Times New Roman"/>
          <w:sz w:val="24"/>
          <w:szCs w:val="24"/>
        </w:rPr>
        <w:t>трудовото право</w:t>
      </w:r>
      <w:r w:rsidR="0092494E" w:rsidRPr="0084544D">
        <w:rPr>
          <w:rFonts w:ascii="Times New Roman" w:hAnsi="Times New Roman" w:cs="Times New Roman"/>
          <w:sz w:val="24"/>
          <w:szCs w:val="24"/>
        </w:rPr>
        <w:t xml:space="preserve">, </w:t>
      </w:r>
      <w:r w:rsidR="009A7A5A" w:rsidRPr="0084544D">
        <w:rPr>
          <w:rFonts w:ascii="Times New Roman" w:hAnsi="Times New Roman" w:cs="Times New Roman"/>
          <w:sz w:val="24"/>
          <w:szCs w:val="24"/>
        </w:rPr>
        <w:t>установени с правото на Европейския съюз, националното право и колективното споразумение.</w:t>
      </w:r>
    </w:p>
    <w:p w14:paraId="10CAAC92" w14:textId="77777777" w:rsidR="00C4405C" w:rsidRPr="0084544D" w:rsidRDefault="004E79B0" w:rsidP="008C240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44D">
        <w:rPr>
          <w:rFonts w:ascii="Times New Roman" w:hAnsi="Times New Roman" w:cs="Times New Roman"/>
          <w:sz w:val="24"/>
          <w:szCs w:val="24"/>
        </w:rPr>
        <w:t>Възложителят ще постави като условие</w:t>
      </w:r>
      <w:r w:rsidR="00C4405C" w:rsidRPr="0084544D">
        <w:rPr>
          <w:rFonts w:ascii="Times New Roman" w:hAnsi="Times New Roman" w:cs="Times New Roman"/>
          <w:sz w:val="24"/>
          <w:szCs w:val="24"/>
        </w:rPr>
        <w:t xml:space="preserve"> Изпълнителите по обособените позиции да спазват определени социални стандарти</w:t>
      </w:r>
      <w:r w:rsidRPr="0084544D">
        <w:rPr>
          <w:rFonts w:ascii="Times New Roman" w:hAnsi="Times New Roman" w:cs="Times New Roman"/>
          <w:sz w:val="24"/>
          <w:szCs w:val="24"/>
        </w:rPr>
        <w:t>.</w:t>
      </w:r>
      <w:r w:rsidR="003B054E">
        <w:rPr>
          <w:rFonts w:ascii="Times New Roman" w:hAnsi="Times New Roman" w:cs="Times New Roman"/>
          <w:sz w:val="24"/>
          <w:szCs w:val="24"/>
        </w:rPr>
        <w:t xml:space="preserve"> В</w:t>
      </w:r>
      <w:r w:rsidR="00C4405C" w:rsidRPr="0084544D">
        <w:rPr>
          <w:rFonts w:ascii="Times New Roman" w:hAnsi="Times New Roman" w:cs="Times New Roman"/>
          <w:sz w:val="24"/>
          <w:szCs w:val="24"/>
        </w:rPr>
        <w:t xml:space="preserve"> документацията </w:t>
      </w:r>
      <w:r w:rsidR="003B054E">
        <w:rPr>
          <w:rFonts w:ascii="Times New Roman" w:hAnsi="Times New Roman" w:cs="Times New Roman"/>
          <w:sz w:val="24"/>
          <w:szCs w:val="24"/>
        </w:rPr>
        <w:t>ще бъде</w:t>
      </w:r>
      <w:r w:rsidR="00C4405C" w:rsidRPr="0084544D">
        <w:rPr>
          <w:rFonts w:ascii="Times New Roman" w:hAnsi="Times New Roman" w:cs="Times New Roman"/>
          <w:sz w:val="24"/>
          <w:szCs w:val="24"/>
        </w:rPr>
        <w:t xml:space="preserve"> </w:t>
      </w:r>
      <w:r w:rsidR="007320B0" w:rsidRPr="0084544D">
        <w:rPr>
          <w:rFonts w:ascii="Times New Roman" w:hAnsi="Times New Roman" w:cs="Times New Roman"/>
          <w:sz w:val="24"/>
          <w:szCs w:val="24"/>
        </w:rPr>
        <w:t>посочен</w:t>
      </w:r>
      <w:r w:rsidR="00C4405C" w:rsidRPr="0084544D">
        <w:rPr>
          <w:rFonts w:ascii="Times New Roman" w:hAnsi="Times New Roman" w:cs="Times New Roman"/>
          <w:sz w:val="24"/>
          <w:szCs w:val="24"/>
        </w:rPr>
        <w:t xml:space="preserve"> засегнатия</w:t>
      </w:r>
      <w:r w:rsidR="0045303D" w:rsidRPr="0084544D">
        <w:rPr>
          <w:rFonts w:ascii="Times New Roman" w:hAnsi="Times New Roman" w:cs="Times New Roman"/>
          <w:sz w:val="24"/>
          <w:szCs w:val="24"/>
        </w:rPr>
        <w:t>т</w:t>
      </w:r>
      <w:r w:rsidR="00C4405C" w:rsidRPr="0084544D">
        <w:rPr>
          <w:rFonts w:ascii="Times New Roman" w:hAnsi="Times New Roman" w:cs="Times New Roman"/>
          <w:sz w:val="24"/>
          <w:szCs w:val="24"/>
        </w:rPr>
        <w:t xml:space="preserve"> </w:t>
      </w:r>
      <w:r w:rsidR="007320B0" w:rsidRPr="0084544D">
        <w:rPr>
          <w:rFonts w:ascii="Times New Roman" w:hAnsi="Times New Roman" w:cs="Times New Roman"/>
          <w:sz w:val="24"/>
          <w:szCs w:val="24"/>
        </w:rPr>
        <w:t xml:space="preserve">от смяната на </w:t>
      </w:r>
      <w:r w:rsidR="000857A7">
        <w:rPr>
          <w:rFonts w:ascii="Times New Roman" w:hAnsi="Times New Roman" w:cs="Times New Roman"/>
          <w:sz w:val="24"/>
          <w:szCs w:val="24"/>
        </w:rPr>
        <w:t>Изпълнителя</w:t>
      </w:r>
      <w:r w:rsidR="000857A7" w:rsidRPr="0084544D">
        <w:rPr>
          <w:rFonts w:ascii="Times New Roman" w:hAnsi="Times New Roman" w:cs="Times New Roman"/>
          <w:sz w:val="24"/>
          <w:szCs w:val="24"/>
        </w:rPr>
        <w:t xml:space="preserve"> </w:t>
      </w:r>
      <w:r w:rsidR="00C4405C" w:rsidRPr="0084544D">
        <w:rPr>
          <w:rFonts w:ascii="Times New Roman" w:hAnsi="Times New Roman" w:cs="Times New Roman"/>
          <w:sz w:val="24"/>
          <w:szCs w:val="24"/>
        </w:rPr>
        <w:t xml:space="preserve">персонал и </w:t>
      </w:r>
      <w:r w:rsidR="003B054E">
        <w:rPr>
          <w:rFonts w:ascii="Times New Roman" w:hAnsi="Times New Roman" w:cs="Times New Roman"/>
          <w:sz w:val="24"/>
          <w:szCs w:val="24"/>
        </w:rPr>
        <w:t>ще</w:t>
      </w:r>
      <w:r w:rsidR="00B714A5" w:rsidRPr="0084544D">
        <w:rPr>
          <w:rFonts w:ascii="Times New Roman" w:hAnsi="Times New Roman" w:cs="Times New Roman"/>
          <w:sz w:val="24"/>
          <w:szCs w:val="24"/>
        </w:rPr>
        <w:t xml:space="preserve"> </w:t>
      </w:r>
      <w:r w:rsidR="00C4405C" w:rsidRPr="0084544D">
        <w:rPr>
          <w:rFonts w:ascii="Times New Roman" w:hAnsi="Times New Roman" w:cs="Times New Roman"/>
          <w:sz w:val="24"/>
          <w:szCs w:val="24"/>
        </w:rPr>
        <w:t>се да</w:t>
      </w:r>
      <w:r w:rsidR="00B714A5" w:rsidRPr="0084544D">
        <w:rPr>
          <w:rFonts w:ascii="Times New Roman" w:hAnsi="Times New Roman" w:cs="Times New Roman"/>
          <w:sz w:val="24"/>
          <w:szCs w:val="24"/>
        </w:rPr>
        <w:t>д</w:t>
      </w:r>
      <w:r w:rsidR="00C4405C" w:rsidRPr="0084544D">
        <w:rPr>
          <w:rFonts w:ascii="Times New Roman" w:hAnsi="Times New Roman" w:cs="Times New Roman"/>
          <w:sz w:val="24"/>
          <w:szCs w:val="24"/>
        </w:rPr>
        <w:t xml:space="preserve">ат прозрачни </w:t>
      </w:r>
      <w:r w:rsidR="00B714A5" w:rsidRPr="0084544D">
        <w:rPr>
          <w:rFonts w:ascii="Times New Roman" w:hAnsi="Times New Roman" w:cs="Times New Roman"/>
          <w:sz w:val="24"/>
          <w:szCs w:val="24"/>
        </w:rPr>
        <w:t xml:space="preserve">и ясни </w:t>
      </w:r>
      <w:r w:rsidR="00C4405C" w:rsidRPr="0084544D">
        <w:rPr>
          <w:rFonts w:ascii="Times New Roman" w:hAnsi="Times New Roman" w:cs="Times New Roman"/>
          <w:sz w:val="24"/>
          <w:szCs w:val="24"/>
        </w:rPr>
        <w:t>подробности за договорните права на прехвърл</w:t>
      </w:r>
      <w:r w:rsidR="00B714A5" w:rsidRPr="0084544D">
        <w:rPr>
          <w:rFonts w:ascii="Times New Roman" w:hAnsi="Times New Roman" w:cs="Times New Roman"/>
          <w:sz w:val="24"/>
          <w:szCs w:val="24"/>
        </w:rPr>
        <w:t>я</w:t>
      </w:r>
      <w:r w:rsidR="00C4405C" w:rsidRPr="0084544D">
        <w:rPr>
          <w:rFonts w:ascii="Times New Roman" w:hAnsi="Times New Roman" w:cs="Times New Roman"/>
          <w:sz w:val="24"/>
          <w:szCs w:val="24"/>
        </w:rPr>
        <w:t xml:space="preserve">ния персонал. </w:t>
      </w:r>
    </w:p>
    <w:p w14:paraId="4A4B074C" w14:textId="77777777" w:rsidR="00C4405C" w:rsidRPr="0084544D" w:rsidRDefault="00C4405C" w:rsidP="008C240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44D">
        <w:rPr>
          <w:rFonts w:ascii="Times New Roman" w:hAnsi="Times New Roman" w:cs="Times New Roman"/>
          <w:sz w:val="24"/>
          <w:szCs w:val="24"/>
        </w:rPr>
        <w:t xml:space="preserve">При спазване на Директива 2001/23/ЕО, документацията </w:t>
      </w:r>
      <w:r w:rsidR="00B714A5" w:rsidRPr="0084544D">
        <w:rPr>
          <w:rFonts w:ascii="Times New Roman" w:hAnsi="Times New Roman" w:cs="Times New Roman"/>
          <w:sz w:val="24"/>
          <w:szCs w:val="24"/>
        </w:rPr>
        <w:t xml:space="preserve">ще </w:t>
      </w:r>
      <w:r w:rsidRPr="0084544D">
        <w:rPr>
          <w:rFonts w:ascii="Times New Roman" w:hAnsi="Times New Roman" w:cs="Times New Roman"/>
          <w:sz w:val="24"/>
          <w:szCs w:val="24"/>
        </w:rPr>
        <w:t xml:space="preserve">съдържа информация </w:t>
      </w:r>
      <w:r w:rsidR="009A633E" w:rsidRPr="0084544D">
        <w:rPr>
          <w:rFonts w:ascii="Times New Roman" w:hAnsi="Times New Roman" w:cs="Times New Roman"/>
          <w:sz w:val="24"/>
          <w:szCs w:val="24"/>
        </w:rPr>
        <w:t>за</w:t>
      </w:r>
      <w:r w:rsidRPr="0084544D">
        <w:rPr>
          <w:rFonts w:ascii="Times New Roman" w:hAnsi="Times New Roman" w:cs="Times New Roman"/>
          <w:sz w:val="24"/>
          <w:szCs w:val="24"/>
        </w:rPr>
        <w:t xml:space="preserve"> правата и задълженията, свързани с прехвърлянето на работници</w:t>
      </w:r>
      <w:r w:rsidR="003B054E">
        <w:rPr>
          <w:rFonts w:ascii="Times New Roman" w:hAnsi="Times New Roman" w:cs="Times New Roman"/>
          <w:sz w:val="24"/>
          <w:szCs w:val="24"/>
        </w:rPr>
        <w:t>те</w:t>
      </w:r>
      <w:r w:rsidRPr="0084544D">
        <w:rPr>
          <w:rFonts w:ascii="Times New Roman" w:hAnsi="Times New Roman" w:cs="Times New Roman"/>
          <w:sz w:val="24"/>
          <w:szCs w:val="24"/>
        </w:rPr>
        <w:t xml:space="preserve"> и служители</w:t>
      </w:r>
      <w:r w:rsidR="003B054E">
        <w:rPr>
          <w:rFonts w:ascii="Times New Roman" w:hAnsi="Times New Roman" w:cs="Times New Roman"/>
          <w:sz w:val="24"/>
          <w:szCs w:val="24"/>
        </w:rPr>
        <w:t>те</w:t>
      </w:r>
      <w:r w:rsidRPr="0084544D">
        <w:rPr>
          <w:rFonts w:ascii="Times New Roman" w:hAnsi="Times New Roman" w:cs="Times New Roman"/>
          <w:sz w:val="24"/>
          <w:szCs w:val="24"/>
        </w:rPr>
        <w:t xml:space="preserve">, наети от </w:t>
      </w:r>
      <w:r w:rsidR="00CF3E37">
        <w:rPr>
          <w:rFonts w:ascii="Times New Roman" w:hAnsi="Times New Roman" w:cs="Times New Roman"/>
          <w:sz w:val="24"/>
          <w:szCs w:val="24"/>
        </w:rPr>
        <w:t>настоящия Изпълнител</w:t>
      </w:r>
      <w:r w:rsidRPr="0084544D">
        <w:rPr>
          <w:rFonts w:ascii="Times New Roman" w:hAnsi="Times New Roman" w:cs="Times New Roman"/>
          <w:sz w:val="24"/>
          <w:szCs w:val="24"/>
        </w:rPr>
        <w:t>.</w:t>
      </w:r>
    </w:p>
    <w:p w14:paraId="3B63D988" w14:textId="77777777" w:rsidR="009A7A5A" w:rsidRPr="0084544D" w:rsidRDefault="009A7A5A" w:rsidP="008C240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44D">
        <w:rPr>
          <w:rFonts w:ascii="Times New Roman" w:hAnsi="Times New Roman" w:cs="Times New Roman"/>
          <w:sz w:val="24"/>
          <w:szCs w:val="24"/>
        </w:rPr>
        <w:t>В съответствие с чл. 123, ал. 1, т. 7 от Кодекса на труда трудовите правоотношения с работниците и служителите ще бъдат запазени и няма да бъдат прекратени при избора на нов</w:t>
      </w:r>
      <w:r w:rsidR="003B054E">
        <w:rPr>
          <w:rFonts w:ascii="Times New Roman" w:hAnsi="Times New Roman" w:cs="Times New Roman"/>
          <w:sz w:val="24"/>
          <w:szCs w:val="24"/>
        </w:rPr>
        <w:t>и</w:t>
      </w:r>
      <w:r w:rsidRPr="0084544D">
        <w:rPr>
          <w:rFonts w:ascii="Times New Roman" w:hAnsi="Times New Roman" w:cs="Times New Roman"/>
          <w:sz w:val="24"/>
          <w:szCs w:val="24"/>
        </w:rPr>
        <w:t xml:space="preserve"> </w:t>
      </w:r>
      <w:r w:rsidR="00CF3E37">
        <w:rPr>
          <w:rFonts w:ascii="Times New Roman" w:hAnsi="Times New Roman" w:cs="Times New Roman"/>
          <w:sz w:val="24"/>
          <w:szCs w:val="24"/>
        </w:rPr>
        <w:t>Изпълнители</w:t>
      </w:r>
      <w:r w:rsidR="00CF3E37" w:rsidRPr="0084544D">
        <w:rPr>
          <w:rFonts w:ascii="Times New Roman" w:hAnsi="Times New Roman" w:cs="Times New Roman"/>
          <w:sz w:val="24"/>
          <w:szCs w:val="24"/>
        </w:rPr>
        <w:t xml:space="preserve"> </w:t>
      </w:r>
      <w:r w:rsidRPr="0084544D">
        <w:rPr>
          <w:rFonts w:ascii="Times New Roman" w:hAnsi="Times New Roman" w:cs="Times New Roman"/>
          <w:sz w:val="24"/>
          <w:szCs w:val="24"/>
        </w:rPr>
        <w:t xml:space="preserve">на обществената превозна услуга. При </w:t>
      </w:r>
      <w:r w:rsidR="00CF3E37">
        <w:rPr>
          <w:rFonts w:ascii="Times New Roman" w:hAnsi="Times New Roman" w:cs="Times New Roman"/>
          <w:sz w:val="24"/>
          <w:szCs w:val="24"/>
        </w:rPr>
        <w:t>с</w:t>
      </w:r>
      <w:r w:rsidR="00CF3E37" w:rsidRPr="0084544D">
        <w:rPr>
          <w:rFonts w:ascii="Times New Roman" w:hAnsi="Times New Roman" w:cs="Times New Roman"/>
          <w:sz w:val="24"/>
          <w:szCs w:val="24"/>
        </w:rPr>
        <w:t xml:space="preserve">мяна </w:t>
      </w:r>
      <w:r w:rsidRPr="0084544D">
        <w:rPr>
          <w:rFonts w:ascii="Times New Roman" w:hAnsi="Times New Roman" w:cs="Times New Roman"/>
          <w:sz w:val="24"/>
          <w:szCs w:val="24"/>
        </w:rPr>
        <w:t xml:space="preserve">на </w:t>
      </w:r>
      <w:r w:rsidR="00CF3E37">
        <w:rPr>
          <w:rFonts w:ascii="Times New Roman" w:hAnsi="Times New Roman" w:cs="Times New Roman"/>
          <w:sz w:val="24"/>
          <w:szCs w:val="24"/>
        </w:rPr>
        <w:t>Изпълнителя</w:t>
      </w:r>
      <w:r w:rsidR="00CF3E37" w:rsidRPr="0084544D">
        <w:rPr>
          <w:rFonts w:ascii="Times New Roman" w:hAnsi="Times New Roman" w:cs="Times New Roman"/>
          <w:sz w:val="24"/>
          <w:szCs w:val="24"/>
        </w:rPr>
        <w:t xml:space="preserve"> </w:t>
      </w:r>
      <w:r w:rsidRPr="0084544D">
        <w:rPr>
          <w:rFonts w:ascii="Times New Roman" w:hAnsi="Times New Roman" w:cs="Times New Roman"/>
          <w:sz w:val="24"/>
          <w:szCs w:val="24"/>
        </w:rPr>
        <w:t>на услугата ще настъпи промяна на работодателя в резултат на преотстъпване или прехвърляне на дейност от едното предприятие на другото, като трудовите правоотношения на работниците и служителите, обслужващи дейността на превозвача по отношение на превозите по съответната обособена позиция</w:t>
      </w:r>
      <w:r w:rsidR="00CF3E37">
        <w:rPr>
          <w:rFonts w:ascii="Times New Roman" w:hAnsi="Times New Roman" w:cs="Times New Roman"/>
          <w:sz w:val="24"/>
          <w:szCs w:val="24"/>
        </w:rPr>
        <w:t>,</w:t>
      </w:r>
      <w:r w:rsidRPr="0084544D">
        <w:rPr>
          <w:rFonts w:ascii="Times New Roman" w:hAnsi="Times New Roman" w:cs="Times New Roman"/>
          <w:sz w:val="24"/>
          <w:szCs w:val="24"/>
        </w:rPr>
        <w:t xml:space="preserve"> ще </w:t>
      </w:r>
      <w:r w:rsidR="003B054E">
        <w:rPr>
          <w:rFonts w:ascii="Times New Roman" w:hAnsi="Times New Roman" w:cs="Times New Roman"/>
          <w:sz w:val="24"/>
          <w:szCs w:val="24"/>
        </w:rPr>
        <w:t>бъдат</w:t>
      </w:r>
      <w:r w:rsidRPr="0084544D">
        <w:rPr>
          <w:rFonts w:ascii="Times New Roman" w:hAnsi="Times New Roman" w:cs="Times New Roman"/>
          <w:sz w:val="24"/>
          <w:szCs w:val="24"/>
        </w:rPr>
        <w:t xml:space="preserve"> запаз</w:t>
      </w:r>
      <w:r w:rsidR="0085002B">
        <w:rPr>
          <w:rFonts w:ascii="Times New Roman" w:hAnsi="Times New Roman" w:cs="Times New Roman"/>
          <w:sz w:val="24"/>
          <w:szCs w:val="24"/>
        </w:rPr>
        <w:t>ени</w:t>
      </w:r>
      <w:r w:rsidRPr="0084544D">
        <w:rPr>
          <w:rFonts w:ascii="Times New Roman" w:hAnsi="Times New Roman" w:cs="Times New Roman"/>
          <w:sz w:val="24"/>
          <w:szCs w:val="24"/>
        </w:rPr>
        <w:t xml:space="preserve">, като ще преминат към новия работодател – новия </w:t>
      </w:r>
      <w:r w:rsidR="00CF3E37">
        <w:rPr>
          <w:rFonts w:ascii="Times New Roman" w:hAnsi="Times New Roman" w:cs="Times New Roman"/>
          <w:sz w:val="24"/>
          <w:szCs w:val="24"/>
        </w:rPr>
        <w:t>Изпълнител</w:t>
      </w:r>
      <w:r w:rsidR="00CF3E37" w:rsidRPr="0084544D">
        <w:rPr>
          <w:rFonts w:ascii="Times New Roman" w:hAnsi="Times New Roman" w:cs="Times New Roman"/>
          <w:sz w:val="24"/>
          <w:szCs w:val="24"/>
        </w:rPr>
        <w:t xml:space="preserve"> </w:t>
      </w:r>
      <w:r w:rsidRPr="0084544D">
        <w:rPr>
          <w:rFonts w:ascii="Times New Roman" w:hAnsi="Times New Roman" w:cs="Times New Roman"/>
          <w:sz w:val="24"/>
          <w:szCs w:val="24"/>
        </w:rPr>
        <w:t>на обществената превозна услуга.</w:t>
      </w:r>
    </w:p>
    <w:p w14:paraId="009D17F8" w14:textId="77777777" w:rsidR="00F97C70" w:rsidRPr="0084544D" w:rsidRDefault="00F97C70" w:rsidP="008C240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44D">
        <w:rPr>
          <w:rFonts w:ascii="Times New Roman" w:hAnsi="Times New Roman" w:cs="Times New Roman"/>
          <w:sz w:val="24"/>
          <w:szCs w:val="24"/>
        </w:rPr>
        <w:t xml:space="preserve">В случай на смяна на </w:t>
      </w:r>
      <w:r w:rsidR="00CF3E37">
        <w:rPr>
          <w:rFonts w:ascii="Times New Roman" w:hAnsi="Times New Roman" w:cs="Times New Roman"/>
          <w:sz w:val="24"/>
          <w:szCs w:val="24"/>
        </w:rPr>
        <w:t xml:space="preserve">Изпълнителя, </w:t>
      </w:r>
      <w:r w:rsidR="003B054E">
        <w:rPr>
          <w:rFonts w:ascii="Times New Roman" w:hAnsi="Times New Roman" w:cs="Times New Roman"/>
          <w:sz w:val="24"/>
          <w:szCs w:val="24"/>
        </w:rPr>
        <w:t>ще</w:t>
      </w:r>
      <w:r w:rsidRPr="0084544D">
        <w:rPr>
          <w:rFonts w:ascii="Times New Roman" w:hAnsi="Times New Roman" w:cs="Times New Roman"/>
          <w:sz w:val="24"/>
          <w:szCs w:val="24"/>
        </w:rPr>
        <w:t xml:space="preserve"> </w:t>
      </w:r>
      <w:r w:rsidR="003B054E">
        <w:rPr>
          <w:rFonts w:ascii="Times New Roman" w:hAnsi="Times New Roman" w:cs="Times New Roman"/>
          <w:sz w:val="24"/>
          <w:szCs w:val="24"/>
        </w:rPr>
        <w:t xml:space="preserve">бъдат </w:t>
      </w:r>
      <w:r w:rsidRPr="0084544D">
        <w:rPr>
          <w:rFonts w:ascii="Times New Roman" w:hAnsi="Times New Roman" w:cs="Times New Roman"/>
          <w:sz w:val="24"/>
          <w:szCs w:val="24"/>
        </w:rPr>
        <w:t>прехвърл</w:t>
      </w:r>
      <w:r w:rsidR="003B054E">
        <w:rPr>
          <w:rFonts w:ascii="Times New Roman" w:hAnsi="Times New Roman" w:cs="Times New Roman"/>
          <w:sz w:val="24"/>
          <w:szCs w:val="24"/>
        </w:rPr>
        <w:t>ени</w:t>
      </w:r>
      <w:r w:rsidRPr="0084544D">
        <w:rPr>
          <w:rFonts w:ascii="Times New Roman" w:hAnsi="Times New Roman" w:cs="Times New Roman"/>
          <w:sz w:val="24"/>
          <w:szCs w:val="24"/>
        </w:rPr>
        <w:t xml:space="preserve"> правата и задълженията на всички заети в настоящия </w:t>
      </w:r>
      <w:r w:rsidR="00CF3E37">
        <w:rPr>
          <w:rFonts w:ascii="Times New Roman" w:hAnsi="Times New Roman" w:cs="Times New Roman"/>
          <w:sz w:val="24"/>
          <w:szCs w:val="24"/>
        </w:rPr>
        <w:t>Изпълнител</w:t>
      </w:r>
      <w:r w:rsidR="00CF3E37" w:rsidRPr="0084544D">
        <w:rPr>
          <w:rFonts w:ascii="Times New Roman" w:hAnsi="Times New Roman" w:cs="Times New Roman"/>
          <w:sz w:val="24"/>
          <w:szCs w:val="24"/>
        </w:rPr>
        <w:t xml:space="preserve"> </w:t>
      </w:r>
      <w:r w:rsidRPr="0084544D">
        <w:rPr>
          <w:rFonts w:ascii="Times New Roman" w:hAnsi="Times New Roman" w:cs="Times New Roman"/>
          <w:sz w:val="24"/>
          <w:szCs w:val="24"/>
        </w:rPr>
        <w:t>работници и служители, ангажирани по съответната обособена позиция.</w:t>
      </w:r>
      <w:r w:rsidR="003B054E">
        <w:rPr>
          <w:rFonts w:ascii="Times New Roman" w:hAnsi="Times New Roman" w:cs="Times New Roman"/>
          <w:sz w:val="24"/>
          <w:szCs w:val="24"/>
        </w:rPr>
        <w:t xml:space="preserve"> </w:t>
      </w:r>
      <w:r w:rsidR="00A73AC4">
        <w:rPr>
          <w:rFonts w:ascii="Times New Roman" w:hAnsi="Times New Roman" w:cs="Times New Roman"/>
          <w:sz w:val="24"/>
          <w:szCs w:val="24"/>
        </w:rPr>
        <w:t>Н</w:t>
      </w:r>
      <w:r w:rsidR="00A73AC4" w:rsidRPr="00A73AC4">
        <w:rPr>
          <w:rFonts w:ascii="Times New Roman" w:hAnsi="Times New Roman" w:cs="Times New Roman"/>
          <w:sz w:val="24"/>
          <w:szCs w:val="24"/>
        </w:rPr>
        <w:t xml:space="preserve">ационалното законодателство предвижда защита на правата на работниците и </w:t>
      </w:r>
      <w:r w:rsidR="00CF3E37">
        <w:rPr>
          <w:rFonts w:ascii="Times New Roman" w:hAnsi="Times New Roman" w:cs="Times New Roman"/>
          <w:sz w:val="24"/>
          <w:szCs w:val="24"/>
        </w:rPr>
        <w:t xml:space="preserve">служителите, и </w:t>
      </w:r>
      <w:r w:rsidR="00A73AC4" w:rsidRPr="00A73AC4">
        <w:rPr>
          <w:rFonts w:ascii="Times New Roman" w:hAnsi="Times New Roman" w:cs="Times New Roman"/>
          <w:sz w:val="24"/>
          <w:szCs w:val="24"/>
        </w:rPr>
        <w:t>урежда при прехвърляне на дейността на едно предприятие на друго предприятие, заетите в тази дейност работници да преминат към новото предприятие.</w:t>
      </w:r>
      <w:r w:rsidR="00A7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054E">
        <w:rPr>
          <w:rFonts w:ascii="Times New Roman" w:hAnsi="Times New Roman" w:cs="Times New Roman"/>
          <w:sz w:val="24"/>
          <w:szCs w:val="24"/>
        </w:rPr>
        <w:t>К</w:t>
      </w:r>
      <w:r w:rsidRPr="0084544D">
        <w:rPr>
          <w:rFonts w:ascii="Times New Roman" w:hAnsi="Times New Roman" w:cs="Times New Roman"/>
          <w:sz w:val="24"/>
          <w:szCs w:val="24"/>
        </w:rPr>
        <w:t xml:space="preserve">олективното трудово договаряне </w:t>
      </w:r>
      <w:r w:rsidR="003B054E">
        <w:rPr>
          <w:rFonts w:ascii="Times New Roman" w:hAnsi="Times New Roman" w:cs="Times New Roman"/>
          <w:sz w:val="24"/>
          <w:szCs w:val="24"/>
        </w:rPr>
        <w:t>ще</w:t>
      </w:r>
      <w:r w:rsidRPr="0084544D">
        <w:rPr>
          <w:rFonts w:ascii="Times New Roman" w:hAnsi="Times New Roman" w:cs="Times New Roman"/>
          <w:sz w:val="24"/>
          <w:szCs w:val="24"/>
        </w:rPr>
        <w:t xml:space="preserve"> бъде запазено – работниците и служителите </w:t>
      </w:r>
      <w:r w:rsidR="003B054E">
        <w:rPr>
          <w:rFonts w:ascii="Times New Roman" w:hAnsi="Times New Roman" w:cs="Times New Roman"/>
          <w:sz w:val="24"/>
          <w:szCs w:val="24"/>
        </w:rPr>
        <w:t>ще</w:t>
      </w:r>
      <w:r w:rsidRPr="0084544D">
        <w:rPr>
          <w:rFonts w:ascii="Times New Roman" w:hAnsi="Times New Roman" w:cs="Times New Roman"/>
          <w:sz w:val="24"/>
          <w:szCs w:val="24"/>
        </w:rPr>
        <w:t xml:space="preserve"> запазят своята работа, възнаграждения, както и социални придобивки.</w:t>
      </w:r>
    </w:p>
    <w:p w14:paraId="25AD253D" w14:textId="77777777" w:rsidR="00F97C70" w:rsidRPr="0084544D" w:rsidRDefault="00F97C70" w:rsidP="008C240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44D">
        <w:rPr>
          <w:rFonts w:ascii="Times New Roman" w:hAnsi="Times New Roman" w:cs="Times New Roman"/>
          <w:sz w:val="24"/>
          <w:szCs w:val="24"/>
        </w:rPr>
        <w:t xml:space="preserve">Българските власти </w:t>
      </w:r>
      <w:r w:rsidR="003B054E">
        <w:rPr>
          <w:rFonts w:ascii="Times New Roman" w:hAnsi="Times New Roman" w:cs="Times New Roman"/>
          <w:sz w:val="24"/>
          <w:szCs w:val="24"/>
        </w:rPr>
        <w:t>ще се</w:t>
      </w:r>
      <w:r w:rsidRPr="0084544D">
        <w:rPr>
          <w:rFonts w:ascii="Times New Roman" w:hAnsi="Times New Roman" w:cs="Times New Roman"/>
          <w:sz w:val="24"/>
          <w:szCs w:val="24"/>
        </w:rPr>
        <w:t xml:space="preserve"> придържат към изискването на Регламент (ЕО) 1370/2007 да осигурят подходящо ниво на социална закрила на персонала. Синдикалните организации също настояват за запазване на кадрите, заети в сектора – опитни и подготвени кадри, с ангажираност към професията и високо ниво на отговорност. В последните години се наблюдава хроничен проблем с набирането на квалифицирани кадри за железопътния транспорт. В тази връзка </w:t>
      </w:r>
      <w:r w:rsidR="003B054E">
        <w:rPr>
          <w:rFonts w:ascii="Times New Roman" w:hAnsi="Times New Roman" w:cs="Times New Roman"/>
          <w:sz w:val="24"/>
          <w:szCs w:val="24"/>
        </w:rPr>
        <w:t xml:space="preserve">българските власти намират </w:t>
      </w:r>
      <w:r w:rsidRPr="0084544D">
        <w:rPr>
          <w:rFonts w:ascii="Times New Roman" w:hAnsi="Times New Roman" w:cs="Times New Roman"/>
          <w:sz w:val="24"/>
          <w:szCs w:val="24"/>
        </w:rPr>
        <w:t xml:space="preserve"> за социално оправдано да бъде запазен заетият брой работници и служители, осъществяващи дейности по съответната обособена позиция, и да се гарантира запазването на социалното равновесие в сектора.</w:t>
      </w:r>
    </w:p>
    <w:p w14:paraId="7E7A6C13" w14:textId="77777777" w:rsidR="00587099" w:rsidRDefault="007D7576" w:rsidP="00DD5BF0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544D">
        <w:rPr>
          <w:rFonts w:ascii="Times New Roman" w:hAnsi="Times New Roman" w:cs="Times New Roman"/>
          <w:sz w:val="24"/>
          <w:szCs w:val="24"/>
        </w:rPr>
        <w:t xml:space="preserve">Завареният колективен трудов договор ще действа до сключването на нов колективен трудов договор. </w:t>
      </w:r>
      <w:r w:rsidR="00BE7F6F" w:rsidRPr="0084544D">
        <w:rPr>
          <w:rFonts w:ascii="Times New Roman" w:hAnsi="Times New Roman" w:cs="Times New Roman"/>
          <w:sz w:val="24"/>
          <w:szCs w:val="24"/>
        </w:rPr>
        <w:t>Изпълнителите</w:t>
      </w:r>
      <w:r w:rsidRPr="0084544D">
        <w:rPr>
          <w:rFonts w:ascii="Times New Roman" w:hAnsi="Times New Roman" w:cs="Times New Roman"/>
          <w:sz w:val="24"/>
          <w:szCs w:val="24"/>
        </w:rPr>
        <w:t xml:space="preserve"> се задължава</w:t>
      </w:r>
      <w:r w:rsidR="00BE7F6F" w:rsidRPr="0084544D">
        <w:rPr>
          <w:rFonts w:ascii="Times New Roman" w:hAnsi="Times New Roman" w:cs="Times New Roman"/>
          <w:sz w:val="24"/>
          <w:szCs w:val="24"/>
        </w:rPr>
        <w:t>т</w:t>
      </w:r>
      <w:r w:rsidRPr="0084544D">
        <w:rPr>
          <w:rFonts w:ascii="Times New Roman" w:hAnsi="Times New Roman" w:cs="Times New Roman"/>
          <w:sz w:val="24"/>
          <w:szCs w:val="24"/>
        </w:rPr>
        <w:t xml:space="preserve"> за целия срок на действие на договора да поддържа</w:t>
      </w:r>
      <w:r w:rsidR="00BE7F6F" w:rsidRPr="0084544D">
        <w:rPr>
          <w:rFonts w:ascii="Times New Roman" w:hAnsi="Times New Roman" w:cs="Times New Roman"/>
          <w:sz w:val="24"/>
          <w:szCs w:val="24"/>
        </w:rPr>
        <w:t>т</w:t>
      </w:r>
      <w:r w:rsidRPr="0084544D">
        <w:rPr>
          <w:rFonts w:ascii="Times New Roman" w:hAnsi="Times New Roman" w:cs="Times New Roman"/>
          <w:sz w:val="24"/>
          <w:szCs w:val="24"/>
        </w:rPr>
        <w:t xml:space="preserve"> </w:t>
      </w:r>
      <w:r w:rsidR="008851EC" w:rsidRPr="0084544D">
        <w:rPr>
          <w:rFonts w:ascii="Times New Roman" w:hAnsi="Times New Roman" w:cs="Times New Roman"/>
          <w:sz w:val="24"/>
          <w:szCs w:val="24"/>
        </w:rPr>
        <w:t xml:space="preserve">най-малко </w:t>
      </w:r>
      <w:r w:rsidRPr="0084544D">
        <w:rPr>
          <w:rFonts w:ascii="Times New Roman" w:hAnsi="Times New Roman" w:cs="Times New Roman"/>
          <w:sz w:val="24"/>
          <w:szCs w:val="24"/>
        </w:rPr>
        <w:t>ниво</w:t>
      </w:r>
      <w:r w:rsidR="008851EC" w:rsidRPr="0084544D">
        <w:rPr>
          <w:rFonts w:ascii="Times New Roman" w:hAnsi="Times New Roman" w:cs="Times New Roman"/>
          <w:sz w:val="24"/>
          <w:szCs w:val="24"/>
        </w:rPr>
        <w:t>то</w:t>
      </w:r>
      <w:r w:rsidRPr="0084544D">
        <w:rPr>
          <w:rFonts w:ascii="Times New Roman" w:hAnsi="Times New Roman" w:cs="Times New Roman"/>
          <w:sz w:val="24"/>
          <w:szCs w:val="24"/>
        </w:rPr>
        <w:t xml:space="preserve"> на квалификация на персонала, съгласно</w:t>
      </w:r>
      <w:r w:rsidRPr="008454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57A7">
        <w:rPr>
          <w:rFonts w:ascii="Times New Roman" w:hAnsi="Times New Roman" w:cs="Times New Roman"/>
          <w:i/>
          <w:sz w:val="24"/>
          <w:szCs w:val="24"/>
        </w:rPr>
        <w:t xml:space="preserve">Приложение към </w:t>
      </w:r>
      <w:r w:rsidRPr="0084544D">
        <w:rPr>
          <w:rFonts w:ascii="Times New Roman" w:hAnsi="Times New Roman" w:cs="Times New Roman"/>
          <w:i/>
          <w:sz w:val="24"/>
          <w:szCs w:val="24"/>
        </w:rPr>
        <w:t>Т</w:t>
      </w:r>
      <w:r w:rsidR="003B054E">
        <w:rPr>
          <w:rFonts w:ascii="Times New Roman" w:hAnsi="Times New Roman" w:cs="Times New Roman"/>
          <w:i/>
          <w:sz w:val="24"/>
          <w:szCs w:val="24"/>
        </w:rPr>
        <w:t>ехническ</w:t>
      </w:r>
      <w:r w:rsidR="000857A7">
        <w:rPr>
          <w:rFonts w:ascii="Times New Roman" w:hAnsi="Times New Roman" w:cs="Times New Roman"/>
          <w:i/>
          <w:sz w:val="24"/>
          <w:szCs w:val="24"/>
        </w:rPr>
        <w:t>ите</w:t>
      </w:r>
      <w:r w:rsidR="003B054E">
        <w:rPr>
          <w:rFonts w:ascii="Times New Roman" w:hAnsi="Times New Roman" w:cs="Times New Roman"/>
          <w:i/>
          <w:sz w:val="24"/>
          <w:szCs w:val="24"/>
        </w:rPr>
        <w:t xml:space="preserve"> спецификаци</w:t>
      </w:r>
      <w:r w:rsidR="000857A7">
        <w:rPr>
          <w:rFonts w:ascii="Times New Roman" w:hAnsi="Times New Roman" w:cs="Times New Roman"/>
          <w:i/>
          <w:sz w:val="24"/>
          <w:szCs w:val="24"/>
        </w:rPr>
        <w:t>и</w:t>
      </w:r>
      <w:r w:rsidRPr="0084544D">
        <w:rPr>
          <w:rFonts w:ascii="Times New Roman" w:hAnsi="Times New Roman" w:cs="Times New Roman"/>
          <w:i/>
          <w:sz w:val="24"/>
          <w:szCs w:val="24"/>
        </w:rPr>
        <w:t xml:space="preserve"> – Качествени показатели за предоставяне на превозните услуги.</w:t>
      </w:r>
    </w:p>
    <w:p w14:paraId="39911538" w14:textId="77777777" w:rsidR="00667333" w:rsidRPr="00587099" w:rsidRDefault="00587099" w:rsidP="00587099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7099">
        <w:rPr>
          <w:rFonts w:ascii="Times New Roman" w:hAnsi="Times New Roman" w:cs="Times New Roman"/>
          <w:b/>
          <w:sz w:val="24"/>
          <w:szCs w:val="24"/>
          <w:u w:val="single"/>
        </w:rPr>
        <w:t xml:space="preserve">8. </w:t>
      </w:r>
      <w:r w:rsidR="00474D18" w:rsidRPr="00587099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Компенсация за обществените услуги </w:t>
      </w:r>
      <w:r w:rsidR="00D74A9A" w:rsidRPr="00587099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F23B11" w:rsidRPr="00587099">
        <w:rPr>
          <w:rFonts w:ascii="Times New Roman" w:hAnsi="Times New Roman" w:cs="Times New Roman"/>
          <w:b/>
          <w:sz w:val="24"/>
          <w:szCs w:val="24"/>
          <w:u w:val="single"/>
        </w:rPr>
        <w:t>с нулев</w:t>
      </w:r>
      <w:r w:rsidR="00D74A9A" w:rsidRPr="00587099">
        <w:rPr>
          <w:rFonts w:ascii="Times New Roman" w:hAnsi="Times New Roman" w:cs="Times New Roman"/>
          <w:b/>
          <w:sz w:val="24"/>
          <w:szCs w:val="24"/>
          <w:u w:val="single"/>
        </w:rPr>
        <w:t xml:space="preserve"> финансов резултат)</w:t>
      </w:r>
      <w:r w:rsidR="001F02CF" w:rsidRPr="0058709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05B1D" w:rsidRPr="00587099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="00C05B1D" w:rsidRPr="005870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5B1D" w:rsidRPr="00587099">
        <w:rPr>
          <w:rFonts w:ascii="Times New Roman" w:hAnsi="Times New Roman" w:cs="Times New Roman"/>
          <w:sz w:val="24"/>
          <w:szCs w:val="24"/>
        </w:rPr>
        <w:t>прогнозния</w:t>
      </w:r>
      <w:r w:rsidR="00A8206D" w:rsidRPr="00587099">
        <w:rPr>
          <w:rFonts w:ascii="Times New Roman" w:hAnsi="Times New Roman" w:cs="Times New Roman"/>
          <w:sz w:val="24"/>
          <w:szCs w:val="24"/>
        </w:rPr>
        <w:t>т</w:t>
      </w:r>
      <w:r w:rsidR="00C05B1D" w:rsidRPr="00587099">
        <w:rPr>
          <w:rFonts w:ascii="Times New Roman" w:hAnsi="Times New Roman" w:cs="Times New Roman"/>
          <w:sz w:val="24"/>
          <w:szCs w:val="24"/>
        </w:rPr>
        <w:t xml:space="preserve"> разчет на необходимите средства за компенсиране на превозната услуга </w:t>
      </w:r>
      <w:r w:rsidR="00015DFB">
        <w:rPr>
          <w:rFonts w:ascii="Times New Roman" w:hAnsi="Times New Roman" w:cs="Times New Roman"/>
          <w:sz w:val="24"/>
          <w:szCs w:val="24"/>
        </w:rPr>
        <w:t>ще</w:t>
      </w:r>
      <w:r w:rsidR="00C05B1D" w:rsidRPr="00587099">
        <w:rPr>
          <w:rFonts w:ascii="Times New Roman" w:hAnsi="Times New Roman" w:cs="Times New Roman"/>
          <w:sz w:val="24"/>
          <w:szCs w:val="24"/>
        </w:rPr>
        <w:t xml:space="preserve"> включ</w:t>
      </w:r>
      <w:r w:rsidR="00015DFB">
        <w:rPr>
          <w:rFonts w:ascii="Times New Roman" w:hAnsi="Times New Roman" w:cs="Times New Roman"/>
          <w:sz w:val="24"/>
          <w:szCs w:val="24"/>
        </w:rPr>
        <w:t>ва</w:t>
      </w:r>
      <w:r w:rsidR="00C05B1D" w:rsidRPr="00587099">
        <w:rPr>
          <w:rFonts w:ascii="Times New Roman" w:hAnsi="Times New Roman" w:cs="Times New Roman"/>
          <w:sz w:val="24"/>
          <w:szCs w:val="24"/>
        </w:rPr>
        <w:t xml:space="preserve"> разумна печалба</w:t>
      </w:r>
      <w:r w:rsidR="009D3D70" w:rsidRPr="00587099">
        <w:rPr>
          <w:rFonts w:ascii="Times New Roman" w:hAnsi="Times New Roman" w:cs="Times New Roman"/>
          <w:sz w:val="24"/>
          <w:szCs w:val="24"/>
        </w:rPr>
        <w:t>.</w:t>
      </w:r>
    </w:p>
    <w:p w14:paraId="0DE7CE67" w14:textId="77777777" w:rsidR="0074313D" w:rsidRPr="0084544D" w:rsidRDefault="00F97C70" w:rsidP="008C240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44D">
        <w:rPr>
          <w:rFonts w:ascii="Times New Roman" w:hAnsi="Times New Roman" w:cs="Times New Roman"/>
          <w:sz w:val="24"/>
          <w:szCs w:val="24"/>
        </w:rPr>
        <w:t xml:space="preserve">Предвидено е разумната печалба да бъде </w:t>
      </w:r>
      <w:r w:rsidR="00015DFB">
        <w:rPr>
          <w:rFonts w:ascii="Times New Roman" w:hAnsi="Times New Roman" w:cs="Times New Roman"/>
          <w:sz w:val="24"/>
          <w:szCs w:val="24"/>
        </w:rPr>
        <w:t>критерий за подбор и да не надвишава определено ниво</w:t>
      </w:r>
      <w:r w:rsidRPr="0084544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E5FCB8" w14:textId="77777777" w:rsidR="007925AE" w:rsidRPr="0084544D" w:rsidRDefault="00F97C70" w:rsidP="008C240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44D">
        <w:rPr>
          <w:rFonts w:ascii="Times New Roman" w:hAnsi="Times New Roman" w:cs="Times New Roman"/>
          <w:sz w:val="24"/>
          <w:szCs w:val="24"/>
        </w:rPr>
        <w:t xml:space="preserve">Участниците в обществената поръчка ще оферират в ценовото си предложение разумна </w:t>
      </w:r>
      <w:r w:rsidR="00657BB0">
        <w:rPr>
          <w:rFonts w:ascii="Times New Roman" w:hAnsi="Times New Roman" w:cs="Times New Roman"/>
          <w:sz w:val="24"/>
          <w:szCs w:val="24"/>
        </w:rPr>
        <w:t>печалба</w:t>
      </w:r>
      <w:r w:rsidR="009B7D26">
        <w:rPr>
          <w:rFonts w:ascii="Times New Roman" w:hAnsi="Times New Roman" w:cs="Times New Roman"/>
          <w:sz w:val="24"/>
          <w:szCs w:val="24"/>
        </w:rPr>
        <w:t xml:space="preserve"> </w:t>
      </w:r>
      <w:r w:rsidR="00B47E81">
        <w:rPr>
          <w:rFonts w:ascii="Times New Roman" w:hAnsi="Times New Roman" w:cs="Times New Roman"/>
          <w:sz w:val="24"/>
          <w:szCs w:val="24"/>
        </w:rPr>
        <w:t>до 5</w:t>
      </w:r>
      <w:r w:rsidR="0074313D" w:rsidRPr="0084544D">
        <w:rPr>
          <w:rFonts w:ascii="Times New Roman" w:hAnsi="Times New Roman" w:cs="Times New Roman"/>
          <w:sz w:val="24"/>
          <w:szCs w:val="24"/>
        </w:rPr>
        <w:t>%</w:t>
      </w:r>
      <w:r w:rsidR="003B054E">
        <w:rPr>
          <w:rFonts w:ascii="Times New Roman" w:hAnsi="Times New Roman" w:cs="Times New Roman"/>
          <w:sz w:val="24"/>
          <w:szCs w:val="24"/>
        </w:rPr>
        <w:t>. П</w:t>
      </w:r>
      <w:r w:rsidR="00657BB0">
        <w:rPr>
          <w:rFonts w:ascii="Times New Roman" w:hAnsi="Times New Roman" w:cs="Times New Roman"/>
          <w:sz w:val="24"/>
          <w:szCs w:val="24"/>
        </w:rPr>
        <w:t>редложената граница е нормална</w:t>
      </w:r>
      <w:r w:rsidR="0074313D" w:rsidRPr="0084544D">
        <w:rPr>
          <w:rFonts w:ascii="Times New Roman" w:hAnsi="Times New Roman" w:cs="Times New Roman"/>
          <w:sz w:val="24"/>
          <w:szCs w:val="24"/>
        </w:rPr>
        <w:t xml:space="preserve"> за пътническия транспортен </w:t>
      </w:r>
      <w:r w:rsidR="00657BB0">
        <w:rPr>
          <w:rFonts w:ascii="Times New Roman" w:hAnsi="Times New Roman" w:cs="Times New Roman"/>
          <w:sz w:val="24"/>
          <w:szCs w:val="24"/>
        </w:rPr>
        <w:t>сектор и</w:t>
      </w:r>
      <w:r w:rsidR="0087034A" w:rsidRPr="0084544D">
        <w:rPr>
          <w:rFonts w:ascii="Times New Roman" w:hAnsi="Times New Roman" w:cs="Times New Roman"/>
          <w:sz w:val="24"/>
          <w:szCs w:val="24"/>
        </w:rPr>
        <w:t xml:space="preserve"> </w:t>
      </w:r>
      <w:r w:rsidR="0074313D" w:rsidRPr="0084544D">
        <w:rPr>
          <w:rFonts w:ascii="Times New Roman" w:hAnsi="Times New Roman" w:cs="Times New Roman"/>
          <w:sz w:val="24"/>
          <w:szCs w:val="24"/>
        </w:rPr>
        <w:t>е</w:t>
      </w:r>
      <w:r w:rsidR="00657BB0">
        <w:rPr>
          <w:rFonts w:ascii="Times New Roman" w:hAnsi="Times New Roman" w:cs="Times New Roman"/>
          <w:sz w:val="24"/>
          <w:szCs w:val="24"/>
        </w:rPr>
        <w:t xml:space="preserve"> достатъч</w:t>
      </w:r>
      <w:r w:rsidR="0087034A" w:rsidRPr="0084544D">
        <w:rPr>
          <w:rFonts w:ascii="Times New Roman" w:hAnsi="Times New Roman" w:cs="Times New Roman"/>
          <w:sz w:val="24"/>
          <w:szCs w:val="24"/>
        </w:rPr>
        <w:t>н</w:t>
      </w:r>
      <w:r w:rsidR="00657BB0">
        <w:rPr>
          <w:rFonts w:ascii="Times New Roman" w:hAnsi="Times New Roman" w:cs="Times New Roman"/>
          <w:sz w:val="24"/>
          <w:szCs w:val="24"/>
        </w:rPr>
        <w:t>а</w:t>
      </w:r>
      <w:r w:rsidR="0087034A" w:rsidRPr="0084544D">
        <w:rPr>
          <w:rFonts w:ascii="Times New Roman" w:hAnsi="Times New Roman" w:cs="Times New Roman"/>
          <w:sz w:val="24"/>
          <w:szCs w:val="24"/>
        </w:rPr>
        <w:t xml:space="preserve"> за една компенсирана услуга.</w:t>
      </w:r>
      <w:r w:rsidR="007925AE" w:rsidRPr="0084544D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9B7D26">
        <w:rPr>
          <w:rFonts w:ascii="Times New Roman" w:hAnsi="Times New Roman" w:cs="Times New Roman"/>
          <w:sz w:val="24"/>
          <w:szCs w:val="24"/>
        </w:rPr>
        <w:t>В</w:t>
      </w:r>
      <w:r w:rsidR="007925AE" w:rsidRPr="0084544D">
        <w:rPr>
          <w:rFonts w:ascii="Times New Roman" w:hAnsi="Times New Roman" w:cs="Times New Roman"/>
          <w:sz w:val="24"/>
          <w:szCs w:val="24"/>
        </w:rPr>
        <w:t xml:space="preserve"> проекта на договора са предвидени проверки от възложителя, както и независим одит.</w:t>
      </w:r>
    </w:p>
    <w:p w14:paraId="621CD444" w14:textId="77777777" w:rsidR="00F97C70" w:rsidRPr="0084544D" w:rsidRDefault="00F97C70" w:rsidP="008C240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44D">
        <w:rPr>
          <w:rFonts w:ascii="Times New Roman" w:hAnsi="Times New Roman" w:cs="Times New Roman"/>
          <w:sz w:val="24"/>
          <w:szCs w:val="24"/>
        </w:rPr>
        <w:lastRenderedPageBreak/>
        <w:t>При изпълнение на договора се предвижда възможност за изменение на Тарифата за превоз на пътници, както следва:</w:t>
      </w:r>
    </w:p>
    <w:p w14:paraId="0708221A" w14:textId="77777777" w:rsidR="00F97C70" w:rsidRPr="0084544D" w:rsidRDefault="003B054E" w:rsidP="008C240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97C70" w:rsidRPr="0084544D">
        <w:rPr>
          <w:rFonts w:ascii="Times New Roman" w:hAnsi="Times New Roman" w:cs="Times New Roman"/>
          <w:sz w:val="24"/>
          <w:szCs w:val="24"/>
        </w:rPr>
        <w:t>не по-често от веднъж в тримесечието на една календарна година да се индексират всички или част от цените в Тарифата с индекса на инфлация;</w:t>
      </w:r>
    </w:p>
    <w:p w14:paraId="5E10FA6A" w14:textId="77777777" w:rsidR="00F97C70" w:rsidRPr="0084544D" w:rsidRDefault="003B054E" w:rsidP="008C240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97C70" w:rsidRPr="0084544D">
        <w:rPr>
          <w:rFonts w:ascii="Times New Roman" w:hAnsi="Times New Roman" w:cs="Times New Roman"/>
          <w:sz w:val="24"/>
          <w:szCs w:val="24"/>
        </w:rPr>
        <w:t xml:space="preserve">при трайно и чувствително увеличение на цените на горивата, електроенергията, инфраструктурните такси и другите продукти и услуги, съставляващи текущи разходи на превозвача, които надхвърлят с повече от 5% увеличението на индекса на инфлация. </w:t>
      </w:r>
    </w:p>
    <w:p w14:paraId="4C638C79" w14:textId="77777777" w:rsidR="0087034A" w:rsidRPr="0084544D" w:rsidRDefault="0087034A" w:rsidP="008C240F">
      <w:pPr>
        <w:pStyle w:val="ListParagraph"/>
        <w:spacing w:before="12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544D">
        <w:rPr>
          <w:rFonts w:ascii="Times New Roman" w:hAnsi="Times New Roman" w:cs="Times New Roman"/>
          <w:bCs/>
          <w:sz w:val="24"/>
          <w:szCs w:val="24"/>
        </w:rPr>
        <w:t xml:space="preserve">В случай че </w:t>
      </w:r>
      <w:r w:rsidR="000857A7">
        <w:rPr>
          <w:rFonts w:ascii="Times New Roman" w:hAnsi="Times New Roman" w:cs="Times New Roman"/>
          <w:bCs/>
          <w:sz w:val="24"/>
          <w:szCs w:val="24"/>
        </w:rPr>
        <w:t xml:space="preserve">съответният </w:t>
      </w:r>
      <w:r w:rsidRPr="0084544D">
        <w:rPr>
          <w:rFonts w:ascii="Times New Roman" w:hAnsi="Times New Roman" w:cs="Times New Roman"/>
          <w:bCs/>
          <w:sz w:val="24"/>
          <w:szCs w:val="24"/>
        </w:rPr>
        <w:t>Изпълнител извършва не само субсидирани услуги в изпълнение на задължения за обществени превозни услуги, а развива и други дейности, счетоводството за посочените обществени услуги трябва да бъде отделено.</w:t>
      </w:r>
    </w:p>
    <w:p w14:paraId="2210E13D" w14:textId="77777777" w:rsidR="007A5E10" w:rsidRPr="0084544D" w:rsidRDefault="007A5E10" w:rsidP="008C240F">
      <w:pPr>
        <w:pStyle w:val="ListParagraph"/>
        <w:spacing w:before="120"/>
        <w:ind w:left="0" w:firstLine="709"/>
        <w:jc w:val="both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84544D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В съответствие с </w:t>
      </w:r>
      <w:r w:rsidR="00E4239C" w:rsidRPr="0084544D">
        <w:rPr>
          <w:rFonts w:ascii="Times New Roman" w:hAnsi="Times New Roman" w:cs="Times New Roman"/>
          <w:kern w:val="2"/>
          <w:sz w:val="24"/>
          <w:szCs w:val="24"/>
          <w:lang w:eastAsia="en-US"/>
        </w:rPr>
        <w:t>принципите, установени в чл</w:t>
      </w:r>
      <w:r w:rsidR="009A633E" w:rsidRPr="0084544D">
        <w:rPr>
          <w:rFonts w:ascii="Times New Roman" w:hAnsi="Times New Roman" w:cs="Times New Roman"/>
          <w:kern w:val="2"/>
          <w:sz w:val="24"/>
          <w:szCs w:val="24"/>
          <w:lang w:eastAsia="en-US"/>
        </w:rPr>
        <w:t>ен</w:t>
      </w:r>
      <w:r w:rsidRPr="0084544D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 4 и </w:t>
      </w:r>
      <w:r w:rsidR="00E4239C" w:rsidRPr="0084544D">
        <w:rPr>
          <w:rFonts w:ascii="Times New Roman" w:hAnsi="Times New Roman" w:cs="Times New Roman"/>
          <w:kern w:val="2"/>
          <w:sz w:val="24"/>
          <w:szCs w:val="24"/>
          <w:lang w:eastAsia="en-US"/>
        </w:rPr>
        <w:t>чл</w:t>
      </w:r>
      <w:r w:rsidR="009A633E" w:rsidRPr="0084544D">
        <w:rPr>
          <w:rFonts w:ascii="Times New Roman" w:hAnsi="Times New Roman" w:cs="Times New Roman"/>
          <w:kern w:val="2"/>
          <w:sz w:val="24"/>
          <w:szCs w:val="24"/>
          <w:lang w:eastAsia="en-US"/>
        </w:rPr>
        <w:t>ен</w:t>
      </w:r>
      <w:r w:rsidR="00E4239C" w:rsidRPr="0084544D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 </w:t>
      </w:r>
      <w:r w:rsidRPr="0084544D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6 от Регламент 1370/2007, </w:t>
      </w:r>
      <w:r w:rsidR="00E4239C" w:rsidRPr="0084544D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избраните </w:t>
      </w:r>
      <w:r w:rsidR="000857A7">
        <w:rPr>
          <w:rFonts w:ascii="Times New Roman" w:hAnsi="Times New Roman" w:cs="Times New Roman"/>
          <w:kern w:val="2"/>
          <w:sz w:val="24"/>
          <w:szCs w:val="24"/>
          <w:lang w:eastAsia="en-US"/>
        </w:rPr>
        <w:t>Изпълнители</w:t>
      </w:r>
      <w:r w:rsidR="000857A7" w:rsidRPr="0084544D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 </w:t>
      </w:r>
      <w:r w:rsidRPr="0084544D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на обществени услуги </w:t>
      </w:r>
      <w:r w:rsidR="00E4239C" w:rsidRPr="0084544D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ще бъдат компенсирани </w:t>
      </w:r>
      <w:r w:rsidRPr="0084544D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за нетния финансов ефект, положителен или отрицателен, върху извършените разходи и реализираните приходи вследствие спазването на тарифните задължения, установени с общи правила, по начин, който предотвратява </w:t>
      </w:r>
      <w:proofErr w:type="spellStart"/>
      <w:r w:rsidRPr="0084544D">
        <w:rPr>
          <w:rFonts w:ascii="Times New Roman" w:hAnsi="Times New Roman" w:cs="Times New Roman"/>
          <w:kern w:val="2"/>
          <w:sz w:val="24"/>
          <w:szCs w:val="24"/>
          <w:lang w:eastAsia="en-US"/>
        </w:rPr>
        <w:t>свръхкомпенсиране</w:t>
      </w:r>
      <w:proofErr w:type="spellEnd"/>
      <w:r w:rsidRPr="0084544D">
        <w:rPr>
          <w:rFonts w:ascii="Times New Roman" w:hAnsi="Times New Roman" w:cs="Times New Roman"/>
          <w:kern w:val="2"/>
          <w:sz w:val="24"/>
          <w:szCs w:val="24"/>
          <w:lang w:eastAsia="en-US"/>
        </w:rPr>
        <w:t>. Това не</w:t>
      </w:r>
      <w:r w:rsidR="000A6195" w:rsidRPr="0084544D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 засяга правото на компетентния орган да включва</w:t>
      </w:r>
      <w:r w:rsidRPr="0084544D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 задължения за извършване на обществени услуги, свързани с установяване на максимални тарифи в обществени поръчки за услуги.</w:t>
      </w:r>
    </w:p>
    <w:p w14:paraId="7C9DAE7C" w14:textId="77777777" w:rsidR="00DD5BF0" w:rsidRDefault="00D57A0F" w:rsidP="00DD5BF0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0F">
        <w:rPr>
          <w:rFonts w:ascii="Times New Roman" w:hAnsi="Times New Roman" w:cs="Times New Roman"/>
          <w:sz w:val="24"/>
          <w:szCs w:val="24"/>
        </w:rPr>
        <w:t>В процедурата ще се установят предварително, по обективен и прозрачен начин, параметрите, въз основа на които се изчислява</w:t>
      </w:r>
      <w:r w:rsidR="00657BB0">
        <w:rPr>
          <w:rFonts w:ascii="Times New Roman" w:hAnsi="Times New Roman" w:cs="Times New Roman"/>
          <w:sz w:val="24"/>
          <w:szCs w:val="24"/>
        </w:rPr>
        <w:t xml:space="preserve"> компенсацията. </w:t>
      </w:r>
      <w:r w:rsidR="00015DFB">
        <w:rPr>
          <w:rFonts w:ascii="Times New Roman" w:hAnsi="Times New Roman" w:cs="Times New Roman"/>
          <w:sz w:val="24"/>
          <w:szCs w:val="24"/>
        </w:rPr>
        <w:t xml:space="preserve">Тръжната документация ще включва формули за изчисляване на компенсацията. </w:t>
      </w:r>
      <w:r w:rsidR="00657BB0">
        <w:rPr>
          <w:rFonts w:ascii="Times New Roman" w:hAnsi="Times New Roman" w:cs="Times New Roman"/>
          <w:sz w:val="24"/>
          <w:szCs w:val="24"/>
        </w:rPr>
        <w:t xml:space="preserve">Разпределянето </w:t>
      </w:r>
      <w:r w:rsidR="0036575E">
        <w:rPr>
          <w:rFonts w:ascii="Times New Roman" w:hAnsi="Times New Roman" w:cs="Times New Roman"/>
          <w:sz w:val="24"/>
          <w:szCs w:val="24"/>
        </w:rPr>
        <w:t>ѝ</w:t>
      </w:r>
      <w:r w:rsidR="003657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7A0F">
        <w:rPr>
          <w:rFonts w:ascii="Times New Roman" w:hAnsi="Times New Roman" w:cs="Times New Roman"/>
          <w:sz w:val="24"/>
          <w:szCs w:val="24"/>
        </w:rPr>
        <w:t xml:space="preserve">ще се извършва не само на базата на изминати </w:t>
      </w:r>
      <w:proofErr w:type="spellStart"/>
      <w:r w:rsidRPr="00D57A0F">
        <w:rPr>
          <w:rFonts w:ascii="Times New Roman" w:hAnsi="Times New Roman" w:cs="Times New Roman"/>
          <w:sz w:val="24"/>
          <w:szCs w:val="24"/>
        </w:rPr>
        <w:t>влаккилометри</w:t>
      </w:r>
      <w:proofErr w:type="spellEnd"/>
      <w:r w:rsidRPr="00D57A0F">
        <w:rPr>
          <w:rFonts w:ascii="Times New Roman" w:hAnsi="Times New Roman" w:cs="Times New Roman"/>
          <w:sz w:val="24"/>
          <w:szCs w:val="24"/>
        </w:rPr>
        <w:t xml:space="preserve">, а и на базата на бонус – </w:t>
      </w:r>
      <w:proofErr w:type="spellStart"/>
      <w:r w:rsidRPr="00D57A0F">
        <w:rPr>
          <w:rFonts w:ascii="Times New Roman" w:hAnsi="Times New Roman" w:cs="Times New Roman"/>
          <w:sz w:val="24"/>
          <w:szCs w:val="24"/>
        </w:rPr>
        <w:t>малус</w:t>
      </w:r>
      <w:proofErr w:type="spellEnd"/>
      <w:r w:rsidRPr="00D57A0F">
        <w:rPr>
          <w:rFonts w:ascii="Times New Roman" w:hAnsi="Times New Roman" w:cs="Times New Roman"/>
          <w:sz w:val="24"/>
          <w:szCs w:val="24"/>
        </w:rPr>
        <w:t xml:space="preserve"> система, която отчита стойностите на ключови показатели за качество.</w:t>
      </w:r>
    </w:p>
    <w:p w14:paraId="483BB645" w14:textId="77777777" w:rsidR="00657BB0" w:rsidRDefault="00DD5BF0" w:rsidP="00657BB0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5BF0">
        <w:rPr>
          <w:rFonts w:ascii="Times New Roman" w:hAnsi="Times New Roman" w:cs="Times New Roman"/>
          <w:b/>
          <w:sz w:val="24"/>
          <w:szCs w:val="24"/>
          <w:u w:val="single"/>
        </w:rPr>
        <w:t xml:space="preserve">9. </w:t>
      </w:r>
      <w:proofErr w:type="spellStart"/>
      <w:r w:rsidR="0035351A" w:rsidRPr="00DD5BF0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="007F2D9D" w:rsidRPr="00DD5BF0">
        <w:rPr>
          <w:rFonts w:ascii="Times New Roman" w:hAnsi="Times New Roman" w:cs="Times New Roman"/>
          <w:b/>
          <w:sz w:val="24"/>
          <w:szCs w:val="24"/>
          <w:u w:val="single"/>
        </w:rPr>
        <w:t>одизпълнение</w:t>
      </w:r>
      <w:proofErr w:type="spellEnd"/>
      <w:r w:rsidR="0035351A" w:rsidRPr="00DD5BF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8206D" w:rsidRPr="00DD5BF0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="00A8206D" w:rsidRPr="00DD5BF0">
        <w:rPr>
          <w:rFonts w:ascii="Times New Roman" w:hAnsi="Times New Roman" w:cs="Times New Roman"/>
          <w:sz w:val="24"/>
          <w:szCs w:val="24"/>
        </w:rPr>
        <w:t xml:space="preserve"> </w:t>
      </w:r>
      <w:r w:rsidR="00BF2000" w:rsidRPr="00DD5BF0">
        <w:rPr>
          <w:rFonts w:ascii="Times New Roman" w:hAnsi="Times New Roman" w:cs="Times New Roman"/>
          <w:sz w:val="24"/>
          <w:szCs w:val="24"/>
        </w:rPr>
        <w:t>не се предвижда</w:t>
      </w:r>
      <w:r w:rsidR="00727102" w:rsidRPr="00DD5BF0">
        <w:rPr>
          <w:rFonts w:ascii="Times New Roman" w:hAnsi="Times New Roman" w:cs="Times New Roman"/>
          <w:sz w:val="24"/>
          <w:szCs w:val="24"/>
        </w:rPr>
        <w:t xml:space="preserve"> допускане на</w:t>
      </w:r>
      <w:r w:rsidR="00BF2000" w:rsidRPr="00DD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000" w:rsidRPr="00DD5BF0">
        <w:rPr>
          <w:rFonts w:ascii="Times New Roman" w:hAnsi="Times New Roman" w:cs="Times New Roman"/>
          <w:sz w:val="24"/>
          <w:szCs w:val="24"/>
        </w:rPr>
        <w:t>подизпълнение</w:t>
      </w:r>
      <w:proofErr w:type="spellEnd"/>
      <w:r w:rsidR="00B714A5" w:rsidRPr="00DD5BF0">
        <w:rPr>
          <w:rFonts w:ascii="Times New Roman" w:hAnsi="Times New Roman" w:cs="Times New Roman"/>
          <w:sz w:val="24"/>
          <w:szCs w:val="24"/>
        </w:rPr>
        <w:t>. Възложителят не смята за целесъобразно допускането на подизпълнители</w:t>
      </w:r>
      <w:r w:rsidR="004A29B4" w:rsidRPr="00DD5BF0">
        <w:rPr>
          <w:rFonts w:ascii="Times New Roman" w:hAnsi="Times New Roman" w:cs="Times New Roman"/>
          <w:sz w:val="24"/>
          <w:szCs w:val="24"/>
        </w:rPr>
        <w:t xml:space="preserve"> предвид разделянето на поръчката на обособени позиции</w:t>
      </w:r>
      <w:r w:rsidR="00727102" w:rsidRPr="00DD5BF0">
        <w:rPr>
          <w:rFonts w:ascii="Times New Roman" w:hAnsi="Times New Roman" w:cs="Times New Roman"/>
          <w:sz w:val="24"/>
          <w:szCs w:val="24"/>
        </w:rPr>
        <w:t>.</w:t>
      </w:r>
      <w:r w:rsidR="00657BB0" w:rsidRPr="00657B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CC4C35" w14:textId="77777777" w:rsidR="00DD5BF0" w:rsidRDefault="00657BB0" w:rsidP="00657BB0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7BB0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36575E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985363" w:rsidRPr="0036575E">
        <w:rPr>
          <w:rFonts w:ascii="Times New Roman" w:hAnsi="Times New Roman" w:cs="Times New Roman"/>
          <w:b/>
          <w:sz w:val="24"/>
          <w:szCs w:val="24"/>
          <w:u w:val="single"/>
        </w:rPr>
        <w:t>Ключови показатели за качество</w:t>
      </w:r>
      <w:r w:rsidR="00985363" w:rsidRPr="0098536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987242">
        <w:rPr>
          <w:rFonts w:ascii="Times New Roman" w:hAnsi="Times New Roman" w:cs="Times New Roman"/>
          <w:sz w:val="24"/>
          <w:szCs w:val="24"/>
        </w:rPr>
        <w:t>Качествените показатели за услугата ще бъдат описани в приложение към техническ</w:t>
      </w:r>
      <w:r w:rsidR="000857A7">
        <w:rPr>
          <w:rFonts w:ascii="Times New Roman" w:hAnsi="Times New Roman" w:cs="Times New Roman"/>
          <w:sz w:val="24"/>
          <w:szCs w:val="24"/>
        </w:rPr>
        <w:t>ите</w:t>
      </w:r>
      <w:r w:rsidRPr="00987242">
        <w:rPr>
          <w:rFonts w:ascii="Times New Roman" w:hAnsi="Times New Roman" w:cs="Times New Roman"/>
          <w:sz w:val="24"/>
          <w:szCs w:val="24"/>
        </w:rPr>
        <w:t xml:space="preserve"> спецификаци</w:t>
      </w:r>
      <w:r w:rsidR="000857A7">
        <w:rPr>
          <w:rFonts w:ascii="Times New Roman" w:hAnsi="Times New Roman" w:cs="Times New Roman"/>
          <w:sz w:val="24"/>
          <w:szCs w:val="24"/>
        </w:rPr>
        <w:t>и</w:t>
      </w:r>
      <w:r w:rsidRPr="00987242">
        <w:rPr>
          <w:rFonts w:ascii="Times New Roman" w:hAnsi="Times New Roman" w:cs="Times New Roman"/>
          <w:sz w:val="24"/>
          <w:szCs w:val="24"/>
        </w:rPr>
        <w:t xml:space="preserve"> „Качествени показатели за предоставяне на превозните услуги“.</w:t>
      </w:r>
    </w:p>
    <w:p w14:paraId="7994709B" w14:textId="77777777" w:rsidR="000242AD" w:rsidRPr="00DD5BF0" w:rsidRDefault="00657BB0" w:rsidP="00DD5BF0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="00DD5BF0" w:rsidRPr="00DD5BF0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602D3C" w:rsidRPr="00DD5BF0">
        <w:rPr>
          <w:rFonts w:ascii="Times New Roman" w:hAnsi="Times New Roman" w:cs="Times New Roman"/>
          <w:b/>
          <w:sz w:val="24"/>
          <w:szCs w:val="24"/>
          <w:u w:val="single"/>
        </w:rPr>
        <w:t>Критерий за възлагане на поръчката</w:t>
      </w:r>
    </w:p>
    <w:p w14:paraId="4EB0E4F7" w14:textId="77777777" w:rsidR="004D7B9A" w:rsidRPr="0084544D" w:rsidRDefault="004D7B9A" w:rsidP="008C240F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3072">
        <w:rPr>
          <w:rFonts w:ascii="Times New Roman" w:hAnsi="Times New Roman" w:cs="Times New Roman"/>
          <w:sz w:val="24"/>
          <w:szCs w:val="24"/>
        </w:rPr>
        <w:t>Планираме поръчката да се възложи по критерий</w:t>
      </w:r>
      <w:r w:rsidRPr="00933072">
        <w:rPr>
          <w:rFonts w:ascii="Times New Roman" w:eastAsia="Calibri" w:hAnsi="Times New Roman" w:cs="Times New Roman"/>
          <w:kern w:val="0"/>
          <w:sz w:val="24"/>
          <w:szCs w:val="24"/>
          <w:lang w:eastAsia="bg-BG"/>
          <w14:ligatures w14:val="none"/>
        </w:rPr>
        <w:t xml:space="preserve"> „най-ниска цена“</w:t>
      </w:r>
      <w:r w:rsidRPr="00933072">
        <w:rPr>
          <w:rFonts w:ascii="Times New Roman" w:hAnsi="Times New Roman" w:cs="Times New Roman"/>
          <w:sz w:val="24"/>
          <w:szCs w:val="24"/>
        </w:rPr>
        <w:t xml:space="preserve"> по смисъла на чл. 70, ал. 2, т. 1 от Закона за обществените поръчки. Показател</w:t>
      </w:r>
      <w:r w:rsidR="00015DFB" w:rsidRPr="00933072">
        <w:rPr>
          <w:rFonts w:ascii="Times New Roman" w:hAnsi="Times New Roman" w:cs="Times New Roman"/>
          <w:sz w:val="24"/>
          <w:szCs w:val="24"/>
        </w:rPr>
        <w:t>ят</w:t>
      </w:r>
      <w:r w:rsidRPr="00933072">
        <w:rPr>
          <w:rFonts w:ascii="Times New Roman" w:hAnsi="Times New Roman" w:cs="Times New Roman"/>
          <w:sz w:val="24"/>
          <w:szCs w:val="24"/>
        </w:rPr>
        <w:t>, включен в критерия за оценка на офертите</w:t>
      </w:r>
      <w:r w:rsidR="00015DFB" w:rsidRPr="00933072">
        <w:rPr>
          <w:rFonts w:ascii="Times New Roman" w:hAnsi="Times New Roman" w:cs="Times New Roman"/>
          <w:sz w:val="24"/>
          <w:szCs w:val="24"/>
        </w:rPr>
        <w:t>,</w:t>
      </w:r>
      <w:r w:rsidRPr="00933072">
        <w:rPr>
          <w:rFonts w:ascii="Times New Roman" w:hAnsi="Times New Roman" w:cs="Times New Roman"/>
          <w:sz w:val="24"/>
          <w:szCs w:val="24"/>
        </w:rPr>
        <w:t xml:space="preserve"> </w:t>
      </w:r>
      <w:r w:rsidR="00015DFB" w:rsidRPr="00933072">
        <w:rPr>
          <w:rFonts w:ascii="Times New Roman" w:hAnsi="Times New Roman" w:cs="Times New Roman"/>
          <w:sz w:val="24"/>
          <w:szCs w:val="24"/>
        </w:rPr>
        <w:t xml:space="preserve">е </w:t>
      </w:r>
      <w:r w:rsidRPr="00933072">
        <w:rPr>
          <w:rFonts w:ascii="Times New Roman" w:hAnsi="Times New Roman" w:cs="Times New Roman"/>
          <w:sz w:val="24"/>
          <w:szCs w:val="24"/>
        </w:rPr>
        <w:t xml:space="preserve">средна себестойност на </w:t>
      </w:r>
      <w:proofErr w:type="spellStart"/>
      <w:r w:rsidRPr="00933072">
        <w:rPr>
          <w:rFonts w:ascii="Times New Roman" w:hAnsi="Times New Roman" w:cs="Times New Roman"/>
          <w:sz w:val="24"/>
          <w:szCs w:val="24"/>
        </w:rPr>
        <w:t>влаккилометър</w:t>
      </w:r>
      <w:proofErr w:type="spellEnd"/>
      <w:r w:rsidRPr="00933072">
        <w:rPr>
          <w:rFonts w:ascii="Times New Roman" w:hAnsi="Times New Roman" w:cs="Times New Roman"/>
          <w:sz w:val="24"/>
          <w:szCs w:val="24"/>
        </w:rPr>
        <w:t>.</w:t>
      </w:r>
    </w:p>
    <w:p w14:paraId="734CBEE7" w14:textId="77777777" w:rsidR="004D7B9A" w:rsidRPr="0084544D" w:rsidRDefault="004D7B9A" w:rsidP="008C240F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44D">
        <w:rPr>
          <w:rFonts w:ascii="Times New Roman" w:hAnsi="Times New Roman" w:cs="Times New Roman"/>
          <w:sz w:val="24"/>
          <w:szCs w:val="24"/>
        </w:rPr>
        <w:t>При определянето на този критерий се счита, че в параметрите на поръчката са заложени изисквания, които гарантират качеството на услугата и всички допуснати до оценка оферти следва да отговарят на тях. С критерият „най-ниска цена“ се гарантира свободната конкуренция, липсата на дискриминация и равнопоставеност на участниците, както и се осигурява ефективното разходване на публични средства.</w:t>
      </w:r>
    </w:p>
    <w:p w14:paraId="6244A8B0" w14:textId="77777777" w:rsidR="00F70D5E" w:rsidRPr="00DD5BF0" w:rsidRDefault="00657BB0" w:rsidP="00DD5BF0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="00DD5BF0" w:rsidRPr="00DD5BF0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2D3118" w:rsidRPr="00DD5BF0">
        <w:rPr>
          <w:rFonts w:ascii="Times New Roman" w:hAnsi="Times New Roman" w:cs="Times New Roman"/>
          <w:b/>
          <w:sz w:val="24"/>
          <w:szCs w:val="24"/>
          <w:u w:val="single"/>
        </w:rPr>
        <w:t>Критерии за подбор</w:t>
      </w:r>
      <w:r w:rsidR="00AA42E2" w:rsidRPr="00DD5BF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F08630B" w14:textId="77777777" w:rsidR="00FA4115" w:rsidRPr="0084544D" w:rsidRDefault="004D7B9A" w:rsidP="008C240F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44D">
        <w:rPr>
          <w:rFonts w:ascii="Times New Roman" w:hAnsi="Times New Roman" w:cs="Times New Roman"/>
          <w:sz w:val="24"/>
          <w:szCs w:val="24"/>
        </w:rPr>
        <w:t xml:space="preserve">Планираме критериите за подбор да са в съответствие с изискванията на европейското и националното законодателство в областта на железопътния транспорт, като намираме за разумно и необходимо участниците в процедурата </w:t>
      </w:r>
      <w:r w:rsidR="00905209" w:rsidRPr="0084544D">
        <w:rPr>
          <w:rFonts w:ascii="Times New Roman" w:hAnsi="Times New Roman" w:cs="Times New Roman"/>
          <w:sz w:val="24"/>
          <w:szCs w:val="24"/>
        </w:rPr>
        <w:t>да</w:t>
      </w:r>
      <w:r w:rsidR="00FA4115" w:rsidRPr="0084544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FCC878A" w14:textId="77777777" w:rsidR="00F70D5E" w:rsidRPr="0084544D" w:rsidRDefault="003B054E" w:rsidP="008C240F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70D5E" w:rsidRPr="0084544D">
        <w:rPr>
          <w:rFonts w:ascii="Times New Roman" w:hAnsi="Times New Roman" w:cs="Times New Roman"/>
          <w:sz w:val="24"/>
          <w:szCs w:val="24"/>
        </w:rPr>
        <w:t xml:space="preserve">притежават Лицензия за извършване на железопътни превози на пътници, издадена в Република България или в друга държава членка на </w:t>
      </w:r>
      <w:r w:rsidR="00C76047" w:rsidRPr="0084544D">
        <w:rPr>
          <w:rFonts w:ascii="Times New Roman" w:hAnsi="Times New Roman" w:cs="Times New Roman"/>
          <w:sz w:val="24"/>
          <w:szCs w:val="24"/>
        </w:rPr>
        <w:t>ЕС</w:t>
      </w:r>
      <w:r w:rsidR="00F70D5E" w:rsidRPr="0084544D">
        <w:rPr>
          <w:rFonts w:ascii="Times New Roman" w:hAnsi="Times New Roman" w:cs="Times New Roman"/>
          <w:sz w:val="24"/>
          <w:szCs w:val="24"/>
        </w:rPr>
        <w:t xml:space="preserve">, валидна на територията на държавите членки на </w:t>
      </w:r>
      <w:r w:rsidR="00C76047" w:rsidRPr="0084544D">
        <w:rPr>
          <w:rFonts w:ascii="Times New Roman" w:hAnsi="Times New Roman" w:cs="Times New Roman"/>
          <w:sz w:val="24"/>
          <w:szCs w:val="24"/>
        </w:rPr>
        <w:t>ЕС</w:t>
      </w:r>
      <w:r w:rsidR="00F70D5E" w:rsidRPr="0084544D">
        <w:rPr>
          <w:rFonts w:ascii="Times New Roman" w:hAnsi="Times New Roman" w:cs="Times New Roman"/>
          <w:sz w:val="24"/>
          <w:szCs w:val="24"/>
        </w:rPr>
        <w:t>, в съответствие с Директива 2012/34/ЕС на Европейския парламент и на Съвета от 21 ноември 2012 година за създаване на единно европейско железопътно пространство и съответното национално законодателство –</w:t>
      </w:r>
      <w:r w:rsidR="00C76047" w:rsidRPr="0084544D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F70D5E" w:rsidRPr="0084544D">
        <w:rPr>
          <w:rFonts w:ascii="Times New Roman" w:hAnsi="Times New Roman" w:cs="Times New Roman"/>
          <w:sz w:val="24"/>
          <w:szCs w:val="24"/>
        </w:rPr>
        <w:t xml:space="preserve"> за железопътния транспорт и Наредба № 42 от 6.07.2001 г. за лицензиране на железопътни предприятия за превоз на пътници и/или товари.</w:t>
      </w:r>
    </w:p>
    <w:p w14:paraId="6478C4B9" w14:textId="77777777" w:rsidR="003F27B4" w:rsidRPr="0084544D" w:rsidRDefault="003B054E" w:rsidP="008C240F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3F27B4" w:rsidRPr="0084544D">
        <w:rPr>
          <w:rFonts w:ascii="Times New Roman" w:hAnsi="Times New Roman" w:cs="Times New Roman"/>
          <w:sz w:val="24"/>
          <w:szCs w:val="24"/>
        </w:rPr>
        <w:t xml:space="preserve">притежават Единен сертификат за безопасност с област на дейност всички линии от националната железопътна инфраструктура на Република България, издаден съгласно </w:t>
      </w:r>
      <w:r w:rsidR="003F27B4" w:rsidRPr="0084544D">
        <w:rPr>
          <w:rFonts w:ascii="Times New Roman" w:hAnsi="Times New Roman" w:cs="Times New Roman"/>
          <w:sz w:val="24"/>
          <w:szCs w:val="24"/>
        </w:rPr>
        <w:lastRenderedPageBreak/>
        <w:t>изискванията на Директива (ЕС) 2016/798 на Европейския парламент и на Съвета от 11 май 2016 година относно безопасността на железопътния транспорт, транспонирана в националното законодателство, по-специално в Закона за железопътен транспорт и Наредба № 59 от 5.12.2006 г. за управление на безопасността в железопътния транспорт.</w:t>
      </w:r>
    </w:p>
    <w:p w14:paraId="081FD656" w14:textId="77777777" w:rsidR="00F70D5E" w:rsidRPr="0084544D" w:rsidRDefault="003B054E" w:rsidP="008C240F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F70D5E" w:rsidRPr="0084544D">
        <w:rPr>
          <w:rFonts w:ascii="Times New Roman" w:hAnsi="Times New Roman" w:cs="Times New Roman"/>
          <w:sz w:val="24"/>
          <w:szCs w:val="24"/>
        </w:rPr>
        <w:t>прилагат система за управление на качеството, с оглед поддържане на качеството на услугите, съответстваща на стандарт БДС EN ISO 9001:2015 или еквивалент с област на приложение „Извършване на превоз на пътници с железопътен транспорт в международно и вътрешно съобщение“.</w:t>
      </w:r>
    </w:p>
    <w:p w14:paraId="486E4EA6" w14:textId="77777777" w:rsidR="002D3118" w:rsidRDefault="003B054E" w:rsidP="008C240F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F70D5E" w:rsidRPr="0084544D">
        <w:rPr>
          <w:rFonts w:ascii="Times New Roman" w:hAnsi="Times New Roman" w:cs="Times New Roman"/>
          <w:sz w:val="24"/>
          <w:szCs w:val="24"/>
        </w:rPr>
        <w:t>разполагат или да са в състояние да осигурят до влизането в сила на договорите подвижен състав за изпълнението на услугите</w:t>
      </w:r>
      <w:r w:rsidR="001E4458" w:rsidRPr="0084544D">
        <w:rPr>
          <w:rFonts w:ascii="Times New Roman" w:hAnsi="Times New Roman" w:cs="Times New Roman"/>
          <w:sz w:val="24"/>
          <w:szCs w:val="24"/>
        </w:rPr>
        <w:t>, определен съобразно График</w:t>
      </w:r>
      <w:r w:rsidR="00A8206D" w:rsidRPr="0084544D">
        <w:rPr>
          <w:rFonts w:ascii="Times New Roman" w:hAnsi="Times New Roman" w:cs="Times New Roman"/>
          <w:sz w:val="24"/>
          <w:szCs w:val="24"/>
        </w:rPr>
        <w:t>а</w:t>
      </w:r>
      <w:r w:rsidR="001E4458" w:rsidRPr="0084544D">
        <w:rPr>
          <w:rFonts w:ascii="Times New Roman" w:hAnsi="Times New Roman" w:cs="Times New Roman"/>
          <w:sz w:val="24"/>
          <w:szCs w:val="24"/>
        </w:rPr>
        <w:t xml:space="preserve"> за движение на влаковете</w:t>
      </w:r>
      <w:r w:rsidR="00A8206D" w:rsidRPr="0084544D">
        <w:rPr>
          <w:rFonts w:ascii="Times New Roman" w:hAnsi="Times New Roman" w:cs="Times New Roman"/>
          <w:sz w:val="24"/>
          <w:szCs w:val="24"/>
        </w:rPr>
        <w:t xml:space="preserve"> за 2025 г.</w:t>
      </w:r>
    </w:p>
    <w:p w14:paraId="4ACC12FE" w14:textId="77777777" w:rsidR="00015DFB" w:rsidRPr="0084544D" w:rsidRDefault="00015DFB" w:rsidP="008C240F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не надвишават </w:t>
      </w:r>
      <w:r w:rsidR="00826FF1">
        <w:rPr>
          <w:rFonts w:ascii="Times New Roman" w:hAnsi="Times New Roman" w:cs="Times New Roman"/>
          <w:sz w:val="24"/>
          <w:szCs w:val="24"/>
        </w:rPr>
        <w:t>границата от 5% „разумна печалба“ в ценовите си приложения.</w:t>
      </w:r>
    </w:p>
    <w:p w14:paraId="12016834" w14:textId="77777777" w:rsidR="00A411B2" w:rsidRPr="0084544D" w:rsidRDefault="00A411B2" w:rsidP="008C240F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44D">
        <w:rPr>
          <w:rFonts w:ascii="Times New Roman" w:hAnsi="Times New Roman" w:cs="Times New Roman"/>
          <w:sz w:val="24"/>
          <w:szCs w:val="24"/>
        </w:rPr>
        <w:t xml:space="preserve">Във връзка с възможността Изпълнителите да ползват съществуващия подвижен състав на настоящия </w:t>
      </w:r>
      <w:r w:rsidR="0036575E">
        <w:rPr>
          <w:rFonts w:ascii="Times New Roman" w:hAnsi="Times New Roman" w:cs="Times New Roman"/>
          <w:sz w:val="24"/>
          <w:szCs w:val="24"/>
        </w:rPr>
        <w:t>Изпълнител</w:t>
      </w:r>
      <w:r w:rsidRPr="0084544D">
        <w:rPr>
          <w:rFonts w:ascii="Times New Roman" w:hAnsi="Times New Roman" w:cs="Times New Roman"/>
          <w:sz w:val="24"/>
          <w:szCs w:val="24"/>
        </w:rPr>
        <w:t>, е предвидено участниците в процедурата да извършват оглед на подвижния състав, определен за изпълнение на услугата по съответната обособена позиция, както и достъп до информация за техническото му състояние</w:t>
      </w:r>
      <w:r w:rsidR="0087034A" w:rsidRPr="0084544D">
        <w:rPr>
          <w:rFonts w:ascii="Times New Roman" w:hAnsi="Times New Roman" w:cs="Times New Roman"/>
          <w:sz w:val="24"/>
          <w:szCs w:val="24"/>
        </w:rPr>
        <w:t>. В техническ</w:t>
      </w:r>
      <w:r w:rsidR="000857A7">
        <w:rPr>
          <w:rFonts w:ascii="Times New Roman" w:hAnsi="Times New Roman" w:cs="Times New Roman"/>
          <w:sz w:val="24"/>
          <w:szCs w:val="24"/>
        </w:rPr>
        <w:t>ите</w:t>
      </w:r>
      <w:r w:rsidR="0087034A" w:rsidRPr="0084544D">
        <w:rPr>
          <w:rFonts w:ascii="Times New Roman" w:hAnsi="Times New Roman" w:cs="Times New Roman"/>
          <w:sz w:val="24"/>
          <w:szCs w:val="24"/>
        </w:rPr>
        <w:t xml:space="preserve"> спецификаци</w:t>
      </w:r>
      <w:r w:rsidR="000857A7">
        <w:rPr>
          <w:rFonts w:ascii="Times New Roman" w:hAnsi="Times New Roman" w:cs="Times New Roman"/>
          <w:sz w:val="24"/>
          <w:szCs w:val="24"/>
        </w:rPr>
        <w:t>и</w:t>
      </w:r>
      <w:r w:rsidR="0087034A" w:rsidRPr="0084544D">
        <w:rPr>
          <w:rFonts w:ascii="Times New Roman" w:hAnsi="Times New Roman" w:cs="Times New Roman"/>
          <w:sz w:val="24"/>
          <w:szCs w:val="24"/>
        </w:rPr>
        <w:t xml:space="preserve"> е предвидено, че участниците имат право да направят оглед на подвижния състав, определен за изпълнение на услугата по обособената позиция, и право на достъп до наличната документация за техническото му състояние, в срок до последния ден за подаване на оферти за участие.</w:t>
      </w:r>
      <w:r w:rsidRPr="0084544D">
        <w:rPr>
          <w:rFonts w:ascii="Times New Roman" w:hAnsi="Times New Roman" w:cs="Times New Roman"/>
          <w:sz w:val="24"/>
          <w:szCs w:val="24"/>
        </w:rPr>
        <w:t xml:space="preserve"> Освен възможността за ползване на предоставен от Възложителя подвижен състав, </w:t>
      </w:r>
      <w:r w:rsidR="000857A7">
        <w:rPr>
          <w:rFonts w:ascii="Times New Roman" w:hAnsi="Times New Roman" w:cs="Times New Roman"/>
          <w:sz w:val="24"/>
          <w:szCs w:val="24"/>
        </w:rPr>
        <w:t>И</w:t>
      </w:r>
      <w:r w:rsidRPr="0084544D">
        <w:rPr>
          <w:rFonts w:ascii="Times New Roman" w:hAnsi="Times New Roman" w:cs="Times New Roman"/>
          <w:sz w:val="24"/>
          <w:szCs w:val="24"/>
        </w:rPr>
        <w:t>зпълнителите могат да ползват собствен и/или нает подвижен състав.</w:t>
      </w:r>
    </w:p>
    <w:p w14:paraId="5B0742C5" w14:textId="77777777" w:rsidR="001F02CF" w:rsidRPr="00DD5BF0" w:rsidRDefault="00657BB0" w:rsidP="00DD5BF0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highlight w:val="yellow"/>
          <w:u w:val="single"/>
          <w:lang w:eastAsia="bg-BG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:lang w:eastAsia="bg-BG"/>
        </w:rPr>
        <w:t>13</w:t>
      </w:r>
      <w:r w:rsidR="00DD5BF0" w:rsidRPr="00DD5BF0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:lang w:eastAsia="bg-BG"/>
        </w:rPr>
        <w:t xml:space="preserve">. </w:t>
      </w:r>
      <w:r w:rsidR="00A8206D" w:rsidRPr="00DD5BF0">
        <w:rPr>
          <w:rFonts w:ascii="Times New Roman" w:hAnsi="Times New Roman" w:cs="Times New Roman"/>
          <w:b/>
          <w:bCs/>
          <w:sz w:val="24"/>
          <w:szCs w:val="24"/>
          <w:u w:val="single"/>
        </w:rPr>
        <w:t>Индикативни с</w:t>
      </w:r>
      <w:r w:rsidR="00A60369" w:rsidRPr="00DD5BF0">
        <w:rPr>
          <w:rFonts w:ascii="Times New Roman" w:hAnsi="Times New Roman" w:cs="Times New Roman"/>
          <w:b/>
          <w:bCs/>
          <w:sz w:val="24"/>
          <w:szCs w:val="24"/>
          <w:u w:val="single"/>
        </w:rPr>
        <w:t>рокове на провеждане</w:t>
      </w:r>
      <w:r w:rsidR="001F02CF" w:rsidRPr="00DD5BF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на процедурата</w:t>
      </w:r>
      <w:r w:rsidR="001F02CF" w:rsidRPr="00DD5BF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0995C07" w14:textId="048AFCE0" w:rsidR="00A411B2" w:rsidRPr="00DD5BF0" w:rsidRDefault="00DD5BF0" w:rsidP="00DD5BF0">
      <w:pPr>
        <w:pStyle w:val="ListParagraph"/>
        <w:numPr>
          <w:ilvl w:val="0"/>
          <w:numId w:val="16"/>
        </w:numPr>
        <w:spacing w:before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Разработване</w:t>
      </w:r>
      <w:r w:rsidR="00A411B2" w:rsidRPr="00DD5BF0">
        <w:rPr>
          <w:rFonts w:ascii="Times New Roman" w:hAnsi="Times New Roman" w:cs="Times New Roman"/>
          <w:sz w:val="24"/>
        </w:rPr>
        <w:t xml:space="preserve"> на </w:t>
      </w:r>
      <w:r w:rsidR="00486CAB">
        <w:rPr>
          <w:rFonts w:ascii="Times New Roman" w:hAnsi="Times New Roman" w:cs="Times New Roman"/>
          <w:b/>
          <w:sz w:val="24"/>
        </w:rPr>
        <w:t xml:space="preserve">проект </w:t>
      </w:r>
      <w:r w:rsidR="00486CAB" w:rsidRPr="00486CAB">
        <w:rPr>
          <w:rFonts w:ascii="Times New Roman" w:hAnsi="Times New Roman" w:cs="Times New Roman"/>
          <w:sz w:val="24"/>
        </w:rPr>
        <w:t>на</w:t>
      </w:r>
      <w:r w:rsidR="00A411B2" w:rsidRPr="00DD5BF0">
        <w:rPr>
          <w:rFonts w:ascii="Times New Roman" w:hAnsi="Times New Roman" w:cs="Times New Roman"/>
          <w:sz w:val="24"/>
        </w:rPr>
        <w:t xml:space="preserve"> характеристиките и </w:t>
      </w:r>
      <w:r w:rsidR="00486CAB">
        <w:rPr>
          <w:rFonts w:ascii="Times New Roman" w:hAnsi="Times New Roman" w:cs="Times New Roman"/>
          <w:sz w:val="24"/>
        </w:rPr>
        <w:t>обхвата на</w:t>
      </w:r>
      <w:r w:rsidR="00A411B2" w:rsidRPr="00DD5BF0">
        <w:rPr>
          <w:rFonts w:ascii="Times New Roman" w:hAnsi="Times New Roman" w:cs="Times New Roman"/>
          <w:sz w:val="24"/>
        </w:rPr>
        <w:t xml:space="preserve"> услугата по пътнически железопътен превоз – до </w:t>
      </w:r>
      <w:r w:rsidR="003F2122" w:rsidRPr="00DD5BF0">
        <w:rPr>
          <w:rFonts w:ascii="Times New Roman" w:hAnsi="Times New Roman" w:cs="Times New Roman"/>
          <w:sz w:val="24"/>
        </w:rPr>
        <w:t xml:space="preserve">24 април </w:t>
      </w:r>
      <w:r w:rsidR="00A411B2" w:rsidRPr="00DD5BF0">
        <w:rPr>
          <w:rFonts w:ascii="Times New Roman" w:hAnsi="Times New Roman" w:cs="Times New Roman"/>
          <w:sz w:val="24"/>
        </w:rPr>
        <w:t>2025 г.</w:t>
      </w:r>
      <w:r w:rsidR="003B054E">
        <w:rPr>
          <w:rFonts w:ascii="Times New Roman" w:hAnsi="Times New Roman" w:cs="Times New Roman"/>
          <w:sz w:val="24"/>
        </w:rPr>
        <w:t>;</w:t>
      </w:r>
    </w:p>
    <w:p w14:paraId="566C57ED" w14:textId="77777777" w:rsidR="003F2122" w:rsidRPr="00DD5BF0" w:rsidRDefault="003F2122" w:rsidP="00DD5BF0">
      <w:pPr>
        <w:pStyle w:val="ListParagraph"/>
        <w:numPr>
          <w:ilvl w:val="0"/>
          <w:numId w:val="16"/>
        </w:numPr>
        <w:spacing w:before="120"/>
        <w:jc w:val="both"/>
        <w:rPr>
          <w:rFonts w:ascii="Times New Roman" w:hAnsi="Times New Roman" w:cs="Times New Roman"/>
          <w:sz w:val="24"/>
          <w14:ligatures w14:val="none"/>
        </w:rPr>
      </w:pPr>
      <w:r>
        <w:rPr>
          <w:rFonts w:ascii="Times New Roman" w:hAnsi="Times New Roman" w:cs="Times New Roman"/>
          <w:sz w:val="24"/>
          <w14:ligatures w14:val="none"/>
        </w:rPr>
        <w:t xml:space="preserve">Представяне за предварителен преглед на службите на ЕК – 25 април – </w:t>
      </w:r>
      <w:r w:rsidR="00826FF1">
        <w:rPr>
          <w:rFonts w:ascii="Times New Roman" w:hAnsi="Times New Roman" w:cs="Times New Roman"/>
          <w:sz w:val="24"/>
          <w14:ligatures w14:val="none"/>
        </w:rPr>
        <w:t xml:space="preserve">20 </w:t>
      </w:r>
      <w:r>
        <w:rPr>
          <w:rFonts w:ascii="Times New Roman" w:hAnsi="Times New Roman" w:cs="Times New Roman"/>
          <w:sz w:val="24"/>
          <w14:ligatures w14:val="none"/>
        </w:rPr>
        <w:t>май 2025 г.</w:t>
      </w:r>
      <w:r w:rsidR="003B054E">
        <w:rPr>
          <w:rFonts w:ascii="Times New Roman" w:hAnsi="Times New Roman" w:cs="Times New Roman"/>
          <w:sz w:val="24"/>
          <w14:ligatures w14:val="none"/>
        </w:rPr>
        <w:t>;</w:t>
      </w:r>
      <w:r>
        <w:rPr>
          <w:rFonts w:ascii="Times New Roman" w:hAnsi="Times New Roman" w:cs="Times New Roman"/>
          <w:sz w:val="24"/>
          <w14:ligatures w14:val="none"/>
        </w:rPr>
        <w:t xml:space="preserve"> </w:t>
      </w:r>
    </w:p>
    <w:p w14:paraId="25CCD459" w14:textId="52E94936" w:rsidR="00486CAB" w:rsidRDefault="00486CAB" w:rsidP="00486CAB">
      <w:pPr>
        <w:spacing w:before="120"/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b/>
          <w:bCs/>
          <w:sz w:val="24"/>
          <w:szCs w:val="24"/>
        </w:rPr>
        <w:t>Обществено обсъждане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7E2065">
        <w:rPr>
          <w:rFonts w:ascii="Times New Roman" w:hAnsi="Times New Roman" w:cs="Times New Roman"/>
          <w:sz w:val="24"/>
          <w:szCs w:val="24"/>
        </w:rPr>
        <w:t>проекта</w:t>
      </w:r>
      <w:r w:rsidR="00A14CC3">
        <w:rPr>
          <w:rFonts w:ascii="Times New Roman" w:hAnsi="Times New Roman" w:cs="Times New Roman"/>
          <w:sz w:val="24"/>
          <w:szCs w:val="24"/>
        </w:rPr>
        <w:t xml:space="preserve"> – от 2 юни до 1 юли 2025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DFB14C7" w14:textId="77777777" w:rsidR="00486CAB" w:rsidRDefault="00486CAB" w:rsidP="00486CAB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Разработване 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документацията</w:t>
      </w:r>
      <w:r>
        <w:rPr>
          <w:rFonts w:ascii="Times New Roman" w:hAnsi="Times New Roman" w:cs="Times New Roman"/>
          <w:sz w:val="24"/>
          <w:szCs w:val="24"/>
        </w:rPr>
        <w:t xml:space="preserve"> за избор на превозвачи – до 4 юли 2025 г. (по време на общественото обсъждане назначената от заместник министър-председателя и министър на транспорта и съобщенията работна група/комисия, работи по проекта на документация (част от която е и проекта на договор);</w:t>
      </w:r>
    </w:p>
    <w:p w14:paraId="6458E3D8" w14:textId="77777777" w:rsidR="00486CAB" w:rsidRDefault="00486CAB" w:rsidP="00486CAB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Съгласуване на документацията с Европейската комисия – от 4 юли до 18 юли 2025 г.;</w:t>
      </w:r>
    </w:p>
    <w:p w14:paraId="4129AF3C" w14:textId="77777777" w:rsidR="00486CAB" w:rsidRDefault="00486CAB" w:rsidP="00486CAB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Публикуване на предварително обявление в Европейски вестник – до 24 юли 2025 г.;</w:t>
      </w:r>
    </w:p>
    <w:p w14:paraId="77345B7F" w14:textId="77777777" w:rsidR="00486CAB" w:rsidRDefault="00486CAB" w:rsidP="00486CAB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Обявяване</w:t>
      </w:r>
      <w:r>
        <w:rPr>
          <w:rFonts w:ascii="Times New Roman" w:hAnsi="Times New Roman" w:cs="Times New Roman"/>
          <w:sz w:val="24"/>
          <w:szCs w:val="24"/>
        </w:rPr>
        <w:t xml:space="preserve"> на открита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процедура </w:t>
      </w:r>
      <w:r>
        <w:rPr>
          <w:rFonts w:ascii="Times New Roman" w:hAnsi="Times New Roman" w:cs="Times New Roman"/>
          <w:sz w:val="24"/>
          <w:szCs w:val="24"/>
        </w:rPr>
        <w:t>за избор на превозвачи – до 31 юли 2025 г.;</w:t>
      </w:r>
    </w:p>
    <w:p w14:paraId="2EA71B03" w14:textId="77777777" w:rsidR="00486CAB" w:rsidRDefault="00486CAB" w:rsidP="00486CAB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>
        <w:rPr>
          <w:rFonts w:ascii="Times New Roman" w:hAnsi="Times New Roman" w:cs="Times New Roman"/>
          <w:b/>
          <w:bCs/>
          <w:sz w:val="24"/>
          <w:szCs w:val="24"/>
        </w:rPr>
        <w:t>Срок за подаване на оферти</w:t>
      </w:r>
      <w:r>
        <w:rPr>
          <w:rFonts w:ascii="Times New Roman" w:hAnsi="Times New Roman" w:cs="Times New Roman"/>
          <w:sz w:val="24"/>
          <w:szCs w:val="24"/>
        </w:rPr>
        <w:t xml:space="preserve"> – до 30 октомври 2025 г.;</w:t>
      </w:r>
    </w:p>
    <w:p w14:paraId="5BC40FF0" w14:textId="77777777" w:rsidR="00486CAB" w:rsidRDefault="00486CAB" w:rsidP="00486CAB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Разглеждане </w:t>
      </w:r>
      <w:r>
        <w:rPr>
          <w:rFonts w:ascii="Times New Roman" w:hAnsi="Times New Roman" w:cs="Times New Roman"/>
          <w:sz w:val="24"/>
          <w:szCs w:val="24"/>
        </w:rPr>
        <w:t> на офертите и избор на Изпълнители – до 20 ноември 2025 г.;</w:t>
      </w:r>
    </w:p>
    <w:p w14:paraId="0BA45FD4" w14:textId="77777777" w:rsidR="00486CAB" w:rsidRDefault="00486CAB" w:rsidP="00486CAB">
      <w:pPr>
        <w:spacing w:before="12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>
        <w:rPr>
          <w:rFonts w:ascii="Times New Roman" w:hAnsi="Times New Roman" w:cs="Times New Roman"/>
          <w:b/>
          <w:bCs/>
          <w:sz w:val="24"/>
          <w:szCs w:val="24"/>
        </w:rPr>
        <w:t>Сключване на договори</w:t>
      </w:r>
      <w:r>
        <w:rPr>
          <w:rFonts w:ascii="Times New Roman" w:hAnsi="Times New Roman" w:cs="Times New Roman"/>
          <w:sz w:val="24"/>
          <w:szCs w:val="24"/>
        </w:rPr>
        <w:t xml:space="preserve"> с избраните превозвачи – до 31 декември 2025 г. – </w:t>
      </w:r>
      <w:r>
        <w:rPr>
          <w:rFonts w:ascii="Times New Roman" w:hAnsi="Times New Roman" w:cs="Times New Roman"/>
          <w:i/>
          <w:iCs/>
          <w:sz w:val="24"/>
          <w:szCs w:val="24"/>
        </w:rPr>
        <w:t>(Забележка: при условие, че не е налице обжалване от участници в процедурата);</w:t>
      </w:r>
    </w:p>
    <w:p w14:paraId="45F85F98" w14:textId="3BFD023C" w:rsidR="000119F2" w:rsidRDefault="00486CAB" w:rsidP="00486CA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>
        <w:rPr>
          <w:rFonts w:ascii="Times New Roman" w:hAnsi="Times New Roman" w:cs="Times New Roman"/>
          <w:b/>
          <w:bCs/>
          <w:sz w:val="24"/>
          <w:szCs w:val="24"/>
        </w:rPr>
        <w:t>Стартиране на обслужването</w:t>
      </w:r>
      <w:r>
        <w:rPr>
          <w:rFonts w:ascii="Times New Roman" w:hAnsi="Times New Roman" w:cs="Times New Roman"/>
          <w:sz w:val="24"/>
          <w:szCs w:val="24"/>
        </w:rPr>
        <w:t xml:space="preserve"> по новите договори – от новия годишен график за движение на влаковете – 13 декември 2026 г.</w:t>
      </w:r>
    </w:p>
    <w:p w14:paraId="647835AA" w14:textId="77777777" w:rsidR="0096345C" w:rsidRPr="0084544D" w:rsidRDefault="0096345C" w:rsidP="00826FF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sectPr w:rsidR="0096345C" w:rsidRPr="0084544D" w:rsidSect="000C22EA">
      <w:footerReference w:type="default" r:id="rId9"/>
      <w:pgSz w:w="11906" w:h="16838"/>
      <w:pgMar w:top="709" w:right="991" w:bottom="851" w:left="1276" w:header="70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D92BC" w14:textId="77777777" w:rsidR="00966AEA" w:rsidRDefault="00966AEA" w:rsidP="0075607E">
      <w:pPr>
        <w:spacing w:after="0" w:line="240" w:lineRule="auto"/>
      </w:pPr>
      <w:r>
        <w:separator/>
      </w:r>
    </w:p>
  </w:endnote>
  <w:endnote w:type="continuationSeparator" w:id="0">
    <w:p w14:paraId="5E5848FE" w14:textId="77777777" w:rsidR="00966AEA" w:rsidRDefault="00966AEA" w:rsidP="00756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9213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</w:rPr>
    </w:sdtEndPr>
    <w:sdtContent>
      <w:p w14:paraId="3039C38B" w14:textId="57E56492" w:rsidR="0075607E" w:rsidRPr="001F52AE" w:rsidRDefault="0075607E">
        <w:pPr>
          <w:pStyle w:val="Footer"/>
          <w:jc w:val="right"/>
          <w:rPr>
            <w:rFonts w:ascii="Times New Roman" w:hAnsi="Times New Roman" w:cs="Times New Roman"/>
            <w:sz w:val="20"/>
          </w:rPr>
        </w:pPr>
        <w:r w:rsidRPr="001F52AE">
          <w:rPr>
            <w:rFonts w:ascii="Times New Roman" w:hAnsi="Times New Roman" w:cs="Times New Roman"/>
            <w:sz w:val="20"/>
          </w:rPr>
          <w:fldChar w:fldCharType="begin"/>
        </w:r>
        <w:r w:rsidRPr="001F52AE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1F52AE">
          <w:rPr>
            <w:rFonts w:ascii="Times New Roman" w:hAnsi="Times New Roman" w:cs="Times New Roman"/>
            <w:sz w:val="20"/>
          </w:rPr>
          <w:fldChar w:fldCharType="separate"/>
        </w:r>
        <w:r w:rsidR="007E2065">
          <w:rPr>
            <w:rFonts w:ascii="Times New Roman" w:hAnsi="Times New Roman" w:cs="Times New Roman"/>
            <w:noProof/>
            <w:sz w:val="20"/>
          </w:rPr>
          <w:t>7</w:t>
        </w:r>
        <w:r w:rsidRPr="001F52AE">
          <w:rPr>
            <w:rFonts w:ascii="Times New Roman" w:hAnsi="Times New Roman" w:cs="Times New Roman"/>
            <w:noProof/>
            <w:sz w:val="20"/>
          </w:rPr>
          <w:fldChar w:fldCharType="end"/>
        </w:r>
      </w:p>
    </w:sdtContent>
  </w:sdt>
  <w:p w14:paraId="330F8171" w14:textId="77777777" w:rsidR="0075607E" w:rsidRDefault="007560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688C3" w14:textId="77777777" w:rsidR="00966AEA" w:rsidRDefault="00966AEA" w:rsidP="0075607E">
      <w:pPr>
        <w:spacing w:after="0" w:line="240" w:lineRule="auto"/>
      </w:pPr>
      <w:r>
        <w:separator/>
      </w:r>
    </w:p>
  </w:footnote>
  <w:footnote w:type="continuationSeparator" w:id="0">
    <w:p w14:paraId="3C6DB88C" w14:textId="77777777" w:rsidR="00966AEA" w:rsidRDefault="00966AEA" w:rsidP="00756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7583"/>
    <w:multiLevelType w:val="hybridMultilevel"/>
    <w:tmpl w:val="05527BA6"/>
    <w:lvl w:ilvl="0" w:tplc="0402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" w15:restartNumberingAfterBreak="0">
    <w:nsid w:val="0446249B"/>
    <w:multiLevelType w:val="hybridMultilevel"/>
    <w:tmpl w:val="229C39C2"/>
    <w:lvl w:ilvl="0" w:tplc="301E3B8E">
      <w:start w:val="5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32C4617"/>
    <w:multiLevelType w:val="multilevel"/>
    <w:tmpl w:val="097AE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8A641AE"/>
    <w:multiLevelType w:val="multilevel"/>
    <w:tmpl w:val="1B529EF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 w15:restartNumberingAfterBreak="0">
    <w:nsid w:val="1DB6119A"/>
    <w:multiLevelType w:val="hybridMultilevel"/>
    <w:tmpl w:val="EC22737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64E67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A4E19"/>
    <w:multiLevelType w:val="hybridMultilevel"/>
    <w:tmpl w:val="D23AB0F4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712735A"/>
    <w:multiLevelType w:val="hybridMultilevel"/>
    <w:tmpl w:val="3CCE1F08"/>
    <w:lvl w:ilvl="0" w:tplc="247E7A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BC35C92"/>
    <w:multiLevelType w:val="multilevel"/>
    <w:tmpl w:val="1B529EF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 w15:restartNumberingAfterBreak="0">
    <w:nsid w:val="3D3D0396"/>
    <w:multiLevelType w:val="multilevel"/>
    <w:tmpl w:val="03AC22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 w15:restartNumberingAfterBreak="0">
    <w:nsid w:val="432F13A9"/>
    <w:multiLevelType w:val="multilevel"/>
    <w:tmpl w:val="1B529EF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 w15:restartNumberingAfterBreak="0">
    <w:nsid w:val="54F5703E"/>
    <w:multiLevelType w:val="hybridMultilevel"/>
    <w:tmpl w:val="63E6E6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E4A33"/>
    <w:multiLevelType w:val="hybridMultilevel"/>
    <w:tmpl w:val="A088FD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9074D"/>
    <w:multiLevelType w:val="multilevel"/>
    <w:tmpl w:val="6E5899FC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0"/>
  </w:num>
  <w:num w:numId="5">
    <w:abstractNumId w:val="12"/>
  </w:num>
  <w:num w:numId="6">
    <w:abstractNumId w:val="8"/>
  </w:num>
  <w:num w:numId="7">
    <w:abstractNumId w:val="10"/>
  </w:num>
  <w:num w:numId="8">
    <w:abstractNumId w:val="9"/>
  </w:num>
  <w:num w:numId="9">
    <w:abstractNumId w:val="5"/>
  </w:num>
  <w:num w:numId="10">
    <w:abstractNumId w:val="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1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D9D"/>
    <w:rsid w:val="000119F2"/>
    <w:rsid w:val="00015DFB"/>
    <w:rsid w:val="000242AD"/>
    <w:rsid w:val="0002576D"/>
    <w:rsid w:val="00034FF1"/>
    <w:rsid w:val="00046031"/>
    <w:rsid w:val="000478A2"/>
    <w:rsid w:val="000521E6"/>
    <w:rsid w:val="0005415B"/>
    <w:rsid w:val="00057213"/>
    <w:rsid w:val="00057836"/>
    <w:rsid w:val="00057C86"/>
    <w:rsid w:val="00061EAB"/>
    <w:rsid w:val="00065610"/>
    <w:rsid w:val="000667B9"/>
    <w:rsid w:val="00073FEB"/>
    <w:rsid w:val="000857A7"/>
    <w:rsid w:val="000A23E7"/>
    <w:rsid w:val="000A25E4"/>
    <w:rsid w:val="000A31E9"/>
    <w:rsid w:val="000A6195"/>
    <w:rsid w:val="000C22EA"/>
    <w:rsid w:val="000C6B2B"/>
    <w:rsid w:val="000D56C8"/>
    <w:rsid w:val="00103F7E"/>
    <w:rsid w:val="00115B1E"/>
    <w:rsid w:val="00125090"/>
    <w:rsid w:val="00143382"/>
    <w:rsid w:val="001455EE"/>
    <w:rsid w:val="00171557"/>
    <w:rsid w:val="001951D9"/>
    <w:rsid w:val="00196CE2"/>
    <w:rsid w:val="001A679B"/>
    <w:rsid w:val="001B6D6D"/>
    <w:rsid w:val="001C3BF0"/>
    <w:rsid w:val="001C5BBF"/>
    <w:rsid w:val="001C5CED"/>
    <w:rsid w:val="001E0101"/>
    <w:rsid w:val="001E4458"/>
    <w:rsid w:val="001E4A8F"/>
    <w:rsid w:val="001F02CF"/>
    <w:rsid w:val="001F3844"/>
    <w:rsid w:val="001F3F02"/>
    <w:rsid w:val="001F52AE"/>
    <w:rsid w:val="00206995"/>
    <w:rsid w:val="00217ED5"/>
    <w:rsid w:val="002340D2"/>
    <w:rsid w:val="00255439"/>
    <w:rsid w:val="00255ECB"/>
    <w:rsid w:val="00261795"/>
    <w:rsid w:val="00280CF7"/>
    <w:rsid w:val="002872FC"/>
    <w:rsid w:val="002874EE"/>
    <w:rsid w:val="00295006"/>
    <w:rsid w:val="002A1E35"/>
    <w:rsid w:val="002A385F"/>
    <w:rsid w:val="002A67B3"/>
    <w:rsid w:val="002A6D2F"/>
    <w:rsid w:val="002B04E6"/>
    <w:rsid w:val="002D3118"/>
    <w:rsid w:val="002D7F85"/>
    <w:rsid w:val="002F10D0"/>
    <w:rsid w:val="002F703E"/>
    <w:rsid w:val="0031095E"/>
    <w:rsid w:val="0033418F"/>
    <w:rsid w:val="00341965"/>
    <w:rsid w:val="00344F2C"/>
    <w:rsid w:val="0035351A"/>
    <w:rsid w:val="003547FA"/>
    <w:rsid w:val="0036315D"/>
    <w:rsid w:val="0036575E"/>
    <w:rsid w:val="00370804"/>
    <w:rsid w:val="00372915"/>
    <w:rsid w:val="00384CBD"/>
    <w:rsid w:val="003B054E"/>
    <w:rsid w:val="003C0852"/>
    <w:rsid w:val="003D09F3"/>
    <w:rsid w:val="003D16FC"/>
    <w:rsid w:val="003F2122"/>
    <w:rsid w:val="003F27B4"/>
    <w:rsid w:val="003F3D70"/>
    <w:rsid w:val="00417B7C"/>
    <w:rsid w:val="0042124F"/>
    <w:rsid w:val="00423E23"/>
    <w:rsid w:val="0042792F"/>
    <w:rsid w:val="0043106E"/>
    <w:rsid w:val="00432F8E"/>
    <w:rsid w:val="004473E4"/>
    <w:rsid w:val="0045303D"/>
    <w:rsid w:val="00456446"/>
    <w:rsid w:val="00474D18"/>
    <w:rsid w:val="00477684"/>
    <w:rsid w:val="00486CAB"/>
    <w:rsid w:val="00493087"/>
    <w:rsid w:val="004A29B4"/>
    <w:rsid w:val="004D32B2"/>
    <w:rsid w:val="004D3DC8"/>
    <w:rsid w:val="004D4AE0"/>
    <w:rsid w:val="004D7884"/>
    <w:rsid w:val="004D7B9A"/>
    <w:rsid w:val="004E4133"/>
    <w:rsid w:val="004E79B0"/>
    <w:rsid w:val="004F50E6"/>
    <w:rsid w:val="00500139"/>
    <w:rsid w:val="005233B6"/>
    <w:rsid w:val="00527289"/>
    <w:rsid w:val="00530DE8"/>
    <w:rsid w:val="00531D7E"/>
    <w:rsid w:val="005363BB"/>
    <w:rsid w:val="00542821"/>
    <w:rsid w:val="0054537B"/>
    <w:rsid w:val="00552BA4"/>
    <w:rsid w:val="00552FEB"/>
    <w:rsid w:val="00576289"/>
    <w:rsid w:val="00584034"/>
    <w:rsid w:val="00587099"/>
    <w:rsid w:val="005A0952"/>
    <w:rsid w:val="005A5D53"/>
    <w:rsid w:val="005A6B6B"/>
    <w:rsid w:val="005C46F2"/>
    <w:rsid w:val="005D3461"/>
    <w:rsid w:val="005E3137"/>
    <w:rsid w:val="00602D3C"/>
    <w:rsid w:val="00615B1C"/>
    <w:rsid w:val="00615B60"/>
    <w:rsid w:val="00617645"/>
    <w:rsid w:val="0063086F"/>
    <w:rsid w:val="00637495"/>
    <w:rsid w:val="0064276D"/>
    <w:rsid w:val="00654052"/>
    <w:rsid w:val="00657BB0"/>
    <w:rsid w:val="00657CFD"/>
    <w:rsid w:val="00667333"/>
    <w:rsid w:val="00674C28"/>
    <w:rsid w:val="00675CE9"/>
    <w:rsid w:val="006767E7"/>
    <w:rsid w:val="00694D2F"/>
    <w:rsid w:val="006A07D5"/>
    <w:rsid w:val="006A739E"/>
    <w:rsid w:val="006D1E4B"/>
    <w:rsid w:val="006D7AEB"/>
    <w:rsid w:val="006E4CA7"/>
    <w:rsid w:val="006E7BD9"/>
    <w:rsid w:val="006F6D05"/>
    <w:rsid w:val="00705C51"/>
    <w:rsid w:val="00706815"/>
    <w:rsid w:val="00711168"/>
    <w:rsid w:val="007207E7"/>
    <w:rsid w:val="00724E51"/>
    <w:rsid w:val="00727000"/>
    <w:rsid w:val="00727102"/>
    <w:rsid w:val="00730692"/>
    <w:rsid w:val="007307C7"/>
    <w:rsid w:val="007320B0"/>
    <w:rsid w:val="0074313D"/>
    <w:rsid w:val="0075607E"/>
    <w:rsid w:val="0075698E"/>
    <w:rsid w:val="00770396"/>
    <w:rsid w:val="00773519"/>
    <w:rsid w:val="007919E4"/>
    <w:rsid w:val="007925AE"/>
    <w:rsid w:val="00797573"/>
    <w:rsid w:val="007A0ED9"/>
    <w:rsid w:val="007A13BA"/>
    <w:rsid w:val="007A5E10"/>
    <w:rsid w:val="007B7120"/>
    <w:rsid w:val="007C2943"/>
    <w:rsid w:val="007D0F09"/>
    <w:rsid w:val="007D30A3"/>
    <w:rsid w:val="007D7576"/>
    <w:rsid w:val="007E2065"/>
    <w:rsid w:val="007E2F08"/>
    <w:rsid w:val="007E353A"/>
    <w:rsid w:val="007E5D2D"/>
    <w:rsid w:val="007F2D9D"/>
    <w:rsid w:val="0080062B"/>
    <w:rsid w:val="00803DDF"/>
    <w:rsid w:val="008063C2"/>
    <w:rsid w:val="00806C4B"/>
    <w:rsid w:val="00816634"/>
    <w:rsid w:val="00821A5C"/>
    <w:rsid w:val="00826FF1"/>
    <w:rsid w:val="00835889"/>
    <w:rsid w:val="00837687"/>
    <w:rsid w:val="00840F80"/>
    <w:rsid w:val="00844F54"/>
    <w:rsid w:val="00845174"/>
    <w:rsid w:val="0084544D"/>
    <w:rsid w:val="0085002B"/>
    <w:rsid w:val="00863E4F"/>
    <w:rsid w:val="00865BF6"/>
    <w:rsid w:val="0086706E"/>
    <w:rsid w:val="008679FA"/>
    <w:rsid w:val="0087034A"/>
    <w:rsid w:val="008720AB"/>
    <w:rsid w:val="008833F0"/>
    <w:rsid w:val="008851EC"/>
    <w:rsid w:val="008878AB"/>
    <w:rsid w:val="008A16B2"/>
    <w:rsid w:val="008B42A1"/>
    <w:rsid w:val="008C126F"/>
    <w:rsid w:val="008C240F"/>
    <w:rsid w:val="008C3729"/>
    <w:rsid w:val="008C42E3"/>
    <w:rsid w:val="008E252B"/>
    <w:rsid w:val="008F29FB"/>
    <w:rsid w:val="00904E7D"/>
    <w:rsid w:val="00905209"/>
    <w:rsid w:val="0092494E"/>
    <w:rsid w:val="009320BF"/>
    <w:rsid w:val="00933072"/>
    <w:rsid w:val="00946D9F"/>
    <w:rsid w:val="00952731"/>
    <w:rsid w:val="0096345C"/>
    <w:rsid w:val="00966AEA"/>
    <w:rsid w:val="0097011B"/>
    <w:rsid w:val="0097217F"/>
    <w:rsid w:val="00977516"/>
    <w:rsid w:val="00985363"/>
    <w:rsid w:val="00987242"/>
    <w:rsid w:val="009A633E"/>
    <w:rsid w:val="009A7A5A"/>
    <w:rsid w:val="009B035C"/>
    <w:rsid w:val="009B2D05"/>
    <w:rsid w:val="009B7D26"/>
    <w:rsid w:val="009C0F1C"/>
    <w:rsid w:val="009D03CC"/>
    <w:rsid w:val="009D3D70"/>
    <w:rsid w:val="009E690A"/>
    <w:rsid w:val="009F0243"/>
    <w:rsid w:val="009F1455"/>
    <w:rsid w:val="009F51F8"/>
    <w:rsid w:val="00A0087A"/>
    <w:rsid w:val="00A14CC3"/>
    <w:rsid w:val="00A15615"/>
    <w:rsid w:val="00A15EE4"/>
    <w:rsid w:val="00A176B9"/>
    <w:rsid w:val="00A411B2"/>
    <w:rsid w:val="00A46E44"/>
    <w:rsid w:val="00A60369"/>
    <w:rsid w:val="00A61B4E"/>
    <w:rsid w:val="00A63308"/>
    <w:rsid w:val="00A73AC4"/>
    <w:rsid w:val="00A76B80"/>
    <w:rsid w:val="00A77EB5"/>
    <w:rsid w:val="00A8206D"/>
    <w:rsid w:val="00A95E30"/>
    <w:rsid w:val="00AA0281"/>
    <w:rsid w:val="00AA0F4E"/>
    <w:rsid w:val="00AA42E2"/>
    <w:rsid w:val="00AB16F7"/>
    <w:rsid w:val="00AB1B0A"/>
    <w:rsid w:val="00AC1C61"/>
    <w:rsid w:val="00AE22BE"/>
    <w:rsid w:val="00B14406"/>
    <w:rsid w:val="00B22F80"/>
    <w:rsid w:val="00B25238"/>
    <w:rsid w:val="00B263C7"/>
    <w:rsid w:val="00B4171F"/>
    <w:rsid w:val="00B47E81"/>
    <w:rsid w:val="00B520D3"/>
    <w:rsid w:val="00B57347"/>
    <w:rsid w:val="00B714A5"/>
    <w:rsid w:val="00B73782"/>
    <w:rsid w:val="00B8185F"/>
    <w:rsid w:val="00B82D83"/>
    <w:rsid w:val="00B87A3D"/>
    <w:rsid w:val="00B90FB2"/>
    <w:rsid w:val="00B95591"/>
    <w:rsid w:val="00BA38BF"/>
    <w:rsid w:val="00BA4DE9"/>
    <w:rsid w:val="00BC6653"/>
    <w:rsid w:val="00BD427C"/>
    <w:rsid w:val="00BD5844"/>
    <w:rsid w:val="00BE1CCF"/>
    <w:rsid w:val="00BE3A63"/>
    <w:rsid w:val="00BE44BF"/>
    <w:rsid w:val="00BE7F6F"/>
    <w:rsid w:val="00BF1DCE"/>
    <w:rsid w:val="00BF2000"/>
    <w:rsid w:val="00C05632"/>
    <w:rsid w:val="00C05B1D"/>
    <w:rsid w:val="00C16DD5"/>
    <w:rsid w:val="00C204D3"/>
    <w:rsid w:val="00C4405C"/>
    <w:rsid w:val="00C52684"/>
    <w:rsid w:val="00C53852"/>
    <w:rsid w:val="00C542BD"/>
    <w:rsid w:val="00C70F16"/>
    <w:rsid w:val="00C76047"/>
    <w:rsid w:val="00C80A6D"/>
    <w:rsid w:val="00C813D3"/>
    <w:rsid w:val="00C8489C"/>
    <w:rsid w:val="00CA39ED"/>
    <w:rsid w:val="00CB352B"/>
    <w:rsid w:val="00CC5405"/>
    <w:rsid w:val="00CD0CE6"/>
    <w:rsid w:val="00CD21A4"/>
    <w:rsid w:val="00CE0C8E"/>
    <w:rsid w:val="00CF3E37"/>
    <w:rsid w:val="00D145D4"/>
    <w:rsid w:val="00D1483C"/>
    <w:rsid w:val="00D16269"/>
    <w:rsid w:val="00D417A3"/>
    <w:rsid w:val="00D41CB3"/>
    <w:rsid w:val="00D42B15"/>
    <w:rsid w:val="00D46362"/>
    <w:rsid w:val="00D464C3"/>
    <w:rsid w:val="00D51F17"/>
    <w:rsid w:val="00D57A0F"/>
    <w:rsid w:val="00D74A9A"/>
    <w:rsid w:val="00D75FBD"/>
    <w:rsid w:val="00D76139"/>
    <w:rsid w:val="00D77FAD"/>
    <w:rsid w:val="00D928CE"/>
    <w:rsid w:val="00D95218"/>
    <w:rsid w:val="00DA1D8A"/>
    <w:rsid w:val="00DA2283"/>
    <w:rsid w:val="00DB53F3"/>
    <w:rsid w:val="00DB6BE2"/>
    <w:rsid w:val="00DC1740"/>
    <w:rsid w:val="00DD3826"/>
    <w:rsid w:val="00DD5BF0"/>
    <w:rsid w:val="00DE141A"/>
    <w:rsid w:val="00DE1C48"/>
    <w:rsid w:val="00DE1C6C"/>
    <w:rsid w:val="00DE7437"/>
    <w:rsid w:val="00DF3753"/>
    <w:rsid w:val="00DF3BBB"/>
    <w:rsid w:val="00E06AEA"/>
    <w:rsid w:val="00E1508E"/>
    <w:rsid w:val="00E31AA5"/>
    <w:rsid w:val="00E377EB"/>
    <w:rsid w:val="00E4239C"/>
    <w:rsid w:val="00E42DF7"/>
    <w:rsid w:val="00E601DE"/>
    <w:rsid w:val="00E613C1"/>
    <w:rsid w:val="00E63DD9"/>
    <w:rsid w:val="00E732BB"/>
    <w:rsid w:val="00E85F6F"/>
    <w:rsid w:val="00E90FA4"/>
    <w:rsid w:val="00E92878"/>
    <w:rsid w:val="00EA77E7"/>
    <w:rsid w:val="00EB2735"/>
    <w:rsid w:val="00EB5917"/>
    <w:rsid w:val="00EC1F48"/>
    <w:rsid w:val="00EC3258"/>
    <w:rsid w:val="00EC633E"/>
    <w:rsid w:val="00EF08C5"/>
    <w:rsid w:val="00EF368D"/>
    <w:rsid w:val="00EF5BB8"/>
    <w:rsid w:val="00F04A2F"/>
    <w:rsid w:val="00F1340A"/>
    <w:rsid w:val="00F23B11"/>
    <w:rsid w:val="00F25C07"/>
    <w:rsid w:val="00F27A70"/>
    <w:rsid w:val="00F30BC6"/>
    <w:rsid w:val="00F371AE"/>
    <w:rsid w:val="00F45AD3"/>
    <w:rsid w:val="00F57B6E"/>
    <w:rsid w:val="00F66A8C"/>
    <w:rsid w:val="00F70D5E"/>
    <w:rsid w:val="00F72B87"/>
    <w:rsid w:val="00F73A95"/>
    <w:rsid w:val="00F808CC"/>
    <w:rsid w:val="00F86F80"/>
    <w:rsid w:val="00F97C70"/>
    <w:rsid w:val="00FA1357"/>
    <w:rsid w:val="00FA1683"/>
    <w:rsid w:val="00FA4115"/>
    <w:rsid w:val="00FA523E"/>
    <w:rsid w:val="00FB65EF"/>
    <w:rsid w:val="00FC0F9B"/>
    <w:rsid w:val="00FE1CA6"/>
    <w:rsid w:val="00FF2EB3"/>
    <w:rsid w:val="00FF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BCE498"/>
  <w15:chartTrackingRefBased/>
  <w15:docId w15:val="{93DF3B6B-10BF-4456-8354-242E7F2B6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EB5"/>
    <w:pPr>
      <w:spacing w:after="200" w:line="276" w:lineRule="auto"/>
    </w:pPr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2D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D9D"/>
    <w:pPr>
      <w:spacing w:after="0" w:line="240" w:lineRule="auto"/>
      <w:ind w:left="720"/>
    </w:pPr>
    <w:rPr>
      <w:rFonts w:ascii="Calibri" w:hAnsi="Calibri" w:cs="Calibri"/>
      <w:kern w:val="0"/>
      <w:sz w:val="20"/>
      <w:szCs w:val="20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602D3C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7068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6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6815"/>
    <w:rPr>
      <w:kern w:val="2"/>
      <w:sz w:val="20"/>
      <w:szCs w:val="20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815"/>
    <w:rPr>
      <w:b/>
      <w:bCs/>
      <w:kern w:val="2"/>
      <w:sz w:val="20"/>
      <w:szCs w:val="20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815"/>
    <w:rPr>
      <w:rFonts w:ascii="Segoe UI" w:hAnsi="Segoe UI" w:cs="Segoe UI"/>
      <w:kern w:val="2"/>
      <w:sz w:val="18"/>
      <w:szCs w:val="18"/>
      <w14:ligatures w14:val="standardContextual"/>
    </w:rPr>
  </w:style>
  <w:style w:type="character" w:customStyle="1" w:styleId="Bodytext1">
    <w:name w:val="Body text|1_"/>
    <w:basedOn w:val="DefaultParagraphFont"/>
    <w:link w:val="Bodytext10"/>
    <w:locked/>
    <w:rsid w:val="00C05632"/>
  </w:style>
  <w:style w:type="paragraph" w:customStyle="1" w:styleId="Bodytext10">
    <w:name w:val="Body text|1"/>
    <w:basedOn w:val="Normal"/>
    <w:link w:val="Bodytext1"/>
    <w:rsid w:val="00C05632"/>
    <w:pPr>
      <w:widowControl w:val="0"/>
      <w:spacing w:after="260" w:line="261" w:lineRule="auto"/>
      <w:ind w:firstLine="400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56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07E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756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07E"/>
    <w:rPr>
      <w:kern w:val="2"/>
      <w14:ligatures w14:val="standardContextual"/>
    </w:rPr>
  </w:style>
  <w:style w:type="table" w:styleId="TableGrid">
    <w:name w:val="Table Grid"/>
    <w:basedOn w:val="TableNormal"/>
    <w:uiPriority w:val="39"/>
    <w:rsid w:val="00F9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75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tc.government.bg/bg/category/312/izgotvena-e-pazarna-ocenka-na-zhelezoptniya-sektor-opredelyascha-obkhvata-na-zadlzhenieto-za-izvrshvane-na-obschestveni-prevozni-uslugi-za-sledvaschiya-dogovor-za-izvrshvane-na-obschestveni-prevozni-uslugi-s-zhelezopten-transpor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B2F34-1870-44C4-8FC5-0E06BB47F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4349</Words>
  <Characters>24795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</Company>
  <LinksUpToDate>false</LinksUpToDate>
  <CharactersWithSpaces>29086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Angelova</dc:creator>
  <cp:keywords/>
  <dc:description/>
  <cp:lastModifiedBy>Toni Yancheva</cp:lastModifiedBy>
  <cp:revision>17</cp:revision>
  <cp:lastPrinted>2025-06-02T10:31:00Z</cp:lastPrinted>
  <dcterms:created xsi:type="dcterms:W3CDTF">2025-05-30T13:43:00Z</dcterms:created>
  <dcterms:modified xsi:type="dcterms:W3CDTF">2025-06-02T14:04:00Z</dcterms:modified>
</cp:coreProperties>
</file>