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D713" w14:textId="77F60E31" w:rsidR="000B30D2" w:rsidRPr="0053186E" w:rsidRDefault="00FC71E4" w:rsidP="00DA6437">
      <w:pPr>
        <w:pStyle w:val="ListBullet"/>
        <w:tabs>
          <w:tab w:val="clear" w:pos="340"/>
        </w:tabs>
        <w:spacing w:before="0" w:after="0"/>
        <w:ind w:left="3539" w:firstLine="1"/>
        <w:rPr>
          <w:b/>
          <w:szCs w:val="24"/>
          <w:shd w:val="clear" w:color="auto" w:fill="FEFEFE"/>
          <w:lang w:val="bg-BG"/>
        </w:rPr>
      </w:pPr>
      <w:bookmarkStart w:id="0" w:name="_GoBack"/>
      <w:bookmarkEnd w:id="0"/>
      <w:r w:rsidRPr="0053186E">
        <w:rPr>
          <w:b/>
          <w:szCs w:val="24"/>
          <w:shd w:val="clear" w:color="auto" w:fill="FEFEFE"/>
          <w:lang w:val="bg-BG"/>
        </w:rPr>
        <w:t>М О Т И В И</w:t>
      </w:r>
    </w:p>
    <w:p w14:paraId="0758F3E2" w14:textId="77777777" w:rsidR="008156AC" w:rsidRPr="00F542F6" w:rsidRDefault="008156AC" w:rsidP="00DA6437">
      <w:pPr>
        <w:pStyle w:val="ListBullet"/>
        <w:tabs>
          <w:tab w:val="clear" w:pos="340"/>
        </w:tabs>
        <w:spacing w:before="0" w:after="0"/>
        <w:ind w:left="0" w:firstLine="709"/>
        <w:jc w:val="center"/>
        <w:rPr>
          <w:lang w:val="bg-BG"/>
        </w:rPr>
      </w:pPr>
    </w:p>
    <w:p w14:paraId="10FC49D8" w14:textId="280E5F82" w:rsidR="00DE7206" w:rsidRDefault="00DE7206" w:rsidP="00DE720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Проектът</w:t>
      </w:r>
      <w:r w:rsidRPr="00DE7206">
        <w:rPr>
          <w:rFonts w:ascii="Times New Roman" w:hAnsi="Times New Roman" w:cs="Times New Roman"/>
          <w:sz w:val="24"/>
          <w:szCs w:val="24"/>
        </w:rPr>
        <w:t xml:space="preserve"> на Постановление на Министерския съвет за изменение и допълнение на Тарифата за таксите, които се събират от Комисията за регулиране на съобщенията по Закона за електронните съобщения</w:t>
      </w:r>
      <w:r>
        <w:rPr>
          <w:rFonts w:ascii="Times New Roman" w:hAnsi="Times New Roman" w:cs="Times New Roman"/>
          <w:sz w:val="24"/>
          <w:szCs w:val="24"/>
        </w:rPr>
        <w:t xml:space="preserve"> </w:t>
      </w:r>
      <w:r w:rsidRPr="00DB5089">
        <w:rPr>
          <w:rFonts w:ascii="Times New Roman" w:hAnsi="Times New Roman" w:cs="Times New Roman"/>
          <w:sz w:val="24"/>
          <w:szCs w:val="24"/>
          <w:lang w:val="ru-RU"/>
        </w:rPr>
        <w:t>(</w:t>
      </w:r>
      <w:r>
        <w:rPr>
          <w:rFonts w:ascii="Times New Roman" w:hAnsi="Times New Roman" w:cs="Times New Roman"/>
          <w:sz w:val="24"/>
          <w:szCs w:val="24"/>
        </w:rPr>
        <w:t>проекта</w:t>
      </w:r>
      <w:r w:rsidRPr="00DB5089">
        <w:rPr>
          <w:rFonts w:ascii="Times New Roman" w:hAnsi="Times New Roman" w:cs="Times New Roman"/>
          <w:sz w:val="24"/>
          <w:szCs w:val="24"/>
          <w:lang w:val="ru-RU"/>
        </w:rPr>
        <w:t>)</w:t>
      </w:r>
      <w:r>
        <w:rPr>
          <w:rFonts w:ascii="Times New Roman" w:hAnsi="Times New Roman" w:cs="Times New Roman"/>
          <w:sz w:val="24"/>
          <w:szCs w:val="24"/>
        </w:rPr>
        <w:t xml:space="preserve"> е </w:t>
      </w:r>
      <w:r w:rsidRPr="00DE7206">
        <w:rPr>
          <w:rFonts w:ascii="Times New Roman" w:hAnsi="Times New Roman" w:cs="Times New Roman"/>
          <w:sz w:val="24"/>
          <w:szCs w:val="24"/>
        </w:rPr>
        <w:t xml:space="preserve"> приет с Решение №  </w:t>
      </w:r>
      <w:r>
        <w:rPr>
          <w:rFonts w:ascii="Times New Roman" w:hAnsi="Times New Roman" w:cs="Times New Roman"/>
          <w:sz w:val="24"/>
          <w:szCs w:val="24"/>
        </w:rPr>
        <w:t>206 от 19.06</w:t>
      </w:r>
      <w:r w:rsidRPr="00DE7206">
        <w:rPr>
          <w:rFonts w:ascii="Times New Roman" w:hAnsi="Times New Roman" w:cs="Times New Roman"/>
          <w:sz w:val="24"/>
          <w:szCs w:val="24"/>
        </w:rPr>
        <w:t>.202</w:t>
      </w:r>
      <w:r>
        <w:rPr>
          <w:rFonts w:ascii="Times New Roman" w:hAnsi="Times New Roman" w:cs="Times New Roman"/>
          <w:sz w:val="24"/>
          <w:szCs w:val="24"/>
        </w:rPr>
        <w:t>5</w:t>
      </w:r>
      <w:r w:rsidRPr="00DE7206">
        <w:rPr>
          <w:rFonts w:ascii="Times New Roman" w:hAnsi="Times New Roman" w:cs="Times New Roman"/>
          <w:sz w:val="24"/>
          <w:szCs w:val="24"/>
        </w:rPr>
        <w:t xml:space="preserve"> г.  на Комисията за регулиране </w:t>
      </w:r>
      <w:r w:rsidR="009300DD">
        <w:rPr>
          <w:rFonts w:ascii="Times New Roman" w:hAnsi="Times New Roman" w:cs="Times New Roman"/>
          <w:sz w:val="24"/>
          <w:szCs w:val="24"/>
        </w:rPr>
        <w:t xml:space="preserve">на съобщенията (КРС/Комисията), след провеждане на процедура по обществено обсъждане, съобразно изискванията на </w:t>
      </w:r>
      <w:r w:rsidR="009300DD" w:rsidRPr="009300DD">
        <w:rPr>
          <w:rFonts w:ascii="Times New Roman" w:hAnsi="Times New Roman" w:cs="Times New Roman"/>
          <w:sz w:val="24"/>
          <w:szCs w:val="24"/>
        </w:rPr>
        <w:t>Закона за електронните съобщения (ЗЕС)</w:t>
      </w:r>
      <w:r w:rsidR="009300DD">
        <w:rPr>
          <w:rFonts w:ascii="Times New Roman" w:hAnsi="Times New Roman" w:cs="Times New Roman"/>
          <w:sz w:val="24"/>
          <w:szCs w:val="24"/>
        </w:rPr>
        <w:t>.</w:t>
      </w:r>
    </w:p>
    <w:p w14:paraId="374E238E" w14:textId="61BD39B7" w:rsidR="00DE7206" w:rsidRPr="00DE7206" w:rsidRDefault="00DE7206" w:rsidP="00DE720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основание чл. 18 от ЗЕС</w:t>
      </w:r>
      <w:r w:rsidR="002E4166">
        <w:rPr>
          <w:rFonts w:ascii="Times New Roman" w:hAnsi="Times New Roman" w:cs="Times New Roman"/>
          <w:sz w:val="24"/>
          <w:szCs w:val="24"/>
        </w:rPr>
        <w:t xml:space="preserve"> министърът</w:t>
      </w:r>
      <w:r>
        <w:rPr>
          <w:rFonts w:ascii="Times New Roman" w:hAnsi="Times New Roman" w:cs="Times New Roman"/>
          <w:sz w:val="24"/>
          <w:szCs w:val="24"/>
        </w:rPr>
        <w:t xml:space="preserve"> на транспорта и съобщенията е необходимо да проведе</w:t>
      </w:r>
      <w:r w:rsidR="002E4166">
        <w:rPr>
          <w:rFonts w:ascii="Times New Roman" w:hAnsi="Times New Roman" w:cs="Times New Roman"/>
          <w:sz w:val="24"/>
          <w:szCs w:val="24"/>
        </w:rPr>
        <w:t xml:space="preserve"> обществено обсъждане преди </w:t>
      </w:r>
      <w:r w:rsidR="002E4166" w:rsidRPr="002E4166">
        <w:rPr>
          <w:rFonts w:ascii="Times New Roman" w:hAnsi="Times New Roman" w:cs="Times New Roman"/>
          <w:sz w:val="24"/>
          <w:szCs w:val="24"/>
        </w:rPr>
        <w:t xml:space="preserve">внасяне в Министерския съвет на подзаконовите актове, предвидени в </w:t>
      </w:r>
      <w:r w:rsidR="002E4166">
        <w:rPr>
          <w:rFonts w:ascii="Times New Roman" w:hAnsi="Times New Roman" w:cs="Times New Roman"/>
          <w:sz w:val="24"/>
          <w:szCs w:val="24"/>
        </w:rPr>
        <w:t>закона.</w:t>
      </w:r>
    </w:p>
    <w:p w14:paraId="39A99526" w14:textId="3007E36F" w:rsidR="00DE7206" w:rsidRPr="00DE7206" w:rsidRDefault="00DE7206" w:rsidP="00DE7206">
      <w:pPr>
        <w:autoSpaceDE w:val="0"/>
        <w:autoSpaceDN w:val="0"/>
        <w:adjustRightInd w:val="0"/>
        <w:spacing w:after="0" w:line="240" w:lineRule="auto"/>
        <w:ind w:firstLine="708"/>
        <w:jc w:val="both"/>
        <w:rPr>
          <w:rFonts w:ascii="Times New Roman" w:hAnsi="Times New Roman" w:cs="Times New Roman"/>
          <w:sz w:val="24"/>
          <w:szCs w:val="24"/>
        </w:rPr>
      </w:pPr>
      <w:r w:rsidRPr="00DE7206">
        <w:rPr>
          <w:rFonts w:ascii="Times New Roman" w:hAnsi="Times New Roman" w:cs="Times New Roman"/>
          <w:sz w:val="24"/>
          <w:szCs w:val="24"/>
        </w:rPr>
        <w:t xml:space="preserve">Съгласно чл. 147, ал. 1 от </w:t>
      </w:r>
      <w:r w:rsidR="002E4166">
        <w:rPr>
          <w:rFonts w:ascii="Times New Roman" w:hAnsi="Times New Roman" w:cs="Times New Roman"/>
          <w:sz w:val="24"/>
          <w:szCs w:val="24"/>
        </w:rPr>
        <w:t>ЗЕС</w:t>
      </w:r>
      <w:r w:rsidRPr="00DE7206">
        <w:rPr>
          <w:rFonts w:ascii="Times New Roman" w:hAnsi="Times New Roman" w:cs="Times New Roman"/>
          <w:sz w:val="24"/>
          <w:szCs w:val="24"/>
        </w:rPr>
        <w:t xml:space="preserve">, размерът на таксите по закона, сроковете и начинът на плащането им се определят с тарифа за таксите, разработена от КРС и приета от Министерския съвет. </w:t>
      </w:r>
    </w:p>
    <w:p w14:paraId="12921B63" w14:textId="41757899" w:rsidR="00DE7206" w:rsidRDefault="00DE7206" w:rsidP="00DE7206">
      <w:pPr>
        <w:ind w:firstLine="708"/>
        <w:jc w:val="both"/>
        <w:rPr>
          <w:rFonts w:ascii="Times New Roman" w:hAnsi="Times New Roman" w:cs="Times New Roman"/>
          <w:sz w:val="24"/>
          <w:szCs w:val="24"/>
        </w:rPr>
      </w:pPr>
      <w:r w:rsidRPr="00DE7206">
        <w:rPr>
          <w:rFonts w:ascii="Times New Roman" w:hAnsi="Times New Roman" w:cs="Times New Roman"/>
          <w:sz w:val="24"/>
          <w:szCs w:val="24"/>
        </w:rPr>
        <w:t>На основание чл. 53, ал. 2 от ЗЕС Комисията извършва ежегоден анализ на необходимостта от преразглеждане на Тарифата. С Решение № 363 от 12.12.2024 г. КРС прие</w:t>
      </w:r>
      <w:r w:rsidR="00DB5089">
        <w:rPr>
          <w:rFonts w:ascii="Times New Roman" w:hAnsi="Times New Roman" w:cs="Times New Roman"/>
          <w:sz w:val="24"/>
          <w:szCs w:val="24"/>
        </w:rPr>
        <w:t>ма</w:t>
      </w:r>
      <w:r w:rsidRPr="00DE7206">
        <w:rPr>
          <w:rFonts w:ascii="Times New Roman" w:hAnsi="Times New Roman" w:cs="Times New Roman"/>
          <w:sz w:val="24"/>
          <w:szCs w:val="24"/>
        </w:rPr>
        <w:t xml:space="preserve"> резултатите от проведените обществени консултации по Анализ на необходимостта от преразглеждане на Тарифата, изготвен въз основа на данните, посочени в Отчета за приходи и разходи на КРС за 2023 г., Отчета за касовото изпълнение на бюджета и сметките за средства от Европейския съюз и чуждите средства на КРС към 31.12.2023 г., и Обяснителната записка за касовото изпълнение на бюджета и сметките за средства от Европейския съюз и чуждите средства на КРС към 31.12.2023 г. </w:t>
      </w:r>
    </w:p>
    <w:p w14:paraId="7A90E1DD" w14:textId="17C14B4A" w:rsidR="008156AC" w:rsidRDefault="00DE7206" w:rsidP="00DE7206">
      <w:pPr>
        <w:autoSpaceDE w:val="0"/>
        <w:autoSpaceDN w:val="0"/>
        <w:adjustRightInd w:val="0"/>
        <w:spacing w:after="0" w:line="240" w:lineRule="auto"/>
        <w:ind w:firstLine="708"/>
        <w:jc w:val="both"/>
        <w:rPr>
          <w:rFonts w:ascii="Times New Roman" w:hAnsi="Times New Roman" w:cs="Times New Roman"/>
          <w:sz w:val="24"/>
          <w:szCs w:val="24"/>
        </w:rPr>
      </w:pPr>
      <w:r w:rsidRPr="00DE7206">
        <w:rPr>
          <w:rFonts w:ascii="Times New Roman" w:hAnsi="Times New Roman" w:cs="Times New Roman"/>
          <w:sz w:val="24"/>
          <w:szCs w:val="24"/>
        </w:rPr>
        <w:t>В</w:t>
      </w:r>
      <w:r w:rsidR="00DB5089">
        <w:rPr>
          <w:rFonts w:ascii="Times New Roman" w:hAnsi="Times New Roman" w:cs="Times New Roman"/>
          <w:sz w:val="24"/>
          <w:szCs w:val="24"/>
        </w:rPr>
        <w:t xml:space="preserve"> проекта на </w:t>
      </w:r>
      <w:r w:rsidR="00DB5089" w:rsidRPr="00DB5089">
        <w:rPr>
          <w:rFonts w:ascii="Times New Roman" w:hAnsi="Times New Roman" w:cs="Times New Roman"/>
          <w:sz w:val="24"/>
          <w:szCs w:val="24"/>
        </w:rPr>
        <w:t>Постановление на Министерския съвет за изменение и допълнение на Тарифата за таксите, които се събират от Комисията за регулиране на съобщенията по Закона за електронните съобщения</w:t>
      </w:r>
      <w:r w:rsidR="00DB5089">
        <w:rPr>
          <w:rFonts w:ascii="Times New Roman" w:hAnsi="Times New Roman" w:cs="Times New Roman"/>
          <w:sz w:val="24"/>
          <w:szCs w:val="24"/>
        </w:rPr>
        <w:t xml:space="preserve"> </w:t>
      </w:r>
      <w:r w:rsidRPr="00DE7206">
        <w:rPr>
          <w:rFonts w:ascii="Times New Roman" w:hAnsi="Times New Roman" w:cs="Times New Roman"/>
          <w:sz w:val="24"/>
          <w:szCs w:val="24"/>
        </w:rPr>
        <w:t xml:space="preserve">се </w:t>
      </w:r>
      <w:r w:rsidR="002E4166">
        <w:rPr>
          <w:rFonts w:ascii="Times New Roman" w:hAnsi="Times New Roman" w:cs="Times New Roman"/>
          <w:sz w:val="24"/>
          <w:szCs w:val="24"/>
        </w:rPr>
        <w:t>предлагат</w:t>
      </w:r>
      <w:r>
        <w:rPr>
          <w:rFonts w:ascii="Times New Roman" w:hAnsi="Times New Roman" w:cs="Times New Roman"/>
          <w:sz w:val="24"/>
          <w:szCs w:val="24"/>
        </w:rPr>
        <w:t xml:space="preserve"> </w:t>
      </w:r>
      <w:r w:rsidR="002E4166">
        <w:rPr>
          <w:rFonts w:ascii="Times New Roman" w:hAnsi="Times New Roman" w:cs="Times New Roman"/>
          <w:sz w:val="24"/>
          <w:szCs w:val="24"/>
        </w:rPr>
        <w:t>следните</w:t>
      </w:r>
      <w:r>
        <w:rPr>
          <w:rFonts w:ascii="Times New Roman" w:hAnsi="Times New Roman" w:cs="Times New Roman"/>
          <w:sz w:val="24"/>
          <w:szCs w:val="24"/>
        </w:rPr>
        <w:t xml:space="preserve"> </w:t>
      </w:r>
      <w:r w:rsidRPr="00DE7206">
        <w:rPr>
          <w:rFonts w:ascii="Times New Roman" w:hAnsi="Times New Roman" w:cs="Times New Roman"/>
          <w:sz w:val="24"/>
          <w:szCs w:val="24"/>
        </w:rPr>
        <w:t xml:space="preserve"> из</w:t>
      </w:r>
      <w:r>
        <w:rPr>
          <w:rFonts w:ascii="Times New Roman" w:hAnsi="Times New Roman" w:cs="Times New Roman"/>
          <w:sz w:val="24"/>
          <w:szCs w:val="24"/>
        </w:rPr>
        <w:t>менения и допълнения в т</w:t>
      </w:r>
      <w:r w:rsidR="002E4166">
        <w:rPr>
          <w:rFonts w:ascii="Times New Roman" w:hAnsi="Times New Roman" w:cs="Times New Roman"/>
          <w:sz w:val="24"/>
          <w:szCs w:val="24"/>
        </w:rPr>
        <w:t>арифата:</w:t>
      </w:r>
    </w:p>
    <w:p w14:paraId="2335E767" w14:textId="1FEAC4FD" w:rsidR="008156AC" w:rsidRDefault="008156AC" w:rsidP="008E5EC7">
      <w:pPr>
        <w:pStyle w:val="ListBullet"/>
        <w:tabs>
          <w:tab w:val="clear" w:pos="340"/>
        </w:tabs>
        <w:spacing w:before="0" w:after="0"/>
        <w:ind w:left="0" w:firstLine="709"/>
        <w:rPr>
          <w:lang w:val="bg-BG"/>
        </w:rPr>
      </w:pPr>
    </w:p>
    <w:p w14:paraId="2217B706" w14:textId="1BD1E7E9" w:rsidR="002E4166" w:rsidRDefault="002E4166" w:rsidP="002E4166">
      <w:pPr>
        <w:spacing w:before="240" w:after="0" w:line="240" w:lineRule="auto"/>
        <w:ind w:firstLine="709"/>
        <w:jc w:val="both"/>
        <w:rPr>
          <w:rFonts w:ascii="Times New Roman" w:eastAsia="Times New Roman" w:hAnsi="Times New Roman" w:cs="Times New Roman"/>
          <w:iCs/>
          <w:sz w:val="24"/>
          <w:szCs w:val="24"/>
          <w:lang w:eastAsia="bg-BG"/>
        </w:rPr>
      </w:pPr>
      <w:r w:rsidRPr="00E57E94">
        <w:rPr>
          <w:rFonts w:ascii="Times New Roman" w:eastAsia="Times New Roman" w:hAnsi="Times New Roman" w:cs="Times New Roman"/>
          <w:b/>
          <w:bCs/>
          <w:sz w:val="23"/>
          <w:szCs w:val="23"/>
          <w:lang w:eastAsia="en-GB"/>
        </w:rPr>
        <w:t xml:space="preserve">I. </w:t>
      </w:r>
      <w:r>
        <w:rPr>
          <w:rFonts w:ascii="Times New Roman" w:eastAsia="Times New Roman" w:hAnsi="Times New Roman" w:cs="Times New Roman"/>
          <w:b/>
          <w:sz w:val="24"/>
          <w:szCs w:val="24"/>
          <w:lang w:eastAsia="en-GB"/>
        </w:rPr>
        <w:t xml:space="preserve">Изменение на размера на административната годишна такса за контрол </w:t>
      </w:r>
      <w:r w:rsidRPr="00B26334">
        <w:rPr>
          <w:rFonts w:ascii="Times New Roman" w:eastAsia="Times New Roman" w:hAnsi="Times New Roman" w:cs="Times New Roman"/>
          <w:iCs/>
          <w:sz w:val="24"/>
          <w:szCs w:val="24"/>
          <w:lang w:eastAsia="bg-BG"/>
        </w:rPr>
        <w:t xml:space="preserve"> </w:t>
      </w:r>
    </w:p>
    <w:p w14:paraId="44AE5562" w14:textId="6E0B922B" w:rsidR="002E4166" w:rsidRPr="00D522A7" w:rsidRDefault="00D522A7" w:rsidP="00D522A7">
      <w:pPr>
        <w:spacing w:before="240" w:after="0" w:line="240" w:lineRule="auto"/>
        <w:ind w:firstLine="709"/>
        <w:jc w:val="both"/>
        <w:rPr>
          <w:rFonts w:ascii="Times New Roman" w:eastAsia="Times New Roman" w:hAnsi="Times New Roman" w:cs="Times New Roman"/>
          <w:iCs/>
          <w:sz w:val="24"/>
          <w:szCs w:val="24"/>
          <w:lang w:eastAsia="bg-BG"/>
        </w:rPr>
      </w:pPr>
      <w:r>
        <w:rPr>
          <w:rFonts w:ascii="Times New Roman" w:eastAsia="Times New Roman" w:hAnsi="Times New Roman" w:cs="Times New Roman"/>
          <w:iCs/>
          <w:sz w:val="24"/>
          <w:szCs w:val="24"/>
          <w:lang w:eastAsia="bg-BG"/>
        </w:rPr>
        <w:t>Предлага се в</w:t>
      </w:r>
      <w:r w:rsidR="00DB5089">
        <w:rPr>
          <w:rFonts w:ascii="Times New Roman" w:eastAsia="Times New Roman" w:hAnsi="Times New Roman" w:cs="Times New Roman"/>
          <w:iCs/>
          <w:sz w:val="24"/>
          <w:szCs w:val="24"/>
          <w:lang w:eastAsia="bg-BG"/>
        </w:rPr>
        <w:t xml:space="preserve"> чл. 5, ал. 2 думите</w:t>
      </w:r>
      <w:r w:rsidR="002E4166" w:rsidRPr="00D522A7">
        <w:rPr>
          <w:rFonts w:ascii="Times New Roman" w:eastAsia="Times New Roman" w:hAnsi="Times New Roman" w:cs="Times New Roman"/>
          <w:iCs/>
          <w:sz w:val="24"/>
          <w:szCs w:val="24"/>
          <w:lang w:eastAsia="bg-BG"/>
        </w:rPr>
        <w:t xml:space="preserve"> „0,291 на сто“</w:t>
      </w:r>
      <w:r w:rsidR="00446FA1">
        <w:rPr>
          <w:rFonts w:ascii="Times New Roman" w:eastAsia="Times New Roman" w:hAnsi="Times New Roman" w:cs="Times New Roman"/>
          <w:iCs/>
          <w:sz w:val="24"/>
          <w:szCs w:val="24"/>
          <w:lang w:eastAsia="bg-BG"/>
        </w:rPr>
        <w:t xml:space="preserve"> да</w:t>
      </w:r>
      <w:r w:rsidR="002E4166" w:rsidRPr="00D522A7">
        <w:rPr>
          <w:rFonts w:ascii="Times New Roman" w:eastAsia="Times New Roman" w:hAnsi="Times New Roman" w:cs="Times New Roman"/>
          <w:iCs/>
          <w:sz w:val="24"/>
          <w:szCs w:val="24"/>
          <w:lang w:eastAsia="bg-BG"/>
        </w:rPr>
        <w:t xml:space="preserve"> се заменят с „0,265 на сто“.</w:t>
      </w:r>
      <w:r w:rsidR="002E4166" w:rsidRPr="00D522A7" w:rsidDel="00030BE2">
        <w:rPr>
          <w:rFonts w:ascii="Times New Roman" w:eastAsia="Times New Roman" w:hAnsi="Times New Roman" w:cs="Times New Roman"/>
          <w:iCs/>
          <w:sz w:val="24"/>
          <w:szCs w:val="24"/>
          <w:lang w:eastAsia="bg-BG"/>
        </w:rPr>
        <w:t xml:space="preserve"> </w:t>
      </w:r>
    </w:p>
    <w:p w14:paraId="30AEBDC8" w14:textId="298B2BB1" w:rsidR="002E4166" w:rsidRPr="002E4166" w:rsidRDefault="002E4166" w:rsidP="00FE10A2">
      <w:pPr>
        <w:spacing w:after="0" w:line="240" w:lineRule="auto"/>
        <w:ind w:firstLine="708"/>
        <w:jc w:val="both"/>
        <w:rPr>
          <w:rFonts w:ascii="Times New Roman" w:hAnsi="Times New Roman" w:cs="Times New Roman"/>
          <w:bCs/>
          <w:sz w:val="24"/>
          <w:szCs w:val="24"/>
        </w:rPr>
      </w:pPr>
      <w:r w:rsidRPr="002E4166">
        <w:rPr>
          <w:rFonts w:ascii="Times New Roman" w:hAnsi="Times New Roman" w:cs="Times New Roman"/>
          <w:bCs/>
          <w:sz w:val="24"/>
          <w:szCs w:val="24"/>
        </w:rPr>
        <w:t>Мотивите за това предложение се основават на изискван</w:t>
      </w:r>
      <w:r w:rsidR="00DB5089">
        <w:rPr>
          <w:rFonts w:ascii="Times New Roman" w:hAnsi="Times New Roman" w:cs="Times New Roman"/>
          <w:bCs/>
          <w:sz w:val="24"/>
          <w:szCs w:val="24"/>
        </w:rPr>
        <w:t>ето</w:t>
      </w:r>
      <w:r>
        <w:rPr>
          <w:rFonts w:ascii="Times New Roman" w:hAnsi="Times New Roman" w:cs="Times New Roman"/>
          <w:bCs/>
          <w:sz w:val="24"/>
          <w:szCs w:val="24"/>
        </w:rPr>
        <w:t xml:space="preserve"> на чл. 139, ал. 1 от ЗЕС, съгласно</w:t>
      </w:r>
      <w:r w:rsidR="00DB5089">
        <w:rPr>
          <w:rFonts w:ascii="Times New Roman" w:hAnsi="Times New Roman" w:cs="Times New Roman"/>
          <w:bCs/>
          <w:sz w:val="24"/>
          <w:szCs w:val="24"/>
        </w:rPr>
        <w:t xml:space="preserve"> кое</w:t>
      </w:r>
      <w:r w:rsidRPr="002E4166">
        <w:rPr>
          <w:rFonts w:ascii="Times New Roman" w:hAnsi="Times New Roman" w:cs="Times New Roman"/>
          <w:bCs/>
          <w:sz w:val="24"/>
          <w:szCs w:val="24"/>
        </w:rPr>
        <w:t xml:space="preserve">то размерът на административните такси, дължими от лицата, осъществяващи електронни съобщения в изпълнение на изискванията на закона, съответства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 В рамките на ежегодния анализ на необходимостта от преразглеждане на Тарифата, КРС </w:t>
      </w:r>
      <w:r>
        <w:rPr>
          <w:rFonts w:ascii="Times New Roman" w:hAnsi="Times New Roman" w:cs="Times New Roman"/>
          <w:bCs/>
          <w:sz w:val="24"/>
          <w:szCs w:val="24"/>
        </w:rPr>
        <w:t>е установила,  че</w:t>
      </w:r>
      <w:r w:rsidRPr="002E4166">
        <w:rPr>
          <w:rFonts w:ascii="Times New Roman" w:hAnsi="Times New Roman" w:cs="Times New Roman"/>
          <w:bCs/>
          <w:sz w:val="24"/>
          <w:szCs w:val="24"/>
        </w:rPr>
        <w:t xml:space="preserve"> административните разходи, посочени в чл. 139, ал. 1 от ЗЕС, не съответстват на размера на администрати</w:t>
      </w:r>
      <w:r w:rsidR="00DB5089">
        <w:rPr>
          <w:rFonts w:ascii="Times New Roman" w:hAnsi="Times New Roman" w:cs="Times New Roman"/>
          <w:bCs/>
          <w:sz w:val="24"/>
          <w:szCs w:val="24"/>
        </w:rPr>
        <w:t>вните такси. Според разпоредбата</w:t>
      </w:r>
      <w:r w:rsidRPr="002E4166">
        <w:rPr>
          <w:rFonts w:ascii="Times New Roman" w:hAnsi="Times New Roman" w:cs="Times New Roman"/>
          <w:bCs/>
          <w:sz w:val="24"/>
          <w:szCs w:val="24"/>
        </w:rPr>
        <w:t xml:space="preserve"> на чл. 53, ал. 1 от ЗЕС в случай, че се установи разлика между общата сума на събраните административни такси и административните разходи на комисията, КРС предлага на Министерския съвет изменение на тарифата по чл. 147 относно размера на административната такса за контрол. </w:t>
      </w:r>
    </w:p>
    <w:p w14:paraId="02C2E350" w14:textId="3AB36132" w:rsidR="002E4166" w:rsidRPr="003A1217" w:rsidRDefault="002E4166" w:rsidP="002E4166">
      <w:pPr>
        <w:spacing w:after="0" w:line="240" w:lineRule="auto"/>
        <w:ind w:firstLine="720"/>
        <w:jc w:val="both"/>
        <w:rPr>
          <w:rFonts w:ascii="Times New Roman" w:hAnsi="Times New Roman" w:cs="Times New Roman"/>
          <w:sz w:val="24"/>
          <w:szCs w:val="24"/>
        </w:rPr>
      </w:pPr>
      <w:r w:rsidRPr="002E4166">
        <w:rPr>
          <w:rFonts w:ascii="Times New Roman" w:hAnsi="Times New Roman" w:cs="Times New Roman"/>
          <w:bCs/>
          <w:sz w:val="24"/>
          <w:szCs w:val="24"/>
        </w:rPr>
        <w:t>Предвид изложеното, отчитайки резултатите от анализа и с оглед спазване на изискванията на ЗЕС, е налице необходимост от изменение на размера на административната годишна такса за контрол на 0,265 на сто, която следва да бъде приложена за 2026 г. По този начин разходите за дейностите, посочени в чл. 139 от ЗЕС ще се финансират от приходите от такси съгласно изискванията на същата разпоредба.</w:t>
      </w:r>
    </w:p>
    <w:p w14:paraId="6A8E458B" w14:textId="77777777" w:rsidR="002E4166" w:rsidRDefault="002E4166" w:rsidP="008E5EC7">
      <w:pPr>
        <w:pStyle w:val="ListBullet"/>
        <w:tabs>
          <w:tab w:val="clear" w:pos="340"/>
        </w:tabs>
        <w:spacing w:before="0" w:after="0"/>
        <w:ind w:left="0" w:firstLine="709"/>
        <w:rPr>
          <w:b/>
          <w:bCs/>
          <w:sz w:val="23"/>
          <w:szCs w:val="23"/>
          <w:lang w:val="bg-BG"/>
        </w:rPr>
      </w:pPr>
    </w:p>
    <w:p w14:paraId="0D469457" w14:textId="77777777" w:rsidR="002E4166" w:rsidRDefault="002E4166" w:rsidP="008E5EC7">
      <w:pPr>
        <w:pStyle w:val="ListBullet"/>
        <w:tabs>
          <w:tab w:val="clear" w:pos="340"/>
        </w:tabs>
        <w:spacing w:before="0" w:after="0"/>
        <w:ind w:left="0" w:firstLine="709"/>
        <w:rPr>
          <w:b/>
          <w:bCs/>
          <w:sz w:val="23"/>
          <w:szCs w:val="23"/>
          <w:lang w:val="bg-BG"/>
        </w:rPr>
      </w:pPr>
    </w:p>
    <w:p w14:paraId="7E1A90AD" w14:textId="77777777" w:rsidR="002E4166" w:rsidRDefault="002E4166" w:rsidP="008E5EC7">
      <w:pPr>
        <w:pStyle w:val="ListBullet"/>
        <w:tabs>
          <w:tab w:val="clear" w:pos="340"/>
        </w:tabs>
        <w:spacing w:before="0" w:after="0"/>
        <w:ind w:left="0" w:firstLine="709"/>
        <w:rPr>
          <w:b/>
          <w:bCs/>
          <w:sz w:val="23"/>
          <w:szCs w:val="23"/>
          <w:lang w:val="bg-BG"/>
        </w:rPr>
      </w:pPr>
    </w:p>
    <w:p w14:paraId="05169A40" w14:textId="77777777" w:rsidR="002E4166" w:rsidRDefault="002E4166" w:rsidP="008E5EC7">
      <w:pPr>
        <w:pStyle w:val="ListBullet"/>
        <w:tabs>
          <w:tab w:val="clear" w:pos="340"/>
        </w:tabs>
        <w:spacing w:before="0" w:after="0"/>
        <w:ind w:left="0" w:firstLine="709"/>
        <w:rPr>
          <w:b/>
          <w:bCs/>
          <w:sz w:val="23"/>
          <w:szCs w:val="23"/>
          <w:lang w:val="bg-BG"/>
        </w:rPr>
      </w:pPr>
    </w:p>
    <w:p w14:paraId="2F0C5C78" w14:textId="77777777" w:rsidR="002E4166" w:rsidRDefault="002E4166" w:rsidP="008E5EC7">
      <w:pPr>
        <w:pStyle w:val="ListBullet"/>
        <w:tabs>
          <w:tab w:val="clear" w:pos="340"/>
        </w:tabs>
        <w:spacing w:before="0" w:after="0"/>
        <w:ind w:left="0" w:firstLine="709"/>
        <w:rPr>
          <w:b/>
          <w:bCs/>
          <w:sz w:val="23"/>
          <w:szCs w:val="23"/>
          <w:lang w:val="bg-BG"/>
        </w:rPr>
      </w:pPr>
    </w:p>
    <w:p w14:paraId="6C80A598" w14:textId="275CAF13" w:rsidR="00094FA5" w:rsidRDefault="00094FA5" w:rsidP="00094FA5">
      <w:pPr>
        <w:pStyle w:val="ListBullet"/>
        <w:tabs>
          <w:tab w:val="clear" w:pos="340"/>
        </w:tabs>
        <w:spacing w:before="0" w:after="0"/>
        <w:ind w:left="0" w:firstLine="709"/>
        <w:rPr>
          <w:b/>
          <w:szCs w:val="24"/>
          <w:u w:color="000000"/>
          <w:lang w:val="bg-BG"/>
        </w:rPr>
      </w:pPr>
      <w:r>
        <w:rPr>
          <w:b/>
          <w:bCs/>
          <w:sz w:val="23"/>
          <w:szCs w:val="23"/>
          <w:lang w:val="en-US"/>
        </w:rPr>
        <w:lastRenderedPageBreak/>
        <w:t>I</w:t>
      </w:r>
      <w:r w:rsidR="00CD1A44" w:rsidRPr="003A1217">
        <w:rPr>
          <w:b/>
          <w:bCs/>
          <w:sz w:val="23"/>
          <w:szCs w:val="23"/>
          <w:lang w:val="bg-BG"/>
        </w:rPr>
        <w:t xml:space="preserve">I. </w:t>
      </w:r>
      <w:proofErr w:type="spellStart"/>
      <w:r w:rsidRPr="00DB5089">
        <w:rPr>
          <w:b/>
          <w:szCs w:val="24"/>
          <w:u w:color="000000"/>
          <w:lang w:val="ru-RU"/>
        </w:rPr>
        <w:t>Привеждане</w:t>
      </w:r>
      <w:proofErr w:type="spellEnd"/>
      <w:r w:rsidRPr="00DB5089">
        <w:rPr>
          <w:b/>
          <w:szCs w:val="24"/>
          <w:u w:color="000000"/>
          <w:lang w:val="ru-RU"/>
        </w:rPr>
        <w:t xml:space="preserve"> на </w:t>
      </w:r>
      <w:proofErr w:type="spellStart"/>
      <w:r w:rsidRPr="00DB5089">
        <w:rPr>
          <w:b/>
          <w:szCs w:val="24"/>
          <w:u w:color="000000"/>
          <w:lang w:val="ru-RU"/>
        </w:rPr>
        <w:t>таксите</w:t>
      </w:r>
      <w:proofErr w:type="spellEnd"/>
      <w:r>
        <w:rPr>
          <w:b/>
          <w:szCs w:val="24"/>
          <w:u w:color="000000"/>
          <w:lang w:val="bg-BG"/>
        </w:rPr>
        <w:t xml:space="preserve">, определени в тарифата от </w:t>
      </w:r>
      <w:r w:rsidRPr="00DB5089">
        <w:rPr>
          <w:b/>
          <w:szCs w:val="24"/>
          <w:u w:color="000000"/>
          <w:lang w:val="ru-RU"/>
        </w:rPr>
        <w:t xml:space="preserve">лева в евро след </w:t>
      </w:r>
      <w:proofErr w:type="spellStart"/>
      <w:r w:rsidRPr="00DB5089">
        <w:rPr>
          <w:b/>
          <w:szCs w:val="24"/>
          <w:u w:color="000000"/>
          <w:lang w:val="ru-RU"/>
        </w:rPr>
        <w:t>приемане</w:t>
      </w:r>
      <w:proofErr w:type="spellEnd"/>
      <w:r w:rsidRPr="00DB5089">
        <w:rPr>
          <w:b/>
          <w:szCs w:val="24"/>
          <w:u w:color="000000"/>
          <w:lang w:val="ru-RU"/>
        </w:rPr>
        <w:t xml:space="preserve"> на </w:t>
      </w:r>
      <w:proofErr w:type="spellStart"/>
      <w:r w:rsidRPr="00DB5089">
        <w:rPr>
          <w:b/>
          <w:szCs w:val="24"/>
          <w:u w:color="000000"/>
          <w:lang w:val="ru-RU"/>
        </w:rPr>
        <w:t>еврото</w:t>
      </w:r>
      <w:proofErr w:type="spellEnd"/>
      <w:r w:rsidRPr="00DB5089">
        <w:rPr>
          <w:b/>
          <w:szCs w:val="24"/>
          <w:u w:color="000000"/>
          <w:lang w:val="ru-RU"/>
        </w:rPr>
        <w:t xml:space="preserve"> </w:t>
      </w:r>
      <w:proofErr w:type="spellStart"/>
      <w:r w:rsidRPr="00DB5089">
        <w:rPr>
          <w:b/>
          <w:szCs w:val="24"/>
          <w:u w:color="000000"/>
          <w:lang w:val="ru-RU"/>
        </w:rPr>
        <w:t>като</w:t>
      </w:r>
      <w:proofErr w:type="spellEnd"/>
      <w:r w:rsidRPr="00DB5089">
        <w:rPr>
          <w:b/>
          <w:szCs w:val="24"/>
          <w:u w:color="000000"/>
          <w:lang w:val="ru-RU"/>
        </w:rPr>
        <w:t xml:space="preserve"> </w:t>
      </w:r>
      <w:proofErr w:type="spellStart"/>
      <w:r w:rsidRPr="00DB5089">
        <w:rPr>
          <w:b/>
          <w:szCs w:val="24"/>
          <w:u w:color="000000"/>
          <w:lang w:val="ru-RU"/>
        </w:rPr>
        <w:t>официална</w:t>
      </w:r>
      <w:proofErr w:type="spellEnd"/>
      <w:r w:rsidRPr="00DB5089">
        <w:rPr>
          <w:b/>
          <w:szCs w:val="24"/>
          <w:u w:color="000000"/>
          <w:lang w:val="ru-RU"/>
        </w:rPr>
        <w:t xml:space="preserve"> </w:t>
      </w:r>
      <w:proofErr w:type="spellStart"/>
      <w:r w:rsidRPr="00DB5089">
        <w:rPr>
          <w:b/>
          <w:szCs w:val="24"/>
          <w:u w:color="000000"/>
          <w:lang w:val="ru-RU"/>
        </w:rPr>
        <w:t>парична</w:t>
      </w:r>
      <w:proofErr w:type="spellEnd"/>
      <w:r w:rsidRPr="00DB5089">
        <w:rPr>
          <w:b/>
          <w:szCs w:val="24"/>
          <w:u w:color="000000"/>
          <w:lang w:val="ru-RU"/>
        </w:rPr>
        <w:t xml:space="preserve"> единица</w:t>
      </w:r>
      <w:r>
        <w:rPr>
          <w:b/>
          <w:szCs w:val="24"/>
          <w:u w:color="000000"/>
          <w:lang w:val="bg-BG"/>
        </w:rPr>
        <w:t xml:space="preserve"> в Република България</w:t>
      </w:r>
    </w:p>
    <w:p w14:paraId="5F5B9249" w14:textId="77777777" w:rsidR="00094FA5" w:rsidRDefault="00094FA5" w:rsidP="00094FA5">
      <w:pPr>
        <w:pStyle w:val="ListBullet"/>
        <w:tabs>
          <w:tab w:val="clear" w:pos="340"/>
        </w:tabs>
        <w:spacing w:before="0" w:after="0"/>
        <w:ind w:left="0" w:firstLine="709"/>
        <w:rPr>
          <w:b/>
          <w:szCs w:val="24"/>
          <w:u w:color="000000"/>
          <w:lang w:val="bg-BG"/>
        </w:rPr>
      </w:pPr>
    </w:p>
    <w:p w14:paraId="19112D2E" w14:textId="05031514" w:rsidR="00094FA5" w:rsidRDefault="004052D3" w:rsidP="004052D3">
      <w:pPr>
        <w:pStyle w:val="ListBullet"/>
        <w:tabs>
          <w:tab w:val="clear" w:pos="340"/>
        </w:tabs>
        <w:spacing w:before="0" w:after="0"/>
        <w:ind w:firstLine="0"/>
        <w:rPr>
          <w:rFonts w:eastAsia="Calibri"/>
          <w:szCs w:val="24"/>
          <w:u w:color="000000"/>
          <w:lang w:val="bg-BG" w:eastAsia="en-US"/>
        </w:rPr>
      </w:pPr>
      <w:r>
        <w:rPr>
          <w:szCs w:val="24"/>
          <w:u w:color="000000"/>
          <w:lang w:val="bg-BG"/>
        </w:rPr>
        <w:t xml:space="preserve">   </w:t>
      </w:r>
      <w:r w:rsidR="00094FA5" w:rsidRPr="00094FA5">
        <w:rPr>
          <w:szCs w:val="24"/>
          <w:u w:color="000000"/>
          <w:lang w:val="bg-BG"/>
        </w:rPr>
        <w:t xml:space="preserve">С проекта се предлага </w:t>
      </w:r>
      <w:proofErr w:type="spellStart"/>
      <w:r w:rsidR="00094FA5" w:rsidRPr="00094FA5">
        <w:rPr>
          <w:szCs w:val="24"/>
          <w:u w:color="000000"/>
          <w:lang w:val="bg-BG"/>
        </w:rPr>
        <w:t>превалутиране</w:t>
      </w:r>
      <w:proofErr w:type="spellEnd"/>
      <w:r w:rsidR="00094FA5" w:rsidRPr="00094FA5">
        <w:rPr>
          <w:szCs w:val="24"/>
          <w:u w:color="000000"/>
          <w:lang w:val="bg-BG"/>
        </w:rPr>
        <w:t xml:space="preserve"> на всички приложими такси</w:t>
      </w:r>
      <w:r w:rsidR="00094FA5">
        <w:rPr>
          <w:rFonts w:eastAsia="Calibri"/>
          <w:szCs w:val="24"/>
          <w:u w:color="000000"/>
          <w:lang w:val="bg-BG" w:eastAsia="en-US"/>
        </w:rPr>
        <w:t>.</w:t>
      </w:r>
    </w:p>
    <w:p w14:paraId="0DAFF90F" w14:textId="77777777" w:rsidR="004052D3" w:rsidRPr="004052D3" w:rsidRDefault="004052D3" w:rsidP="004052D3">
      <w:pPr>
        <w:autoSpaceDN w:val="0"/>
        <w:spacing w:after="0" w:line="240" w:lineRule="auto"/>
        <w:ind w:firstLine="567"/>
        <w:jc w:val="both"/>
        <w:rPr>
          <w:rFonts w:ascii="Times New Roman" w:hAnsi="Times New Roman" w:cs="Times New Roman"/>
          <w:color w:val="000000"/>
          <w:sz w:val="24"/>
          <w:szCs w:val="24"/>
        </w:rPr>
      </w:pPr>
      <w:r w:rsidRPr="004052D3">
        <w:rPr>
          <w:rFonts w:ascii="Times New Roman" w:hAnsi="Times New Roman" w:cs="Times New Roman"/>
          <w:color w:val="000000"/>
          <w:sz w:val="24"/>
          <w:szCs w:val="24"/>
        </w:rPr>
        <w:t xml:space="preserve">Със Закона за въвеждане на еврото в Република България (ЗВЕРБ) се уреждат принципите, правилата и процедурите за въвеждане на еврото като парична единица на Република България. В § 6, ал. 1, т. 2 от Преходните и заключителни разпоредби на ЗВЕРБ е предвидено, че държавните органи в 6-месечен срок от влизането в сила на закона предприемат мерки по изменения и допълнения в подзаконови нормативни актове, необходими за изпълнението на закона във връзка с въвеждане на еврото като парична единица в Република България. </w:t>
      </w:r>
    </w:p>
    <w:p w14:paraId="32F2775C" w14:textId="77777777" w:rsidR="004052D3" w:rsidRPr="004052D3" w:rsidRDefault="004052D3" w:rsidP="004052D3">
      <w:pPr>
        <w:spacing w:after="0" w:line="240" w:lineRule="auto"/>
        <w:ind w:firstLine="567"/>
        <w:jc w:val="both"/>
        <w:rPr>
          <w:rFonts w:ascii="Times New Roman" w:hAnsi="Times New Roman" w:cs="Times New Roman"/>
          <w:color w:val="000000"/>
          <w:sz w:val="24"/>
          <w:szCs w:val="24"/>
        </w:rPr>
      </w:pPr>
      <w:r w:rsidRPr="004052D3">
        <w:rPr>
          <w:rFonts w:ascii="Times New Roman" w:hAnsi="Times New Roman" w:cs="Times New Roman"/>
          <w:color w:val="000000"/>
          <w:sz w:val="24"/>
          <w:szCs w:val="24"/>
        </w:rPr>
        <w:t>Предложените от КРС изменения в Тарифата за таксите, които се събират от Комисията по Закона за електронните съобщения, свързани с действието на</w:t>
      </w:r>
      <w:r w:rsidRPr="004052D3">
        <w:rPr>
          <w:rFonts w:ascii="Times New Roman" w:eastAsia="Times New Roman" w:hAnsi="Times New Roman" w:cs="Times New Roman"/>
          <w:sz w:val="24"/>
          <w:szCs w:val="20"/>
          <w:lang w:val="ru-RU" w:eastAsia="bg-BG"/>
        </w:rPr>
        <w:t xml:space="preserve"> </w:t>
      </w:r>
      <w:r w:rsidRPr="004052D3">
        <w:rPr>
          <w:rFonts w:ascii="Times New Roman" w:hAnsi="Times New Roman" w:cs="Times New Roman"/>
          <w:color w:val="000000"/>
          <w:sz w:val="24"/>
          <w:szCs w:val="24"/>
        </w:rPr>
        <w:t xml:space="preserve">ЗВЕРБ, обхващат две групи: първата е съобразно правилата за </w:t>
      </w:r>
      <w:proofErr w:type="spellStart"/>
      <w:r w:rsidRPr="004052D3">
        <w:rPr>
          <w:rFonts w:ascii="Times New Roman" w:hAnsi="Times New Roman" w:cs="Times New Roman"/>
          <w:color w:val="000000"/>
          <w:sz w:val="24"/>
          <w:szCs w:val="24"/>
        </w:rPr>
        <w:t>превалутиране</w:t>
      </w:r>
      <w:proofErr w:type="spellEnd"/>
      <w:r w:rsidRPr="004052D3">
        <w:rPr>
          <w:rFonts w:ascii="Times New Roman" w:hAnsi="Times New Roman" w:cs="Times New Roman"/>
          <w:color w:val="000000"/>
          <w:sz w:val="24"/>
          <w:szCs w:val="24"/>
        </w:rPr>
        <w:t xml:space="preserve"> и закръгляване, определени в чл. 12 и чл. 13 от закона, а втората – се отнася до стойности на такси, посочени в лева, при които прилагането на принципа за приемственост и автоматично </w:t>
      </w:r>
      <w:proofErr w:type="spellStart"/>
      <w:r w:rsidRPr="004052D3">
        <w:rPr>
          <w:rFonts w:ascii="Times New Roman" w:hAnsi="Times New Roman" w:cs="Times New Roman"/>
          <w:color w:val="000000"/>
          <w:sz w:val="24"/>
          <w:szCs w:val="24"/>
        </w:rPr>
        <w:t>превалутиране</w:t>
      </w:r>
      <w:proofErr w:type="spellEnd"/>
      <w:r w:rsidRPr="004052D3">
        <w:rPr>
          <w:rFonts w:ascii="Times New Roman" w:hAnsi="Times New Roman" w:cs="Times New Roman"/>
          <w:color w:val="000000"/>
          <w:sz w:val="24"/>
          <w:szCs w:val="24"/>
        </w:rPr>
        <w:t xml:space="preserve"> на суми от левове в евро не е достатъчно за гарантирането на правната и институционалната сигурност и промяната в стойността съгласно принципа би могла да доведе до нежелани последици</w:t>
      </w:r>
      <w:r w:rsidRPr="004052D3">
        <w:rPr>
          <w:rFonts w:ascii="Times New Roman" w:eastAsia="Times New Roman" w:hAnsi="Times New Roman" w:cs="Times New Roman"/>
          <w:sz w:val="24"/>
          <w:szCs w:val="20"/>
          <w:lang w:val="ru-RU" w:eastAsia="bg-BG"/>
        </w:rPr>
        <w:t xml:space="preserve"> за </w:t>
      </w:r>
      <w:r w:rsidRPr="004052D3">
        <w:rPr>
          <w:rFonts w:ascii="Times New Roman" w:eastAsia="Times New Roman" w:hAnsi="Times New Roman" w:cs="Times New Roman"/>
          <w:sz w:val="24"/>
          <w:szCs w:val="20"/>
          <w:lang w:eastAsia="bg-BG"/>
        </w:rPr>
        <w:t>изпълнение</w:t>
      </w:r>
      <w:r w:rsidRPr="004052D3">
        <w:rPr>
          <w:rFonts w:ascii="Times New Roman" w:eastAsia="Times New Roman" w:hAnsi="Times New Roman" w:cs="Times New Roman"/>
          <w:sz w:val="24"/>
          <w:szCs w:val="20"/>
          <w:lang w:val="ru-RU" w:eastAsia="bg-BG"/>
        </w:rPr>
        <w:t xml:space="preserve"> на </w:t>
      </w:r>
      <w:r w:rsidRPr="004052D3">
        <w:rPr>
          <w:rFonts w:ascii="Times New Roman" w:hAnsi="Times New Roman" w:cs="Times New Roman"/>
          <w:color w:val="000000"/>
          <w:sz w:val="24"/>
          <w:szCs w:val="24"/>
        </w:rPr>
        <w:t xml:space="preserve">функциите  и задачите на КРС за постигане на целите по чл. 4 от Закона за електронните съобщения. </w:t>
      </w:r>
    </w:p>
    <w:p w14:paraId="1AD9E622" w14:textId="77777777" w:rsidR="004052D3" w:rsidRPr="004052D3" w:rsidRDefault="004052D3" w:rsidP="004052D3">
      <w:pPr>
        <w:autoSpaceDN w:val="0"/>
        <w:spacing w:after="0" w:line="240" w:lineRule="auto"/>
        <w:ind w:firstLine="567"/>
        <w:jc w:val="both"/>
        <w:rPr>
          <w:rFonts w:ascii="Times New Roman" w:hAnsi="Times New Roman" w:cs="Times New Roman"/>
          <w:color w:val="000000"/>
          <w:sz w:val="24"/>
          <w:szCs w:val="24"/>
        </w:rPr>
      </w:pPr>
      <w:r w:rsidRPr="004052D3">
        <w:rPr>
          <w:rFonts w:ascii="Times New Roman" w:hAnsi="Times New Roman" w:cs="Times New Roman"/>
          <w:color w:val="000000"/>
          <w:sz w:val="24"/>
          <w:szCs w:val="24"/>
        </w:rPr>
        <w:t xml:space="preserve">С оглед отразяването на промените, които ще настъпят в областта на дължимите държавни такси след въвеждане на еврото в страната и в изпълнение на мерките, залегнали в Националния план за въвеждане на еврото в Република България, са предвидени промени в Тарифата. </w:t>
      </w:r>
      <w:r w:rsidRPr="004052D3">
        <w:rPr>
          <w:rFonts w:ascii="Times New Roman" w:hAnsi="Times New Roman" w:cs="Times New Roman"/>
          <w:iCs/>
          <w:sz w:val="24"/>
          <w:szCs w:val="24"/>
        </w:rPr>
        <w:t xml:space="preserve">Таксите са </w:t>
      </w:r>
      <w:proofErr w:type="spellStart"/>
      <w:r w:rsidRPr="004052D3">
        <w:rPr>
          <w:rFonts w:ascii="Times New Roman" w:hAnsi="Times New Roman" w:cs="Times New Roman"/>
          <w:iCs/>
          <w:sz w:val="24"/>
          <w:szCs w:val="24"/>
        </w:rPr>
        <w:t>превалутирани</w:t>
      </w:r>
      <w:proofErr w:type="spellEnd"/>
      <w:r w:rsidRPr="004052D3">
        <w:rPr>
          <w:rFonts w:ascii="Times New Roman" w:hAnsi="Times New Roman" w:cs="Times New Roman"/>
          <w:iCs/>
          <w:sz w:val="24"/>
          <w:szCs w:val="24"/>
        </w:rPr>
        <w:t xml:space="preserve"> в съответствие с правилата за </w:t>
      </w:r>
      <w:proofErr w:type="spellStart"/>
      <w:r w:rsidRPr="004052D3">
        <w:rPr>
          <w:rFonts w:ascii="Times New Roman" w:hAnsi="Times New Roman" w:cs="Times New Roman"/>
          <w:iCs/>
          <w:sz w:val="24"/>
          <w:szCs w:val="24"/>
        </w:rPr>
        <w:t>превалутиране</w:t>
      </w:r>
      <w:proofErr w:type="spellEnd"/>
      <w:r w:rsidRPr="004052D3">
        <w:rPr>
          <w:rFonts w:ascii="Times New Roman" w:hAnsi="Times New Roman" w:cs="Times New Roman"/>
          <w:iCs/>
          <w:sz w:val="24"/>
          <w:szCs w:val="24"/>
        </w:rPr>
        <w:t xml:space="preserve"> и закръгляване, определени в чл. 12 и чл. 13 от ЗВЕРБ.</w:t>
      </w:r>
    </w:p>
    <w:p w14:paraId="345E546F" w14:textId="77777777" w:rsidR="004052D3" w:rsidRPr="004052D3" w:rsidRDefault="004052D3" w:rsidP="004052D3">
      <w:pPr>
        <w:autoSpaceDN w:val="0"/>
        <w:spacing w:after="0" w:line="240" w:lineRule="auto"/>
        <w:ind w:firstLine="567"/>
        <w:jc w:val="both"/>
        <w:rPr>
          <w:rFonts w:ascii="Times New Roman" w:hAnsi="Times New Roman" w:cs="Times New Roman"/>
          <w:color w:val="000000"/>
          <w:sz w:val="24"/>
          <w:szCs w:val="24"/>
        </w:rPr>
      </w:pPr>
      <w:r w:rsidRPr="004052D3">
        <w:rPr>
          <w:rFonts w:ascii="Times New Roman" w:hAnsi="Times New Roman" w:cs="Times New Roman"/>
          <w:color w:val="000000"/>
          <w:sz w:val="24"/>
          <w:szCs w:val="24"/>
        </w:rPr>
        <w:t>По изключение за част от таксите предложеният размер в евро е определен</w:t>
      </w:r>
      <w:r w:rsidRPr="004052D3">
        <w:rPr>
          <w:rFonts w:cs="Arial"/>
        </w:rPr>
        <w:t xml:space="preserve"> </w:t>
      </w:r>
      <w:r w:rsidRPr="004052D3">
        <w:rPr>
          <w:rFonts w:ascii="Times New Roman" w:hAnsi="Times New Roman" w:cs="Times New Roman"/>
          <w:color w:val="000000"/>
          <w:sz w:val="24"/>
          <w:szCs w:val="24"/>
        </w:rPr>
        <w:t>като сумата в левове е разделена на две. Този подход е предложен за такси с инцидентен характер, които са приложими за ограничен брой дейности. Предвид това, с предложението се цели постигане на пропорционалност между административната тежест за заявителите и реалния обем на административната услуга, предоставяна в тези случаи. Възможните постъпления от тези такси са незначителни за цялостната бюджетна рамка и не представляват регулярни или планирани постъпления, които биха могли да бъдат отчетени като постоянен източник на приходи.</w:t>
      </w:r>
      <w:r w:rsidRPr="004052D3">
        <w:rPr>
          <w:rFonts w:cs="Arial"/>
        </w:rPr>
        <w:t xml:space="preserve"> </w:t>
      </w:r>
      <w:r w:rsidRPr="004052D3">
        <w:rPr>
          <w:rFonts w:ascii="Times New Roman" w:hAnsi="Times New Roman" w:cs="Times New Roman"/>
          <w:color w:val="000000"/>
          <w:sz w:val="24"/>
          <w:szCs w:val="24"/>
        </w:rPr>
        <w:t>В този смисъл, тези такси няма да окажат пряко въздействие върху бюджета.</w:t>
      </w:r>
    </w:p>
    <w:p w14:paraId="21D9F500" w14:textId="77777777" w:rsidR="004052D3" w:rsidRPr="004052D3" w:rsidRDefault="004052D3" w:rsidP="004052D3">
      <w:pPr>
        <w:spacing w:after="0" w:line="240" w:lineRule="auto"/>
        <w:ind w:firstLine="567"/>
        <w:jc w:val="both"/>
        <w:rPr>
          <w:rFonts w:ascii="Times New Roman" w:hAnsi="Times New Roman" w:cs="Times New Roman"/>
          <w:bCs/>
          <w:sz w:val="24"/>
          <w:szCs w:val="24"/>
        </w:rPr>
      </w:pPr>
      <w:r w:rsidRPr="004052D3">
        <w:rPr>
          <w:rFonts w:ascii="Times New Roman" w:hAnsi="Times New Roman" w:cs="Times New Roman"/>
          <w:bCs/>
          <w:sz w:val="24"/>
          <w:szCs w:val="24"/>
        </w:rPr>
        <w:t xml:space="preserve">За еднократните такси за издаване и/или изменение и допълнение на разрешение с честотно планиране, както и годишните такси, за които се запазва правилото за </w:t>
      </w:r>
      <w:proofErr w:type="spellStart"/>
      <w:r w:rsidRPr="004052D3">
        <w:rPr>
          <w:rFonts w:ascii="Times New Roman" w:hAnsi="Times New Roman" w:cs="Times New Roman"/>
          <w:bCs/>
          <w:sz w:val="24"/>
          <w:szCs w:val="24"/>
        </w:rPr>
        <w:t>превалутиране</w:t>
      </w:r>
      <w:proofErr w:type="spellEnd"/>
      <w:r w:rsidRPr="004052D3">
        <w:rPr>
          <w:rFonts w:ascii="Times New Roman" w:hAnsi="Times New Roman" w:cs="Times New Roman"/>
          <w:bCs/>
          <w:sz w:val="24"/>
          <w:szCs w:val="24"/>
        </w:rPr>
        <w:t>, е направено предложение в чл. 16 при изчисляване на общия дължим размер стойността да се закръглява към цяло число в полза на предприятията. Промяната няма да окаже пряко въздействие върху бюджета.</w:t>
      </w:r>
      <w:r w:rsidRPr="004052D3">
        <w:rPr>
          <w:rFonts w:ascii="Times New Roman" w:hAnsi="Times New Roman" w:cs="Times New Roman"/>
          <w:color w:val="000000"/>
          <w:sz w:val="24"/>
          <w:szCs w:val="24"/>
        </w:rPr>
        <w:t xml:space="preserve"> Направеното предложение е в съответствие и с изискването на принципа на защита на потребителите, посочен в Концепцията за Закона за въвеждане на еврото в Република България и Националния план за въвеждане на еврото в Република България, според който въвеждането на еврото не следва да нанася щети на българските физически и юридически лица. В случаи, в които не могат да бъдат точно преобразувани съгласно правилата за закръгляване, таксите и данъците към държавата следва да се закръгляват надолу.</w:t>
      </w:r>
    </w:p>
    <w:p w14:paraId="4198D033" w14:textId="77777777" w:rsidR="004052D3" w:rsidRPr="004052D3" w:rsidRDefault="004052D3" w:rsidP="004052D3">
      <w:pPr>
        <w:spacing w:after="0" w:line="240" w:lineRule="auto"/>
        <w:ind w:firstLine="567"/>
        <w:jc w:val="both"/>
        <w:rPr>
          <w:rFonts w:ascii="Times New Roman" w:hAnsi="Times New Roman" w:cs="Times New Roman"/>
          <w:color w:val="000000"/>
          <w:sz w:val="24"/>
          <w:szCs w:val="24"/>
          <w:shd w:val="clear" w:color="auto" w:fill="FEFEFE"/>
        </w:rPr>
      </w:pPr>
      <w:r w:rsidRPr="004052D3">
        <w:rPr>
          <w:rFonts w:ascii="Times New Roman" w:eastAsia="Times New Roman" w:hAnsi="Times New Roman" w:cs="Times New Roman"/>
          <w:sz w:val="24"/>
          <w:szCs w:val="24"/>
        </w:rPr>
        <w:t>Таксите в Тарифата са от изключенията, посочени в чл. 7а, ал. 6 от Закона за ограничаване на административното регулиране и административния контрол върху стопанската дейност, като такси в област със значение за защита на особено важни държавни или обществени интереси, поради което редът за тяхното определяне е в съответствие с чл. 139, ал. 1 от ЗЕС. Таксите в Тарифата не се подчиняват и на общия ред, установен в Закона за държавните такси</w:t>
      </w:r>
      <w:r w:rsidRPr="004052D3">
        <w:rPr>
          <w:rFonts w:ascii="Times New Roman" w:hAnsi="Times New Roman" w:cs="Times New Roman"/>
          <w:color w:val="000000"/>
          <w:sz w:val="24"/>
          <w:szCs w:val="24"/>
          <w:shd w:val="clear" w:color="auto" w:fill="FEFEFE"/>
        </w:rPr>
        <w:t xml:space="preserve">. </w:t>
      </w:r>
    </w:p>
    <w:p w14:paraId="1E780E25" w14:textId="77777777" w:rsidR="004052D3" w:rsidRPr="004052D3" w:rsidRDefault="004052D3" w:rsidP="004052D3">
      <w:pPr>
        <w:spacing w:after="0" w:line="240" w:lineRule="auto"/>
        <w:ind w:firstLine="567"/>
        <w:jc w:val="both"/>
        <w:rPr>
          <w:rFonts w:ascii="Times New Roman" w:hAnsi="Times New Roman" w:cs="Times New Roman"/>
          <w:color w:val="000000"/>
          <w:sz w:val="24"/>
          <w:szCs w:val="24"/>
          <w:shd w:val="clear" w:color="auto" w:fill="FEFEFE"/>
        </w:rPr>
      </w:pPr>
    </w:p>
    <w:p w14:paraId="7EC35E34" w14:textId="77777777" w:rsidR="004052D3" w:rsidRPr="004052D3" w:rsidRDefault="004052D3" w:rsidP="004052D3">
      <w:pPr>
        <w:spacing w:after="0" w:line="240" w:lineRule="auto"/>
        <w:jc w:val="both"/>
        <w:rPr>
          <w:rFonts w:ascii="Times New Roman" w:hAnsi="Times New Roman" w:cs="Times New Roman"/>
          <w:color w:val="000000"/>
          <w:sz w:val="24"/>
          <w:szCs w:val="24"/>
          <w:shd w:val="clear" w:color="auto" w:fill="FEFEFE"/>
        </w:rPr>
      </w:pPr>
    </w:p>
    <w:p w14:paraId="63A9EAFD" w14:textId="4F14F50B" w:rsidR="00CD1A44" w:rsidRPr="00CD1A44" w:rsidRDefault="00CD1A44" w:rsidP="00094FA5">
      <w:pPr>
        <w:spacing w:after="0" w:line="240" w:lineRule="auto"/>
        <w:jc w:val="both"/>
        <w:rPr>
          <w:rFonts w:ascii="Times New Roman" w:hAnsi="Times New Roman" w:cs="Times New Roman"/>
          <w:sz w:val="24"/>
          <w:szCs w:val="24"/>
          <w:u w:color="000000"/>
        </w:rPr>
      </w:pPr>
    </w:p>
    <w:p w14:paraId="6D73E136" w14:textId="77777777" w:rsidR="00CD1A44" w:rsidRPr="00CD1A44" w:rsidRDefault="00CD1A44" w:rsidP="00CD1A44">
      <w:pPr>
        <w:pStyle w:val="ListBullet"/>
        <w:tabs>
          <w:tab w:val="clear" w:pos="340"/>
        </w:tabs>
        <w:spacing w:before="0" w:after="0"/>
        <w:ind w:left="0" w:firstLine="709"/>
        <w:rPr>
          <w:szCs w:val="24"/>
          <w:lang w:val="bg-BG"/>
        </w:rPr>
      </w:pPr>
    </w:p>
    <w:p w14:paraId="7A0638E5" w14:textId="10D91257" w:rsidR="00F90738" w:rsidRPr="00F90738" w:rsidRDefault="00CD1A44" w:rsidP="00F90738">
      <w:pPr>
        <w:pStyle w:val="ListBullet"/>
        <w:tabs>
          <w:tab w:val="clear" w:pos="340"/>
        </w:tabs>
        <w:spacing w:before="0" w:after="0"/>
        <w:ind w:left="0" w:firstLine="709"/>
        <w:rPr>
          <w:b/>
          <w:bCs/>
          <w:szCs w:val="24"/>
          <w:lang w:val="bg-BG"/>
        </w:rPr>
      </w:pPr>
      <w:r>
        <w:rPr>
          <w:b/>
          <w:bCs/>
          <w:sz w:val="23"/>
          <w:szCs w:val="23"/>
          <w:lang w:val="bg-BG"/>
        </w:rPr>
        <w:t>I</w:t>
      </w:r>
      <w:r w:rsidR="009D5EF3" w:rsidRPr="003A1217">
        <w:rPr>
          <w:b/>
          <w:bCs/>
          <w:sz w:val="23"/>
          <w:szCs w:val="23"/>
          <w:lang w:val="bg-BG"/>
        </w:rPr>
        <w:t>I</w:t>
      </w:r>
      <w:r w:rsidR="00094FA5">
        <w:rPr>
          <w:b/>
          <w:bCs/>
          <w:sz w:val="23"/>
          <w:szCs w:val="23"/>
          <w:lang w:val="en-US"/>
        </w:rPr>
        <w:t>I</w:t>
      </w:r>
      <w:r w:rsidR="009D5EF3" w:rsidRPr="003A1217">
        <w:rPr>
          <w:b/>
          <w:bCs/>
          <w:sz w:val="23"/>
          <w:szCs w:val="23"/>
          <w:lang w:val="bg-BG"/>
        </w:rPr>
        <w:t xml:space="preserve">. </w:t>
      </w:r>
      <w:r w:rsidR="000F54D2">
        <w:rPr>
          <w:b/>
          <w:szCs w:val="24"/>
          <w:lang w:val="bg-BG"/>
        </w:rPr>
        <w:t>Прецизиране на текстове</w:t>
      </w:r>
      <w:r w:rsidR="000F54D2" w:rsidRPr="00C27345">
        <w:rPr>
          <w:b/>
          <w:szCs w:val="24"/>
          <w:lang w:val="bg-BG"/>
        </w:rPr>
        <w:t xml:space="preserve"> </w:t>
      </w:r>
      <w:r w:rsidR="000F54D2">
        <w:rPr>
          <w:b/>
          <w:szCs w:val="24"/>
          <w:lang w:val="bg-BG"/>
        </w:rPr>
        <w:t>и р</w:t>
      </w:r>
      <w:r w:rsidR="000F54D2" w:rsidRPr="00C27345">
        <w:rPr>
          <w:b/>
          <w:szCs w:val="24"/>
          <w:lang w:val="bg-BG"/>
        </w:rPr>
        <w:t>едакционни промени</w:t>
      </w:r>
      <w:r w:rsidR="000F54D2">
        <w:rPr>
          <w:b/>
          <w:szCs w:val="24"/>
          <w:lang w:val="bg-BG"/>
        </w:rPr>
        <w:t xml:space="preserve"> </w:t>
      </w:r>
    </w:p>
    <w:p w14:paraId="6F2DAF5F" w14:textId="77777777" w:rsidR="009D5EF3" w:rsidRPr="003A1217" w:rsidRDefault="009D5EF3" w:rsidP="008E5EC7">
      <w:pPr>
        <w:pStyle w:val="ListBullet"/>
        <w:tabs>
          <w:tab w:val="clear" w:pos="340"/>
        </w:tabs>
        <w:spacing w:before="0" w:after="0"/>
        <w:ind w:left="0" w:firstLine="709"/>
        <w:rPr>
          <w:b/>
          <w:bCs/>
          <w:sz w:val="23"/>
          <w:szCs w:val="23"/>
          <w:lang w:val="bg-BG"/>
        </w:rPr>
      </w:pPr>
    </w:p>
    <w:p w14:paraId="494F5729" w14:textId="77777777" w:rsidR="004052D3" w:rsidRPr="004052D3" w:rsidRDefault="004052D3" w:rsidP="004052D3">
      <w:pPr>
        <w:spacing w:after="0" w:line="240" w:lineRule="auto"/>
        <w:ind w:firstLine="709"/>
        <w:contextualSpacing/>
        <w:jc w:val="both"/>
        <w:rPr>
          <w:rFonts w:ascii="Times New Roman" w:eastAsia="Times New Roman" w:hAnsi="Times New Roman" w:cs="Times New Roman"/>
          <w:bCs/>
          <w:sz w:val="24"/>
          <w:szCs w:val="24"/>
          <w:lang w:eastAsia="en-GB"/>
        </w:rPr>
      </w:pPr>
      <w:r w:rsidRPr="004052D3">
        <w:rPr>
          <w:rFonts w:ascii="Times New Roman" w:eastAsia="Times New Roman" w:hAnsi="Times New Roman" w:cs="Times New Roman"/>
          <w:bCs/>
          <w:sz w:val="24"/>
          <w:szCs w:val="24"/>
          <w:lang w:eastAsia="en-GB"/>
        </w:rPr>
        <w:t>Предложеното изменение в чл. 1,</w:t>
      </w:r>
      <w:r w:rsidRPr="004052D3">
        <w:rPr>
          <w:rFonts w:cs="Arial"/>
        </w:rPr>
        <w:t xml:space="preserve"> </w:t>
      </w:r>
      <w:r w:rsidRPr="004052D3">
        <w:rPr>
          <w:rFonts w:ascii="Times New Roman" w:eastAsia="Times New Roman" w:hAnsi="Times New Roman" w:cs="Times New Roman"/>
          <w:bCs/>
          <w:sz w:val="24"/>
          <w:szCs w:val="24"/>
          <w:lang w:eastAsia="en-GB"/>
        </w:rPr>
        <w:t xml:space="preserve">т. 2 е с цел </w:t>
      </w:r>
      <w:r w:rsidRPr="004052D3">
        <w:rPr>
          <w:rFonts w:ascii="Times New Roman" w:eastAsia="Times New Roman" w:hAnsi="Times New Roman" w:cs="Times New Roman"/>
          <w:color w:val="000000"/>
          <w:sz w:val="24"/>
          <w:szCs w:val="24"/>
        </w:rPr>
        <w:t xml:space="preserve">поясняване на източника за определяне броя на регистрираните жители, при определяне размера на годишните такси за ползване на ограничен ресурс, диференцирани по зони. Предложението </w:t>
      </w:r>
      <w:r w:rsidRPr="004052D3">
        <w:rPr>
          <w:rFonts w:ascii="Times New Roman" w:eastAsia="Times New Roman" w:hAnsi="Times New Roman" w:cs="Times New Roman"/>
          <w:bCs/>
          <w:sz w:val="24"/>
          <w:szCs w:val="24"/>
          <w:lang w:eastAsia="en-GB"/>
        </w:rPr>
        <w:t>е съобразено с чл. 1 от Регламент (ЕО) № 763/2008 на Европейския парламент и на съвета от 9 юли 2008 г. (Регламента), в който са установени общи правила за представяне на изчерпателни данни за населението и жилищния фонд на десетгодишни периоди. С чл. 5 от Регламента за първа референтна година се определя 2011 г., а Комисията (Евростат) определя следващите референтни години в началото на всяко десетилетие. В тази връзка се предлага да бъде посочен източникът за определяне на броя на регистрираните жители по чл. 1, т. 2, а именно: данните от последното официално преброяване на населението, извършено от Националния статистически институт.</w:t>
      </w:r>
    </w:p>
    <w:p w14:paraId="03CFA906" w14:textId="77777777" w:rsidR="004052D3" w:rsidRPr="004052D3" w:rsidRDefault="004052D3" w:rsidP="004052D3">
      <w:pPr>
        <w:spacing w:after="0" w:line="240" w:lineRule="auto"/>
        <w:ind w:firstLine="709"/>
        <w:contextualSpacing/>
        <w:jc w:val="both"/>
        <w:rPr>
          <w:rFonts w:ascii="Times New Roman" w:eastAsia="Times New Roman" w:hAnsi="Times New Roman" w:cs="Times New Roman"/>
          <w:bCs/>
          <w:sz w:val="24"/>
          <w:szCs w:val="24"/>
          <w:lang w:eastAsia="en-GB"/>
        </w:rPr>
      </w:pPr>
      <w:r w:rsidRPr="004052D3">
        <w:rPr>
          <w:rFonts w:ascii="Times New Roman" w:eastAsia="Times New Roman" w:hAnsi="Times New Roman" w:cs="Times New Roman"/>
          <w:bCs/>
          <w:sz w:val="24"/>
          <w:szCs w:val="24"/>
          <w:lang w:eastAsia="en-GB"/>
        </w:rPr>
        <w:t>Предложението за промени в чл. 2, ал. 7 и чл. 13, ал. 4 е с оглед прилаганата практика до момента за аналогични изчисления, като в същото време дава яснота и прозрачност при изчисляване на дължимата еднократна и годишна такса при непълна година. Предлага се всяко тримесечие да има 90 дни, като по този начин годината се състои от 360 дни. По този начин ясно се посочва правилото за определяне на броя на дните между две дати и броя на дните в годината при изчисляване на съответните такси.</w:t>
      </w:r>
    </w:p>
    <w:p w14:paraId="5093F896" w14:textId="77777777" w:rsidR="004052D3" w:rsidRPr="004052D3" w:rsidRDefault="004052D3" w:rsidP="004052D3">
      <w:pPr>
        <w:spacing w:after="0" w:line="240" w:lineRule="auto"/>
        <w:ind w:firstLine="709"/>
        <w:contextualSpacing/>
        <w:jc w:val="both"/>
        <w:rPr>
          <w:rFonts w:ascii="Times New Roman" w:eastAsia="Times New Roman" w:hAnsi="Times New Roman" w:cs="Times New Roman"/>
          <w:bCs/>
          <w:sz w:val="24"/>
          <w:szCs w:val="24"/>
          <w:lang w:eastAsia="en-GB"/>
        </w:rPr>
      </w:pPr>
      <w:r w:rsidRPr="004052D3">
        <w:rPr>
          <w:rFonts w:ascii="Times New Roman" w:eastAsia="Times New Roman" w:hAnsi="Times New Roman" w:cs="Times New Roman"/>
          <w:bCs/>
          <w:sz w:val="24"/>
          <w:szCs w:val="24"/>
          <w:lang w:eastAsia="en-GB"/>
        </w:rPr>
        <w:t>Предложението е съобразено с чл. 145 от ЗЕС и чл. 13, ал. 1 от Тарифата, според които годишната такса се заплаща на четири равни вноски до края на тримесечието, за което се отнасят. Следователно, за нуждите на тарифата се приема, че годината се състои от 360 дни. Това е утвърдена и лесна за прилагане практика, използвана в сферата на финансите, при която се улесняват изчисленията при дължими суми за непълни периоди. Използването на реалните календарни дни изисква постоянни справки, особено при високосни години или различни месеци. Принципът 1/360 елиминира необходимостта от такива проверки и намалява риска от технически грешки. В допълнение, се гарантира пропорционално изчисление на таксата спрямо реалния срок на ползване, без да се налагат административно тежки и прецизни сметки за действителните календарни дни. По този начин предприятията ще имат яснота как се изчисляват таксите при промени или прекратяване по средата на периода.</w:t>
      </w:r>
    </w:p>
    <w:p w14:paraId="059CE9FB" w14:textId="77777777" w:rsidR="00C10ABE" w:rsidRPr="00F542F6" w:rsidRDefault="00C10ABE" w:rsidP="00094FA5">
      <w:pPr>
        <w:pStyle w:val="Default"/>
        <w:ind w:firstLine="708"/>
        <w:jc w:val="both"/>
      </w:pPr>
    </w:p>
    <w:sectPr w:rsidR="00C10ABE" w:rsidRPr="00F542F6" w:rsidSect="00DA6437">
      <w:headerReference w:type="default" r:id="rId8"/>
      <w:footerReference w:type="default" r:id="rId9"/>
      <w:pgSz w:w="11906" w:h="16838"/>
      <w:pgMar w:top="990" w:right="991" w:bottom="1134" w:left="1276" w:header="708" w:footer="4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FC7A3" w16cid:durableId="2724E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D9E22" w14:textId="77777777" w:rsidR="005D33BF" w:rsidRDefault="005D33BF" w:rsidP="008814BE">
      <w:pPr>
        <w:spacing w:after="0" w:line="240" w:lineRule="auto"/>
      </w:pPr>
      <w:r>
        <w:separator/>
      </w:r>
    </w:p>
  </w:endnote>
  <w:endnote w:type="continuationSeparator" w:id="0">
    <w:p w14:paraId="4DBC0244" w14:textId="77777777" w:rsidR="005D33BF" w:rsidRDefault="005D33BF" w:rsidP="0088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A50" w14:textId="02C80ECF" w:rsidR="007D38AF" w:rsidRDefault="007D38AF">
    <w:pPr>
      <w:pStyle w:val="Footer"/>
      <w:jc w:val="right"/>
    </w:pPr>
  </w:p>
  <w:p w14:paraId="561A8364" w14:textId="77777777" w:rsidR="007D38AF" w:rsidRDefault="007D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2640" w14:textId="77777777" w:rsidR="005D33BF" w:rsidRDefault="005D33BF" w:rsidP="008814BE">
      <w:pPr>
        <w:spacing w:after="0" w:line="240" w:lineRule="auto"/>
      </w:pPr>
      <w:r>
        <w:separator/>
      </w:r>
    </w:p>
  </w:footnote>
  <w:footnote w:type="continuationSeparator" w:id="0">
    <w:p w14:paraId="7C5EDD74" w14:textId="77777777" w:rsidR="005D33BF" w:rsidRDefault="005D33BF" w:rsidP="0088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532F" w14:textId="068A411E" w:rsidR="003A1217" w:rsidRPr="004F2A5C" w:rsidRDefault="003A1217" w:rsidP="003A1217">
    <w:pPr>
      <w:pStyle w:val="Header"/>
      <w:jc w:val="right"/>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FA6"/>
    <w:multiLevelType w:val="hybridMultilevel"/>
    <w:tmpl w:val="DA4E983C"/>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7A156D5"/>
    <w:multiLevelType w:val="hybridMultilevel"/>
    <w:tmpl w:val="DFD0ED3C"/>
    <w:lvl w:ilvl="0" w:tplc="94946FE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CD87DDF"/>
    <w:multiLevelType w:val="hybridMultilevel"/>
    <w:tmpl w:val="6848FD54"/>
    <w:lvl w:ilvl="0" w:tplc="5DB68BE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1DC5F26"/>
    <w:multiLevelType w:val="hybridMultilevel"/>
    <w:tmpl w:val="DA4E983C"/>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5D009A6"/>
    <w:multiLevelType w:val="hybridMultilevel"/>
    <w:tmpl w:val="5F04A87E"/>
    <w:lvl w:ilvl="0" w:tplc="FFF27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24F60"/>
    <w:multiLevelType w:val="hybridMultilevel"/>
    <w:tmpl w:val="4C6AE45A"/>
    <w:lvl w:ilvl="0" w:tplc="104A308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9C7242"/>
    <w:multiLevelType w:val="hybridMultilevel"/>
    <w:tmpl w:val="56F207D2"/>
    <w:lvl w:ilvl="0" w:tplc="077EDF68">
      <w:start w:val="7"/>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3A8827FC"/>
    <w:multiLevelType w:val="hybridMultilevel"/>
    <w:tmpl w:val="A1B2A11E"/>
    <w:lvl w:ilvl="0" w:tplc="612424C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3BD76856"/>
    <w:multiLevelType w:val="hybridMultilevel"/>
    <w:tmpl w:val="EA9E5C2C"/>
    <w:lvl w:ilvl="0" w:tplc="23DAE752">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9492CBE"/>
    <w:multiLevelType w:val="hybridMultilevel"/>
    <w:tmpl w:val="4D447B96"/>
    <w:lvl w:ilvl="0" w:tplc="01EC3C0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1530B"/>
    <w:multiLevelType w:val="hybridMultilevel"/>
    <w:tmpl w:val="33EC50C8"/>
    <w:lvl w:ilvl="0" w:tplc="640234B8">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A814683"/>
    <w:multiLevelType w:val="hybridMultilevel"/>
    <w:tmpl w:val="832A7F68"/>
    <w:lvl w:ilvl="0" w:tplc="E15E8D0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B4F2822"/>
    <w:multiLevelType w:val="multilevel"/>
    <w:tmpl w:val="BA8C2142"/>
    <w:lvl w:ilvl="0">
      <w:start w:val="1"/>
      <w:numFmt w:val="decimal"/>
      <w:lvlText w:val="%1."/>
      <w:lvlJc w:val="left"/>
      <w:pPr>
        <w:ind w:left="360" w:hanging="360"/>
      </w:pPr>
      <w:rPr>
        <w:rFonts w:eastAsia="Calibri" w:hint="default"/>
        <w:i w:val="0"/>
      </w:rPr>
    </w:lvl>
    <w:lvl w:ilvl="1">
      <w:start w:val="1"/>
      <w:numFmt w:val="decimal"/>
      <w:lvlText w:val="%1.%2."/>
      <w:lvlJc w:val="left"/>
      <w:pPr>
        <w:ind w:left="1068" w:hanging="360"/>
      </w:pPr>
      <w:rPr>
        <w:rFonts w:eastAsia="Calibri" w:hint="default"/>
        <w:i w:val="0"/>
      </w:rPr>
    </w:lvl>
    <w:lvl w:ilvl="2">
      <w:start w:val="1"/>
      <w:numFmt w:val="decimal"/>
      <w:lvlText w:val="%1.%2.%3."/>
      <w:lvlJc w:val="left"/>
      <w:pPr>
        <w:ind w:left="2136" w:hanging="720"/>
      </w:pPr>
      <w:rPr>
        <w:rFonts w:eastAsia="Calibri" w:hint="default"/>
        <w:i w:val="0"/>
      </w:rPr>
    </w:lvl>
    <w:lvl w:ilvl="3">
      <w:start w:val="1"/>
      <w:numFmt w:val="decimal"/>
      <w:lvlText w:val="%1.%2.%3.%4."/>
      <w:lvlJc w:val="left"/>
      <w:pPr>
        <w:ind w:left="2844" w:hanging="720"/>
      </w:pPr>
      <w:rPr>
        <w:rFonts w:eastAsia="Calibri" w:hint="default"/>
        <w:i w:val="0"/>
      </w:rPr>
    </w:lvl>
    <w:lvl w:ilvl="4">
      <w:start w:val="1"/>
      <w:numFmt w:val="decimal"/>
      <w:lvlText w:val="%1.%2.%3.%4.%5."/>
      <w:lvlJc w:val="left"/>
      <w:pPr>
        <w:ind w:left="3912" w:hanging="1080"/>
      </w:pPr>
      <w:rPr>
        <w:rFonts w:eastAsia="Calibri" w:hint="default"/>
        <w:i w:val="0"/>
      </w:rPr>
    </w:lvl>
    <w:lvl w:ilvl="5">
      <w:start w:val="1"/>
      <w:numFmt w:val="decimal"/>
      <w:lvlText w:val="%1.%2.%3.%4.%5.%6."/>
      <w:lvlJc w:val="left"/>
      <w:pPr>
        <w:ind w:left="4620" w:hanging="1080"/>
      </w:pPr>
      <w:rPr>
        <w:rFonts w:eastAsia="Calibri" w:hint="default"/>
        <w:i w:val="0"/>
      </w:rPr>
    </w:lvl>
    <w:lvl w:ilvl="6">
      <w:start w:val="1"/>
      <w:numFmt w:val="decimal"/>
      <w:lvlText w:val="%1.%2.%3.%4.%5.%6.%7."/>
      <w:lvlJc w:val="left"/>
      <w:pPr>
        <w:ind w:left="5688" w:hanging="1440"/>
      </w:pPr>
      <w:rPr>
        <w:rFonts w:eastAsia="Calibri" w:hint="default"/>
        <w:i w:val="0"/>
      </w:rPr>
    </w:lvl>
    <w:lvl w:ilvl="7">
      <w:start w:val="1"/>
      <w:numFmt w:val="decimal"/>
      <w:lvlText w:val="%1.%2.%3.%4.%5.%6.%7.%8."/>
      <w:lvlJc w:val="left"/>
      <w:pPr>
        <w:ind w:left="6396" w:hanging="1440"/>
      </w:pPr>
      <w:rPr>
        <w:rFonts w:eastAsia="Calibri" w:hint="default"/>
        <w:i w:val="0"/>
      </w:rPr>
    </w:lvl>
    <w:lvl w:ilvl="8">
      <w:start w:val="1"/>
      <w:numFmt w:val="decimal"/>
      <w:lvlText w:val="%1.%2.%3.%4.%5.%6.%7.%8.%9."/>
      <w:lvlJc w:val="left"/>
      <w:pPr>
        <w:ind w:left="7464" w:hanging="1800"/>
      </w:pPr>
      <w:rPr>
        <w:rFonts w:eastAsia="Calibri" w:hint="default"/>
        <w:i w:val="0"/>
      </w:rPr>
    </w:lvl>
  </w:abstractNum>
  <w:abstractNum w:abstractNumId="13" w15:restartNumberingAfterBreak="0">
    <w:nsid w:val="5ED31E72"/>
    <w:multiLevelType w:val="hybridMultilevel"/>
    <w:tmpl w:val="BCE2C186"/>
    <w:lvl w:ilvl="0" w:tplc="769497EC">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68222A3E"/>
    <w:multiLevelType w:val="hybridMultilevel"/>
    <w:tmpl w:val="27FA184A"/>
    <w:lvl w:ilvl="0" w:tplc="6AC208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E3776DB"/>
    <w:multiLevelType w:val="hybridMultilevel"/>
    <w:tmpl w:val="7B3E7BC4"/>
    <w:lvl w:ilvl="0" w:tplc="180AA04E">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56C7B6A"/>
    <w:multiLevelType w:val="hybridMultilevel"/>
    <w:tmpl w:val="8BB040C8"/>
    <w:lvl w:ilvl="0" w:tplc="49C2F0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7A5441DB"/>
    <w:multiLevelType w:val="hybridMultilevel"/>
    <w:tmpl w:val="A6FECB50"/>
    <w:lvl w:ilvl="0" w:tplc="8A06934E">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8" w15:restartNumberingAfterBreak="0">
    <w:nsid w:val="7D544F84"/>
    <w:multiLevelType w:val="hybridMultilevel"/>
    <w:tmpl w:val="DA4E983C"/>
    <w:lvl w:ilvl="0" w:tplc="4F22545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7"/>
  </w:num>
  <w:num w:numId="3">
    <w:abstractNumId w:val="18"/>
  </w:num>
  <w:num w:numId="4">
    <w:abstractNumId w:val="4"/>
  </w:num>
  <w:num w:numId="5">
    <w:abstractNumId w:val="0"/>
  </w:num>
  <w:num w:numId="6">
    <w:abstractNumId w:val="11"/>
  </w:num>
  <w:num w:numId="7">
    <w:abstractNumId w:val="10"/>
  </w:num>
  <w:num w:numId="8">
    <w:abstractNumId w:val="3"/>
  </w:num>
  <w:num w:numId="9">
    <w:abstractNumId w:val="2"/>
  </w:num>
  <w:num w:numId="10">
    <w:abstractNumId w:val="8"/>
  </w:num>
  <w:num w:numId="11">
    <w:abstractNumId w:val="13"/>
  </w:num>
  <w:num w:numId="12">
    <w:abstractNumId w:val="5"/>
  </w:num>
  <w:num w:numId="13">
    <w:abstractNumId w:val="9"/>
  </w:num>
  <w:num w:numId="14">
    <w:abstractNumId w:val="15"/>
  </w:num>
  <w:num w:numId="15">
    <w:abstractNumId w:val="16"/>
  </w:num>
  <w:num w:numId="16">
    <w:abstractNumId w:val="12"/>
  </w:num>
  <w:num w:numId="17">
    <w:abstractNumId w:val="6"/>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BE"/>
    <w:rsid w:val="000017BF"/>
    <w:rsid w:val="00005C07"/>
    <w:rsid w:val="00011865"/>
    <w:rsid w:val="00013BA3"/>
    <w:rsid w:val="000212A4"/>
    <w:rsid w:val="00024F80"/>
    <w:rsid w:val="0002580B"/>
    <w:rsid w:val="00025BA7"/>
    <w:rsid w:val="00030B74"/>
    <w:rsid w:val="00030BE2"/>
    <w:rsid w:val="000440C0"/>
    <w:rsid w:val="000449C5"/>
    <w:rsid w:val="00046B04"/>
    <w:rsid w:val="00051C45"/>
    <w:rsid w:val="00062C69"/>
    <w:rsid w:val="00062CBA"/>
    <w:rsid w:val="00063454"/>
    <w:rsid w:val="00074F17"/>
    <w:rsid w:val="00083D17"/>
    <w:rsid w:val="00084453"/>
    <w:rsid w:val="00086797"/>
    <w:rsid w:val="000909BA"/>
    <w:rsid w:val="000925D2"/>
    <w:rsid w:val="00094FA5"/>
    <w:rsid w:val="000A48E6"/>
    <w:rsid w:val="000B30D2"/>
    <w:rsid w:val="000C11A0"/>
    <w:rsid w:val="000C6EA6"/>
    <w:rsid w:val="000C7830"/>
    <w:rsid w:val="000D7E4D"/>
    <w:rsid w:val="000E7DF2"/>
    <w:rsid w:val="000F0E7B"/>
    <w:rsid w:val="000F1772"/>
    <w:rsid w:val="000F2531"/>
    <w:rsid w:val="000F54D2"/>
    <w:rsid w:val="00103D8F"/>
    <w:rsid w:val="00105DCC"/>
    <w:rsid w:val="0011121C"/>
    <w:rsid w:val="0011180E"/>
    <w:rsid w:val="00117B60"/>
    <w:rsid w:val="001246FA"/>
    <w:rsid w:val="00133EA3"/>
    <w:rsid w:val="001374BA"/>
    <w:rsid w:val="001409CC"/>
    <w:rsid w:val="0014365D"/>
    <w:rsid w:val="00143DF7"/>
    <w:rsid w:val="001472E3"/>
    <w:rsid w:val="00153681"/>
    <w:rsid w:val="00177C12"/>
    <w:rsid w:val="00180AB5"/>
    <w:rsid w:val="00190FF7"/>
    <w:rsid w:val="00191716"/>
    <w:rsid w:val="001A09A0"/>
    <w:rsid w:val="001A37BD"/>
    <w:rsid w:val="001A43DA"/>
    <w:rsid w:val="001A76C5"/>
    <w:rsid w:val="001B441A"/>
    <w:rsid w:val="001C44F6"/>
    <w:rsid w:val="001C5406"/>
    <w:rsid w:val="001C6306"/>
    <w:rsid w:val="001D30B9"/>
    <w:rsid w:val="001E3A2D"/>
    <w:rsid w:val="001E63F9"/>
    <w:rsid w:val="001E65AD"/>
    <w:rsid w:val="001F6EBE"/>
    <w:rsid w:val="00210320"/>
    <w:rsid w:val="00212458"/>
    <w:rsid w:val="00212F8C"/>
    <w:rsid w:val="00217546"/>
    <w:rsid w:val="00217593"/>
    <w:rsid w:val="00221EF8"/>
    <w:rsid w:val="0022492F"/>
    <w:rsid w:val="00235226"/>
    <w:rsid w:val="00241557"/>
    <w:rsid w:val="002529A8"/>
    <w:rsid w:val="00255679"/>
    <w:rsid w:val="002577F5"/>
    <w:rsid w:val="002613C6"/>
    <w:rsid w:val="00262B69"/>
    <w:rsid w:val="00263189"/>
    <w:rsid w:val="00267E70"/>
    <w:rsid w:val="00270450"/>
    <w:rsid w:val="002726A7"/>
    <w:rsid w:val="002741CA"/>
    <w:rsid w:val="00284747"/>
    <w:rsid w:val="002A2C9B"/>
    <w:rsid w:val="002A3D25"/>
    <w:rsid w:val="002A4AC5"/>
    <w:rsid w:val="002A66FF"/>
    <w:rsid w:val="002A7794"/>
    <w:rsid w:val="002B56AF"/>
    <w:rsid w:val="002C470B"/>
    <w:rsid w:val="002D655E"/>
    <w:rsid w:val="002D7D8E"/>
    <w:rsid w:val="002E2A95"/>
    <w:rsid w:val="002E4166"/>
    <w:rsid w:val="002E423A"/>
    <w:rsid w:val="002E46CC"/>
    <w:rsid w:val="002F1499"/>
    <w:rsid w:val="002F4014"/>
    <w:rsid w:val="002F4A2F"/>
    <w:rsid w:val="002F4A6F"/>
    <w:rsid w:val="00310765"/>
    <w:rsid w:val="00313C9C"/>
    <w:rsid w:val="00315A1B"/>
    <w:rsid w:val="0032168B"/>
    <w:rsid w:val="00321759"/>
    <w:rsid w:val="00325526"/>
    <w:rsid w:val="003272CB"/>
    <w:rsid w:val="003504AD"/>
    <w:rsid w:val="00352EF6"/>
    <w:rsid w:val="00353752"/>
    <w:rsid w:val="00354E34"/>
    <w:rsid w:val="00362EBA"/>
    <w:rsid w:val="003737E2"/>
    <w:rsid w:val="003755A5"/>
    <w:rsid w:val="00376C71"/>
    <w:rsid w:val="003814C2"/>
    <w:rsid w:val="003871A0"/>
    <w:rsid w:val="00391480"/>
    <w:rsid w:val="0039174A"/>
    <w:rsid w:val="0039186A"/>
    <w:rsid w:val="00392329"/>
    <w:rsid w:val="00393ECC"/>
    <w:rsid w:val="00394184"/>
    <w:rsid w:val="00395A3F"/>
    <w:rsid w:val="00396A7D"/>
    <w:rsid w:val="003A1217"/>
    <w:rsid w:val="003A3FC2"/>
    <w:rsid w:val="003A5B3B"/>
    <w:rsid w:val="003A7C52"/>
    <w:rsid w:val="003B57E7"/>
    <w:rsid w:val="003C24C7"/>
    <w:rsid w:val="003C3BC8"/>
    <w:rsid w:val="003D09C5"/>
    <w:rsid w:val="003D27FE"/>
    <w:rsid w:val="003D52FE"/>
    <w:rsid w:val="003E2305"/>
    <w:rsid w:val="003E3583"/>
    <w:rsid w:val="003E735E"/>
    <w:rsid w:val="003F2BB9"/>
    <w:rsid w:val="003F43B2"/>
    <w:rsid w:val="004017B3"/>
    <w:rsid w:val="00401E3A"/>
    <w:rsid w:val="00401FF2"/>
    <w:rsid w:val="00403565"/>
    <w:rsid w:val="004052C9"/>
    <w:rsid w:val="004052D3"/>
    <w:rsid w:val="004117F0"/>
    <w:rsid w:val="00416797"/>
    <w:rsid w:val="00421784"/>
    <w:rsid w:val="004232CE"/>
    <w:rsid w:val="00427CDD"/>
    <w:rsid w:val="00434F83"/>
    <w:rsid w:val="004359D4"/>
    <w:rsid w:val="004455E2"/>
    <w:rsid w:val="00446FA1"/>
    <w:rsid w:val="00447EA1"/>
    <w:rsid w:val="0045649A"/>
    <w:rsid w:val="004575CA"/>
    <w:rsid w:val="004578AA"/>
    <w:rsid w:val="0046487C"/>
    <w:rsid w:val="00465202"/>
    <w:rsid w:val="00465743"/>
    <w:rsid w:val="00467B98"/>
    <w:rsid w:val="004730A2"/>
    <w:rsid w:val="00474E4C"/>
    <w:rsid w:val="004767CE"/>
    <w:rsid w:val="00481312"/>
    <w:rsid w:val="00481D84"/>
    <w:rsid w:val="00485F81"/>
    <w:rsid w:val="004862A3"/>
    <w:rsid w:val="00490BA7"/>
    <w:rsid w:val="004955FF"/>
    <w:rsid w:val="00497B8E"/>
    <w:rsid w:val="00497EA2"/>
    <w:rsid w:val="004A10F2"/>
    <w:rsid w:val="004A3E2A"/>
    <w:rsid w:val="004A6133"/>
    <w:rsid w:val="004A6ADA"/>
    <w:rsid w:val="004B21A8"/>
    <w:rsid w:val="004B7B8D"/>
    <w:rsid w:val="004C0217"/>
    <w:rsid w:val="004C7762"/>
    <w:rsid w:val="004D3083"/>
    <w:rsid w:val="004E0C8D"/>
    <w:rsid w:val="004E562B"/>
    <w:rsid w:val="004F2A5C"/>
    <w:rsid w:val="00505D5C"/>
    <w:rsid w:val="005108E8"/>
    <w:rsid w:val="00511C11"/>
    <w:rsid w:val="00517DBB"/>
    <w:rsid w:val="005219E3"/>
    <w:rsid w:val="00522665"/>
    <w:rsid w:val="00523EE3"/>
    <w:rsid w:val="005242CD"/>
    <w:rsid w:val="00524A90"/>
    <w:rsid w:val="0053186E"/>
    <w:rsid w:val="005374AE"/>
    <w:rsid w:val="00540A47"/>
    <w:rsid w:val="0054178C"/>
    <w:rsid w:val="005436FD"/>
    <w:rsid w:val="00544A03"/>
    <w:rsid w:val="005461B5"/>
    <w:rsid w:val="005517AF"/>
    <w:rsid w:val="005531C4"/>
    <w:rsid w:val="00567A7E"/>
    <w:rsid w:val="005708B5"/>
    <w:rsid w:val="00570BBC"/>
    <w:rsid w:val="00570DB1"/>
    <w:rsid w:val="00577B17"/>
    <w:rsid w:val="005800AB"/>
    <w:rsid w:val="00581AB7"/>
    <w:rsid w:val="00582789"/>
    <w:rsid w:val="00590A8F"/>
    <w:rsid w:val="0059508C"/>
    <w:rsid w:val="00597754"/>
    <w:rsid w:val="005A2CFF"/>
    <w:rsid w:val="005A47E4"/>
    <w:rsid w:val="005B40FD"/>
    <w:rsid w:val="005B6D0A"/>
    <w:rsid w:val="005C6AE8"/>
    <w:rsid w:val="005D164E"/>
    <w:rsid w:val="005D33BF"/>
    <w:rsid w:val="005D53E9"/>
    <w:rsid w:val="005E3547"/>
    <w:rsid w:val="005F0E0B"/>
    <w:rsid w:val="006055D1"/>
    <w:rsid w:val="00610149"/>
    <w:rsid w:val="0061518F"/>
    <w:rsid w:val="00615E9F"/>
    <w:rsid w:val="0061798E"/>
    <w:rsid w:val="00627CBA"/>
    <w:rsid w:val="00635E24"/>
    <w:rsid w:val="00641079"/>
    <w:rsid w:val="006424A5"/>
    <w:rsid w:val="006611DB"/>
    <w:rsid w:val="00666C34"/>
    <w:rsid w:val="00666C8C"/>
    <w:rsid w:val="00671B45"/>
    <w:rsid w:val="00680985"/>
    <w:rsid w:val="00684233"/>
    <w:rsid w:val="006871AF"/>
    <w:rsid w:val="00696AD4"/>
    <w:rsid w:val="00696B87"/>
    <w:rsid w:val="006A0E53"/>
    <w:rsid w:val="006A7698"/>
    <w:rsid w:val="006B0E5F"/>
    <w:rsid w:val="006B5FD5"/>
    <w:rsid w:val="006C166E"/>
    <w:rsid w:val="006C1B23"/>
    <w:rsid w:val="006D3903"/>
    <w:rsid w:val="006D5CD2"/>
    <w:rsid w:val="006E0D57"/>
    <w:rsid w:val="006E2834"/>
    <w:rsid w:val="006E755E"/>
    <w:rsid w:val="006F55C4"/>
    <w:rsid w:val="00704A16"/>
    <w:rsid w:val="007069EE"/>
    <w:rsid w:val="00710F8F"/>
    <w:rsid w:val="00713A45"/>
    <w:rsid w:val="00717CA3"/>
    <w:rsid w:val="007277D9"/>
    <w:rsid w:val="00732BB1"/>
    <w:rsid w:val="007339C8"/>
    <w:rsid w:val="00733BA6"/>
    <w:rsid w:val="00743247"/>
    <w:rsid w:val="007500F3"/>
    <w:rsid w:val="00756CEF"/>
    <w:rsid w:val="00764F28"/>
    <w:rsid w:val="007676F0"/>
    <w:rsid w:val="00770E24"/>
    <w:rsid w:val="00775FC9"/>
    <w:rsid w:val="00793232"/>
    <w:rsid w:val="007A76DC"/>
    <w:rsid w:val="007C4775"/>
    <w:rsid w:val="007D0349"/>
    <w:rsid w:val="007D38AF"/>
    <w:rsid w:val="007D3F2E"/>
    <w:rsid w:val="007D64F2"/>
    <w:rsid w:val="007F6B8C"/>
    <w:rsid w:val="007F797E"/>
    <w:rsid w:val="007F7ED7"/>
    <w:rsid w:val="00803EB7"/>
    <w:rsid w:val="008062F2"/>
    <w:rsid w:val="008072E0"/>
    <w:rsid w:val="00810E61"/>
    <w:rsid w:val="00813856"/>
    <w:rsid w:val="008156AC"/>
    <w:rsid w:val="0082017B"/>
    <w:rsid w:val="00820D2D"/>
    <w:rsid w:val="00824480"/>
    <w:rsid w:val="008266EB"/>
    <w:rsid w:val="00841DCB"/>
    <w:rsid w:val="0085059F"/>
    <w:rsid w:val="008512B9"/>
    <w:rsid w:val="008617FB"/>
    <w:rsid w:val="00876661"/>
    <w:rsid w:val="008803D3"/>
    <w:rsid w:val="008814BE"/>
    <w:rsid w:val="00890AF5"/>
    <w:rsid w:val="00893329"/>
    <w:rsid w:val="00894AA5"/>
    <w:rsid w:val="008A2C32"/>
    <w:rsid w:val="008A2FF4"/>
    <w:rsid w:val="008A4815"/>
    <w:rsid w:val="008A531B"/>
    <w:rsid w:val="008A5B91"/>
    <w:rsid w:val="008B175D"/>
    <w:rsid w:val="008B2FF5"/>
    <w:rsid w:val="008C652D"/>
    <w:rsid w:val="008C783E"/>
    <w:rsid w:val="008D5AA1"/>
    <w:rsid w:val="008E0B6E"/>
    <w:rsid w:val="008E28A6"/>
    <w:rsid w:val="008E5EC7"/>
    <w:rsid w:val="008E7C9C"/>
    <w:rsid w:val="008F0649"/>
    <w:rsid w:val="008F3082"/>
    <w:rsid w:val="00906085"/>
    <w:rsid w:val="00907AC9"/>
    <w:rsid w:val="0091172D"/>
    <w:rsid w:val="0091292A"/>
    <w:rsid w:val="00915F09"/>
    <w:rsid w:val="00923CCC"/>
    <w:rsid w:val="00924E87"/>
    <w:rsid w:val="00926E53"/>
    <w:rsid w:val="009300DD"/>
    <w:rsid w:val="009302F4"/>
    <w:rsid w:val="009309CE"/>
    <w:rsid w:val="009379B3"/>
    <w:rsid w:val="0094076A"/>
    <w:rsid w:val="00945C9C"/>
    <w:rsid w:val="00946B28"/>
    <w:rsid w:val="00947DDA"/>
    <w:rsid w:val="00950088"/>
    <w:rsid w:val="0095055F"/>
    <w:rsid w:val="00955F16"/>
    <w:rsid w:val="00967C9D"/>
    <w:rsid w:val="009714B5"/>
    <w:rsid w:val="00976B1F"/>
    <w:rsid w:val="00984117"/>
    <w:rsid w:val="009952B6"/>
    <w:rsid w:val="00995921"/>
    <w:rsid w:val="00996595"/>
    <w:rsid w:val="009972D4"/>
    <w:rsid w:val="009A6130"/>
    <w:rsid w:val="009A75A7"/>
    <w:rsid w:val="009A7B47"/>
    <w:rsid w:val="009B1705"/>
    <w:rsid w:val="009B70E8"/>
    <w:rsid w:val="009C0F37"/>
    <w:rsid w:val="009C12CE"/>
    <w:rsid w:val="009C2E96"/>
    <w:rsid w:val="009C3894"/>
    <w:rsid w:val="009C7D86"/>
    <w:rsid w:val="009D07AD"/>
    <w:rsid w:val="009D1495"/>
    <w:rsid w:val="009D5C9D"/>
    <w:rsid w:val="009D5EF3"/>
    <w:rsid w:val="009E000C"/>
    <w:rsid w:val="009E28C1"/>
    <w:rsid w:val="009E6AA6"/>
    <w:rsid w:val="009E79E1"/>
    <w:rsid w:val="009F11F4"/>
    <w:rsid w:val="009F3736"/>
    <w:rsid w:val="00A009D7"/>
    <w:rsid w:val="00A0159C"/>
    <w:rsid w:val="00A11C75"/>
    <w:rsid w:val="00A17B07"/>
    <w:rsid w:val="00A17F3F"/>
    <w:rsid w:val="00A2567D"/>
    <w:rsid w:val="00A262BA"/>
    <w:rsid w:val="00A37FCE"/>
    <w:rsid w:val="00A404C6"/>
    <w:rsid w:val="00A4374E"/>
    <w:rsid w:val="00A60926"/>
    <w:rsid w:val="00A62734"/>
    <w:rsid w:val="00A6783D"/>
    <w:rsid w:val="00A7051C"/>
    <w:rsid w:val="00A87F69"/>
    <w:rsid w:val="00A9050E"/>
    <w:rsid w:val="00AA3A32"/>
    <w:rsid w:val="00AB35BA"/>
    <w:rsid w:val="00AC0F27"/>
    <w:rsid w:val="00AC2662"/>
    <w:rsid w:val="00AC4497"/>
    <w:rsid w:val="00AC44BB"/>
    <w:rsid w:val="00AC5D6E"/>
    <w:rsid w:val="00AC6FA6"/>
    <w:rsid w:val="00AC7D5A"/>
    <w:rsid w:val="00AD138B"/>
    <w:rsid w:val="00AD13CC"/>
    <w:rsid w:val="00AD7CBA"/>
    <w:rsid w:val="00AD7E2A"/>
    <w:rsid w:val="00AF02E7"/>
    <w:rsid w:val="00AF1258"/>
    <w:rsid w:val="00AF3D43"/>
    <w:rsid w:val="00AF6DC2"/>
    <w:rsid w:val="00B01D1C"/>
    <w:rsid w:val="00B054CF"/>
    <w:rsid w:val="00B10B70"/>
    <w:rsid w:val="00B173A1"/>
    <w:rsid w:val="00B2509F"/>
    <w:rsid w:val="00B277D2"/>
    <w:rsid w:val="00B3028F"/>
    <w:rsid w:val="00B32765"/>
    <w:rsid w:val="00B34235"/>
    <w:rsid w:val="00B34885"/>
    <w:rsid w:val="00B40A5C"/>
    <w:rsid w:val="00B42A4E"/>
    <w:rsid w:val="00B45D32"/>
    <w:rsid w:val="00B475F5"/>
    <w:rsid w:val="00B53799"/>
    <w:rsid w:val="00B541DE"/>
    <w:rsid w:val="00B54D09"/>
    <w:rsid w:val="00B63678"/>
    <w:rsid w:val="00B737CD"/>
    <w:rsid w:val="00B751BE"/>
    <w:rsid w:val="00B86ADB"/>
    <w:rsid w:val="00B86AE9"/>
    <w:rsid w:val="00B87CAA"/>
    <w:rsid w:val="00B90AA1"/>
    <w:rsid w:val="00B90B0A"/>
    <w:rsid w:val="00B95838"/>
    <w:rsid w:val="00BA08F5"/>
    <w:rsid w:val="00BA1B6E"/>
    <w:rsid w:val="00BA47E5"/>
    <w:rsid w:val="00BB71E2"/>
    <w:rsid w:val="00BB7C7F"/>
    <w:rsid w:val="00BC36B3"/>
    <w:rsid w:val="00BC5804"/>
    <w:rsid w:val="00BC72C8"/>
    <w:rsid w:val="00BD04C6"/>
    <w:rsid w:val="00BD3EEF"/>
    <w:rsid w:val="00BE642B"/>
    <w:rsid w:val="00BF1680"/>
    <w:rsid w:val="00BF290F"/>
    <w:rsid w:val="00BF4A89"/>
    <w:rsid w:val="00C002D2"/>
    <w:rsid w:val="00C00F14"/>
    <w:rsid w:val="00C01553"/>
    <w:rsid w:val="00C01556"/>
    <w:rsid w:val="00C0395A"/>
    <w:rsid w:val="00C05538"/>
    <w:rsid w:val="00C101D5"/>
    <w:rsid w:val="00C10ABE"/>
    <w:rsid w:val="00C1278B"/>
    <w:rsid w:val="00C20C41"/>
    <w:rsid w:val="00C21AE5"/>
    <w:rsid w:val="00C242BB"/>
    <w:rsid w:val="00C24ACF"/>
    <w:rsid w:val="00C26DA7"/>
    <w:rsid w:val="00C27EC5"/>
    <w:rsid w:val="00C30827"/>
    <w:rsid w:val="00C3352F"/>
    <w:rsid w:val="00C45ADC"/>
    <w:rsid w:val="00C51697"/>
    <w:rsid w:val="00C6052F"/>
    <w:rsid w:val="00C6215C"/>
    <w:rsid w:val="00C66F01"/>
    <w:rsid w:val="00C6762A"/>
    <w:rsid w:val="00C710B3"/>
    <w:rsid w:val="00C7149E"/>
    <w:rsid w:val="00C746F8"/>
    <w:rsid w:val="00C75AF7"/>
    <w:rsid w:val="00C7725C"/>
    <w:rsid w:val="00C816AA"/>
    <w:rsid w:val="00C91087"/>
    <w:rsid w:val="00C9148D"/>
    <w:rsid w:val="00C946B7"/>
    <w:rsid w:val="00CA41E7"/>
    <w:rsid w:val="00CA5E5A"/>
    <w:rsid w:val="00CA63AE"/>
    <w:rsid w:val="00CA6628"/>
    <w:rsid w:val="00CB12FB"/>
    <w:rsid w:val="00CB1CD9"/>
    <w:rsid w:val="00CB4F4C"/>
    <w:rsid w:val="00CB53C0"/>
    <w:rsid w:val="00CC1F24"/>
    <w:rsid w:val="00CC2D04"/>
    <w:rsid w:val="00CD1309"/>
    <w:rsid w:val="00CD1A44"/>
    <w:rsid w:val="00CD3A86"/>
    <w:rsid w:val="00CD54BC"/>
    <w:rsid w:val="00CE428C"/>
    <w:rsid w:val="00CE4C4D"/>
    <w:rsid w:val="00CE5237"/>
    <w:rsid w:val="00CE6C49"/>
    <w:rsid w:val="00CE6EF3"/>
    <w:rsid w:val="00D00C4F"/>
    <w:rsid w:val="00D01FDB"/>
    <w:rsid w:val="00D0559F"/>
    <w:rsid w:val="00D07F7A"/>
    <w:rsid w:val="00D151C2"/>
    <w:rsid w:val="00D23A91"/>
    <w:rsid w:val="00D3227B"/>
    <w:rsid w:val="00D32286"/>
    <w:rsid w:val="00D33656"/>
    <w:rsid w:val="00D33865"/>
    <w:rsid w:val="00D33E8A"/>
    <w:rsid w:val="00D522A7"/>
    <w:rsid w:val="00D5343E"/>
    <w:rsid w:val="00D54011"/>
    <w:rsid w:val="00D56C55"/>
    <w:rsid w:val="00D6166A"/>
    <w:rsid w:val="00D616EA"/>
    <w:rsid w:val="00D63FD8"/>
    <w:rsid w:val="00D66132"/>
    <w:rsid w:val="00DA0AD3"/>
    <w:rsid w:val="00DA4B1B"/>
    <w:rsid w:val="00DA5323"/>
    <w:rsid w:val="00DA6437"/>
    <w:rsid w:val="00DB4677"/>
    <w:rsid w:val="00DB5089"/>
    <w:rsid w:val="00DB5FE8"/>
    <w:rsid w:val="00DC64ED"/>
    <w:rsid w:val="00DE1D78"/>
    <w:rsid w:val="00DE3E57"/>
    <w:rsid w:val="00DE483E"/>
    <w:rsid w:val="00DE6176"/>
    <w:rsid w:val="00DE7206"/>
    <w:rsid w:val="00DF08DE"/>
    <w:rsid w:val="00DF4FA9"/>
    <w:rsid w:val="00DF6350"/>
    <w:rsid w:val="00E01CB4"/>
    <w:rsid w:val="00E03D51"/>
    <w:rsid w:val="00E04F15"/>
    <w:rsid w:val="00E10CCC"/>
    <w:rsid w:val="00E117D4"/>
    <w:rsid w:val="00E118B5"/>
    <w:rsid w:val="00E215CC"/>
    <w:rsid w:val="00E23B4F"/>
    <w:rsid w:val="00E2518D"/>
    <w:rsid w:val="00E27D37"/>
    <w:rsid w:val="00E32E85"/>
    <w:rsid w:val="00E33C3D"/>
    <w:rsid w:val="00E44411"/>
    <w:rsid w:val="00E446D6"/>
    <w:rsid w:val="00E45AF4"/>
    <w:rsid w:val="00E462AD"/>
    <w:rsid w:val="00E46413"/>
    <w:rsid w:val="00E47125"/>
    <w:rsid w:val="00E4787E"/>
    <w:rsid w:val="00E61526"/>
    <w:rsid w:val="00E61B6E"/>
    <w:rsid w:val="00E64CAE"/>
    <w:rsid w:val="00E661E3"/>
    <w:rsid w:val="00E70F17"/>
    <w:rsid w:val="00E73184"/>
    <w:rsid w:val="00E836AD"/>
    <w:rsid w:val="00E91BAC"/>
    <w:rsid w:val="00E93DA6"/>
    <w:rsid w:val="00E94355"/>
    <w:rsid w:val="00EB2A6A"/>
    <w:rsid w:val="00EB4B36"/>
    <w:rsid w:val="00EC2DA1"/>
    <w:rsid w:val="00EC3EF7"/>
    <w:rsid w:val="00EC406E"/>
    <w:rsid w:val="00EC47AF"/>
    <w:rsid w:val="00EC4961"/>
    <w:rsid w:val="00ED6CB9"/>
    <w:rsid w:val="00EE1D3C"/>
    <w:rsid w:val="00EE53CC"/>
    <w:rsid w:val="00EE6E66"/>
    <w:rsid w:val="00EE7F8F"/>
    <w:rsid w:val="00EF00DD"/>
    <w:rsid w:val="00EF1730"/>
    <w:rsid w:val="00EF5AA7"/>
    <w:rsid w:val="00F01A47"/>
    <w:rsid w:val="00F02466"/>
    <w:rsid w:val="00F069E8"/>
    <w:rsid w:val="00F24990"/>
    <w:rsid w:val="00F26B38"/>
    <w:rsid w:val="00F311C9"/>
    <w:rsid w:val="00F363D9"/>
    <w:rsid w:val="00F36890"/>
    <w:rsid w:val="00F375C8"/>
    <w:rsid w:val="00F4258E"/>
    <w:rsid w:val="00F465A1"/>
    <w:rsid w:val="00F47972"/>
    <w:rsid w:val="00F542F6"/>
    <w:rsid w:val="00F563D2"/>
    <w:rsid w:val="00F576C4"/>
    <w:rsid w:val="00F66055"/>
    <w:rsid w:val="00F72FC2"/>
    <w:rsid w:val="00F751D9"/>
    <w:rsid w:val="00F756F3"/>
    <w:rsid w:val="00F77F60"/>
    <w:rsid w:val="00F83214"/>
    <w:rsid w:val="00F846E9"/>
    <w:rsid w:val="00F84D8E"/>
    <w:rsid w:val="00F8621A"/>
    <w:rsid w:val="00F90738"/>
    <w:rsid w:val="00F9501A"/>
    <w:rsid w:val="00F95F83"/>
    <w:rsid w:val="00F96857"/>
    <w:rsid w:val="00FA08B1"/>
    <w:rsid w:val="00FA0E38"/>
    <w:rsid w:val="00FA4272"/>
    <w:rsid w:val="00FA497F"/>
    <w:rsid w:val="00FA5391"/>
    <w:rsid w:val="00FA54E2"/>
    <w:rsid w:val="00FB0080"/>
    <w:rsid w:val="00FB0A9E"/>
    <w:rsid w:val="00FB4255"/>
    <w:rsid w:val="00FC4035"/>
    <w:rsid w:val="00FC71E4"/>
    <w:rsid w:val="00FD1744"/>
    <w:rsid w:val="00FD64C7"/>
    <w:rsid w:val="00FE10A2"/>
    <w:rsid w:val="00FE21AF"/>
    <w:rsid w:val="00FE2249"/>
    <w:rsid w:val="00FE6C91"/>
    <w:rsid w:val="00FF058E"/>
    <w:rsid w:val="00FF3303"/>
    <w:rsid w:val="00FF34DB"/>
    <w:rsid w:val="00F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BBF2"/>
  <w15:docId w15:val="{699FBE48-A003-4DE8-9C5F-50A5FF76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BE"/>
    <w:pPr>
      <w:spacing w:after="160" w:line="256" w:lineRule="auto"/>
    </w:pPr>
    <w:rPr>
      <w:rFonts w:ascii="Calibri" w:eastAsia="Calibri" w:hAnsi="Calibri" w:cs="Calibri"/>
    </w:rPr>
  </w:style>
  <w:style w:type="paragraph" w:styleId="Heading1">
    <w:name w:val="heading 1"/>
    <w:basedOn w:val="Normal"/>
    <w:next w:val="Normal"/>
    <w:link w:val="Heading1Char"/>
    <w:uiPriority w:val="9"/>
    <w:qFormat/>
    <w:rsid w:val="00F907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EC406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ED6CB9"/>
    <w:pPr>
      <w:spacing w:before="240" w:after="60" w:line="240" w:lineRule="auto"/>
      <w:outlineLvl w:val="5"/>
    </w:pPr>
    <w:rPr>
      <w:rFonts w:ascii="Times New Roman" w:eastAsia="Times New Roman" w:hAnsi="Times New Roman" w:cs="Times New Roman"/>
      <w:b/>
      <w:bCs/>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ota,Ref,de nota al pie,Voetnootmarkering1,Footnote Reference Superscript,Footnote symbol,Times 10 Point,Exposant 3 Point,Appel note de bas de p,PBO Footnote Reference,FR + (Complex) Arial,(Latin) 9 pt,(Complex) 10 pt + (Compl...,fr,o"/>
    <w:link w:val="SUPERSCharChar"/>
    <w:uiPriority w:val="99"/>
    <w:qFormat/>
    <w:rsid w:val="008814BE"/>
    <w:rPr>
      <w:rFonts w:cs="Times New Roman"/>
      <w:vertAlign w:val="superscript"/>
    </w:rPr>
  </w:style>
  <w:style w:type="paragraph" w:styleId="FootnoteText">
    <w:name w:val="footnote text"/>
    <w:aliases w:val="Footnote Text3,Footnote Text12,ALTS FOOTNOTE12,Footnote Text Char112,Footnote Text Char Char Char12,Footnote Text Char1 Char Char Char Char12,Footnote Text Char1 Char Char Char12,ALTS FOOTNOTE3 Char Char,ALTS FOOTNOTE3,ALTS FOOTNOTE3 Char"/>
    <w:basedOn w:val="Normal"/>
    <w:link w:val="FootnoteTextChar"/>
    <w:uiPriority w:val="99"/>
    <w:unhideWhenUsed/>
    <w:qFormat/>
    <w:rsid w:val="008814BE"/>
    <w:pPr>
      <w:spacing w:after="0" w:line="240" w:lineRule="auto"/>
    </w:pPr>
    <w:rPr>
      <w:rFonts w:eastAsia="Times New Roman"/>
      <w:sz w:val="20"/>
      <w:szCs w:val="20"/>
      <w:lang w:val="en-US"/>
    </w:rPr>
  </w:style>
  <w:style w:type="character" w:customStyle="1" w:styleId="FootnoteTextChar">
    <w:name w:val="Footnote Text Char"/>
    <w:aliases w:val="Footnote Text3 Char,Footnote Text12 Char,ALTS FOOTNOTE12 Char,Footnote Text Char112 Char,Footnote Text Char Char Char12 Char,Footnote Text Char1 Char Char Char Char12 Char,Footnote Text Char1 Char Char Char12 Char,ALTS FOOTNOTE3 Char1"/>
    <w:basedOn w:val="DefaultParagraphFont"/>
    <w:link w:val="FootnoteText"/>
    <w:uiPriority w:val="99"/>
    <w:qFormat/>
    <w:rsid w:val="008814BE"/>
    <w:rPr>
      <w:rFonts w:ascii="Calibri" w:eastAsia="Times New Roman" w:hAnsi="Calibri" w:cs="Calibri"/>
      <w:sz w:val="20"/>
      <w:szCs w:val="20"/>
      <w:lang w:val="en-US"/>
    </w:rPr>
  </w:style>
  <w:style w:type="character" w:customStyle="1" w:styleId="cursorpointer">
    <w:name w:val="cursorpointer"/>
    <w:basedOn w:val="DefaultParagraphFont"/>
    <w:rsid w:val="008814BE"/>
  </w:style>
  <w:style w:type="paragraph" w:styleId="ListParagraph">
    <w:name w:val="List Paragraph"/>
    <w:basedOn w:val="Normal"/>
    <w:uiPriority w:val="34"/>
    <w:qFormat/>
    <w:rsid w:val="00D07F7A"/>
    <w:pPr>
      <w:ind w:left="720"/>
      <w:contextualSpacing/>
    </w:pPr>
  </w:style>
  <w:style w:type="character" w:customStyle="1" w:styleId="Heading6Char">
    <w:name w:val="Heading 6 Char"/>
    <w:basedOn w:val="DefaultParagraphFont"/>
    <w:link w:val="Heading6"/>
    <w:uiPriority w:val="99"/>
    <w:rsid w:val="00ED6CB9"/>
    <w:rPr>
      <w:rFonts w:ascii="Times New Roman" w:eastAsia="Times New Roman" w:hAnsi="Times New Roman" w:cs="Times New Roman"/>
      <w:b/>
      <w:bCs/>
      <w:lang w:eastAsia="bg-BG"/>
    </w:rPr>
  </w:style>
  <w:style w:type="paragraph" w:styleId="BalloonText">
    <w:name w:val="Balloon Text"/>
    <w:basedOn w:val="Normal"/>
    <w:link w:val="BalloonTextChar"/>
    <w:uiPriority w:val="99"/>
    <w:semiHidden/>
    <w:unhideWhenUsed/>
    <w:rsid w:val="0031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9C"/>
    <w:rPr>
      <w:rFonts w:ascii="Tahoma" w:eastAsia="Calibri" w:hAnsi="Tahoma" w:cs="Tahoma"/>
      <w:sz w:val="16"/>
      <w:szCs w:val="16"/>
    </w:rPr>
  </w:style>
  <w:style w:type="paragraph" w:styleId="Header">
    <w:name w:val="header"/>
    <w:basedOn w:val="Normal"/>
    <w:link w:val="HeaderChar"/>
    <w:uiPriority w:val="99"/>
    <w:unhideWhenUsed/>
    <w:rsid w:val="00AD13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AD13CC"/>
    <w:rPr>
      <w:rFonts w:ascii="Calibri" w:eastAsia="Calibri" w:hAnsi="Calibri" w:cs="Calibri"/>
    </w:rPr>
  </w:style>
  <w:style w:type="paragraph" w:styleId="Footer">
    <w:name w:val="footer"/>
    <w:basedOn w:val="Normal"/>
    <w:link w:val="FooterChar"/>
    <w:uiPriority w:val="99"/>
    <w:unhideWhenUsed/>
    <w:rsid w:val="00AD13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AD13CC"/>
    <w:rPr>
      <w:rFonts w:ascii="Calibri" w:eastAsia="Calibri" w:hAnsi="Calibri" w:cs="Calibri"/>
    </w:rPr>
  </w:style>
  <w:style w:type="paragraph" w:styleId="Revision">
    <w:name w:val="Revision"/>
    <w:hidden/>
    <w:uiPriority w:val="99"/>
    <w:semiHidden/>
    <w:rsid w:val="00756CEF"/>
    <w:pPr>
      <w:spacing w:after="0" w:line="240" w:lineRule="auto"/>
    </w:pPr>
    <w:rPr>
      <w:rFonts w:ascii="Calibri" w:eastAsia="Calibri" w:hAnsi="Calibri" w:cs="Calibri"/>
    </w:rPr>
  </w:style>
  <w:style w:type="paragraph" w:styleId="PlainText">
    <w:name w:val="Plain Text"/>
    <w:basedOn w:val="Normal"/>
    <w:link w:val="PlainTextChar"/>
    <w:uiPriority w:val="99"/>
    <w:unhideWhenUsed/>
    <w:rsid w:val="002A2C9B"/>
    <w:pPr>
      <w:spacing w:after="0" w:line="240" w:lineRule="auto"/>
    </w:pPr>
    <w:rPr>
      <w:rFonts w:eastAsiaTheme="minorEastAsia" w:cstheme="minorBidi"/>
      <w:szCs w:val="21"/>
      <w:lang w:eastAsia="bg-BG"/>
    </w:rPr>
  </w:style>
  <w:style w:type="character" w:customStyle="1" w:styleId="PlainTextChar">
    <w:name w:val="Plain Text Char"/>
    <w:basedOn w:val="DefaultParagraphFont"/>
    <w:link w:val="PlainText"/>
    <w:uiPriority w:val="99"/>
    <w:rsid w:val="002A2C9B"/>
    <w:rPr>
      <w:rFonts w:ascii="Calibri" w:eastAsiaTheme="minorEastAsia" w:hAnsi="Calibri"/>
      <w:szCs w:val="21"/>
      <w:lang w:eastAsia="bg-BG"/>
    </w:rPr>
  </w:style>
  <w:style w:type="paragraph" w:styleId="BodyText">
    <w:name w:val="Body Text"/>
    <w:basedOn w:val="Normal"/>
    <w:link w:val="BodyTextChar"/>
    <w:rsid w:val="0002580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580B"/>
    <w:rPr>
      <w:rFonts w:ascii="Times New Roman" w:eastAsia="Times New Roman" w:hAnsi="Times New Roman" w:cs="Times New Roman"/>
      <w:sz w:val="24"/>
      <w:szCs w:val="24"/>
    </w:rPr>
  </w:style>
  <w:style w:type="character" w:customStyle="1" w:styleId="samedocreference">
    <w:name w:val="samedocreference"/>
    <w:basedOn w:val="DefaultParagraphFont"/>
    <w:rsid w:val="009C0F37"/>
  </w:style>
  <w:style w:type="character" w:customStyle="1" w:styleId="markedcontent">
    <w:name w:val="markedcontent"/>
    <w:basedOn w:val="DefaultParagraphFont"/>
    <w:rsid w:val="00D01FDB"/>
    <w:rPr>
      <w:rFonts w:cs="Times New Roman"/>
    </w:rPr>
  </w:style>
  <w:style w:type="character" w:styleId="CommentReference">
    <w:name w:val="annotation reference"/>
    <w:basedOn w:val="DefaultParagraphFont"/>
    <w:uiPriority w:val="99"/>
    <w:semiHidden/>
    <w:unhideWhenUsed/>
    <w:rsid w:val="00D01FDB"/>
    <w:rPr>
      <w:rFonts w:cs="Times New Roman"/>
      <w:sz w:val="16"/>
      <w:szCs w:val="16"/>
    </w:rPr>
  </w:style>
  <w:style w:type="paragraph" w:styleId="CommentText">
    <w:name w:val="annotation text"/>
    <w:basedOn w:val="Normal"/>
    <w:link w:val="CommentTextChar"/>
    <w:uiPriority w:val="99"/>
    <w:unhideWhenUsed/>
    <w:rsid w:val="00D01FDB"/>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customStyle="1" w:styleId="CommentTextChar">
    <w:name w:val="Comment Text Char"/>
    <w:basedOn w:val="DefaultParagraphFont"/>
    <w:link w:val="CommentText"/>
    <w:uiPriority w:val="99"/>
    <w:rsid w:val="00D01FDB"/>
    <w:rPr>
      <w:rFonts w:ascii="Times New Roman" w:eastAsiaTheme="minorEastAsia" w:hAnsi="Times New Roman" w:cs="Times New Roman"/>
      <w:sz w:val="20"/>
      <w:szCs w:val="20"/>
      <w:lang w:eastAsia="bg-BG"/>
    </w:rPr>
  </w:style>
  <w:style w:type="paragraph" w:styleId="ListBullet">
    <w:name w:val="List Bullet"/>
    <w:basedOn w:val="Normal"/>
    <w:uiPriority w:val="99"/>
    <w:rsid w:val="009C2E96"/>
    <w:pPr>
      <w:tabs>
        <w:tab w:val="num" w:pos="340"/>
      </w:tabs>
      <w:spacing w:before="120" w:after="120" w:line="240" w:lineRule="auto"/>
      <w:ind w:left="360" w:hanging="360"/>
      <w:contextualSpacing/>
      <w:jc w:val="both"/>
    </w:pPr>
    <w:rPr>
      <w:rFonts w:ascii="Times New Roman" w:eastAsia="Times New Roman" w:hAnsi="Times New Roman" w:cs="Times New Roman"/>
      <w:sz w:val="24"/>
      <w:szCs w:val="20"/>
      <w:lang w:val="en-GB" w:eastAsia="en-GB"/>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link w:val="FootnoteReference"/>
    <w:uiPriority w:val="99"/>
    <w:rsid w:val="009C2E96"/>
    <w:pPr>
      <w:spacing w:line="240" w:lineRule="exact"/>
    </w:pPr>
    <w:rPr>
      <w:rFonts w:asciiTheme="minorHAnsi" w:eastAsiaTheme="minorHAnsi" w:hAnsiTheme="minorHAnsi" w:cs="Times New Roman"/>
      <w:vertAlign w:val="superscript"/>
    </w:rPr>
  </w:style>
  <w:style w:type="paragraph" w:customStyle="1" w:styleId="Default">
    <w:name w:val="Default"/>
    <w:rsid w:val="00A678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737E2"/>
    <w:rPr>
      <w:i/>
      <w:iCs/>
      <w:color w:val="808080" w:themeColor="text1" w:themeTint="7F"/>
    </w:rPr>
  </w:style>
  <w:style w:type="character" w:styleId="PlaceholderText">
    <w:name w:val="Placeholder Text"/>
    <w:basedOn w:val="DefaultParagraphFont"/>
    <w:uiPriority w:val="99"/>
    <w:semiHidden/>
    <w:rsid w:val="00522665"/>
    <w:rPr>
      <w:color w:val="808080"/>
    </w:rPr>
  </w:style>
  <w:style w:type="paragraph" w:styleId="CommentSubject">
    <w:name w:val="annotation subject"/>
    <w:basedOn w:val="CommentText"/>
    <w:next w:val="CommentText"/>
    <w:link w:val="CommentSubjectChar"/>
    <w:uiPriority w:val="99"/>
    <w:semiHidden/>
    <w:unhideWhenUsed/>
    <w:rsid w:val="00C20C41"/>
    <w:pPr>
      <w:widowControl/>
      <w:autoSpaceDE/>
      <w:autoSpaceDN/>
      <w:adjustRightInd/>
      <w:spacing w:after="160"/>
    </w:pPr>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rsid w:val="00C20C41"/>
    <w:rPr>
      <w:rFonts w:ascii="Calibri" w:eastAsia="Calibri" w:hAnsi="Calibri" w:cs="Calibri"/>
      <w:b/>
      <w:bCs/>
      <w:sz w:val="20"/>
      <w:szCs w:val="20"/>
      <w:lang w:eastAsia="bg-BG"/>
    </w:rPr>
  </w:style>
  <w:style w:type="character" w:customStyle="1" w:styleId="Heading5Char">
    <w:name w:val="Heading 5 Char"/>
    <w:basedOn w:val="DefaultParagraphFont"/>
    <w:link w:val="Heading5"/>
    <w:uiPriority w:val="9"/>
    <w:semiHidden/>
    <w:rsid w:val="00EC406E"/>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F90738"/>
    <w:rPr>
      <w:rFonts w:asciiTheme="majorHAnsi" w:eastAsiaTheme="majorEastAsia" w:hAnsiTheme="majorHAnsi" w:cstheme="majorBidi"/>
      <w:color w:val="365F91" w:themeColor="accent1" w:themeShade="BF"/>
      <w:sz w:val="32"/>
      <w:szCs w:val="32"/>
    </w:rPr>
  </w:style>
  <w:style w:type="table" w:customStyle="1" w:styleId="TableGrid0">
    <w:name w:val="TableGrid"/>
    <w:rsid w:val="00CD1A44"/>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0216">
      <w:bodyDiv w:val="1"/>
      <w:marLeft w:val="0"/>
      <w:marRight w:val="0"/>
      <w:marTop w:val="0"/>
      <w:marBottom w:val="0"/>
      <w:divBdr>
        <w:top w:val="none" w:sz="0" w:space="0" w:color="auto"/>
        <w:left w:val="none" w:sz="0" w:space="0" w:color="auto"/>
        <w:bottom w:val="none" w:sz="0" w:space="0" w:color="auto"/>
        <w:right w:val="none" w:sz="0" w:space="0" w:color="auto"/>
      </w:divBdr>
    </w:div>
    <w:div w:id="55400891">
      <w:bodyDiv w:val="1"/>
      <w:marLeft w:val="0"/>
      <w:marRight w:val="0"/>
      <w:marTop w:val="0"/>
      <w:marBottom w:val="0"/>
      <w:divBdr>
        <w:top w:val="none" w:sz="0" w:space="0" w:color="auto"/>
        <w:left w:val="none" w:sz="0" w:space="0" w:color="auto"/>
        <w:bottom w:val="none" w:sz="0" w:space="0" w:color="auto"/>
        <w:right w:val="none" w:sz="0" w:space="0" w:color="auto"/>
      </w:divBdr>
    </w:div>
    <w:div w:id="503669495">
      <w:bodyDiv w:val="1"/>
      <w:marLeft w:val="0"/>
      <w:marRight w:val="0"/>
      <w:marTop w:val="0"/>
      <w:marBottom w:val="0"/>
      <w:divBdr>
        <w:top w:val="none" w:sz="0" w:space="0" w:color="auto"/>
        <w:left w:val="none" w:sz="0" w:space="0" w:color="auto"/>
        <w:bottom w:val="none" w:sz="0" w:space="0" w:color="auto"/>
        <w:right w:val="none" w:sz="0" w:space="0" w:color="auto"/>
      </w:divBdr>
      <w:divsChild>
        <w:div w:id="2103257270">
          <w:marLeft w:val="0"/>
          <w:marRight w:val="0"/>
          <w:marTop w:val="0"/>
          <w:marBottom w:val="0"/>
          <w:divBdr>
            <w:top w:val="none" w:sz="0" w:space="0" w:color="auto"/>
            <w:left w:val="none" w:sz="0" w:space="0" w:color="auto"/>
            <w:bottom w:val="none" w:sz="0" w:space="0" w:color="auto"/>
            <w:right w:val="none" w:sz="0" w:space="0" w:color="auto"/>
          </w:divBdr>
        </w:div>
        <w:div w:id="1370305069">
          <w:marLeft w:val="0"/>
          <w:marRight w:val="0"/>
          <w:marTop w:val="0"/>
          <w:marBottom w:val="0"/>
          <w:divBdr>
            <w:top w:val="none" w:sz="0" w:space="0" w:color="auto"/>
            <w:left w:val="none" w:sz="0" w:space="0" w:color="auto"/>
            <w:bottom w:val="none" w:sz="0" w:space="0" w:color="auto"/>
            <w:right w:val="none" w:sz="0" w:space="0" w:color="auto"/>
          </w:divBdr>
        </w:div>
        <w:div w:id="1877421954">
          <w:marLeft w:val="0"/>
          <w:marRight w:val="0"/>
          <w:marTop w:val="0"/>
          <w:marBottom w:val="0"/>
          <w:divBdr>
            <w:top w:val="none" w:sz="0" w:space="0" w:color="auto"/>
            <w:left w:val="none" w:sz="0" w:space="0" w:color="auto"/>
            <w:bottom w:val="none" w:sz="0" w:space="0" w:color="auto"/>
            <w:right w:val="none" w:sz="0" w:space="0" w:color="auto"/>
          </w:divBdr>
        </w:div>
      </w:divsChild>
    </w:div>
    <w:div w:id="587269801">
      <w:bodyDiv w:val="1"/>
      <w:marLeft w:val="0"/>
      <w:marRight w:val="0"/>
      <w:marTop w:val="0"/>
      <w:marBottom w:val="0"/>
      <w:divBdr>
        <w:top w:val="none" w:sz="0" w:space="0" w:color="auto"/>
        <w:left w:val="none" w:sz="0" w:space="0" w:color="auto"/>
        <w:bottom w:val="none" w:sz="0" w:space="0" w:color="auto"/>
        <w:right w:val="none" w:sz="0" w:space="0" w:color="auto"/>
      </w:divBdr>
      <w:divsChild>
        <w:div w:id="1951354619">
          <w:marLeft w:val="0"/>
          <w:marRight w:val="0"/>
          <w:marTop w:val="0"/>
          <w:marBottom w:val="0"/>
          <w:divBdr>
            <w:top w:val="none" w:sz="0" w:space="0" w:color="auto"/>
            <w:left w:val="none" w:sz="0" w:space="0" w:color="auto"/>
            <w:bottom w:val="none" w:sz="0" w:space="0" w:color="auto"/>
            <w:right w:val="none" w:sz="0" w:space="0" w:color="auto"/>
          </w:divBdr>
        </w:div>
        <w:div w:id="438838352">
          <w:marLeft w:val="0"/>
          <w:marRight w:val="0"/>
          <w:marTop w:val="0"/>
          <w:marBottom w:val="0"/>
          <w:divBdr>
            <w:top w:val="none" w:sz="0" w:space="0" w:color="auto"/>
            <w:left w:val="none" w:sz="0" w:space="0" w:color="auto"/>
            <w:bottom w:val="none" w:sz="0" w:space="0" w:color="auto"/>
            <w:right w:val="none" w:sz="0" w:space="0" w:color="auto"/>
          </w:divBdr>
        </w:div>
      </w:divsChild>
    </w:div>
    <w:div w:id="884752563">
      <w:bodyDiv w:val="1"/>
      <w:marLeft w:val="0"/>
      <w:marRight w:val="0"/>
      <w:marTop w:val="0"/>
      <w:marBottom w:val="0"/>
      <w:divBdr>
        <w:top w:val="none" w:sz="0" w:space="0" w:color="auto"/>
        <w:left w:val="none" w:sz="0" w:space="0" w:color="auto"/>
        <w:bottom w:val="none" w:sz="0" w:space="0" w:color="auto"/>
        <w:right w:val="none" w:sz="0" w:space="0" w:color="auto"/>
      </w:divBdr>
      <w:divsChild>
        <w:div w:id="1069964386">
          <w:marLeft w:val="0"/>
          <w:marRight w:val="0"/>
          <w:marTop w:val="0"/>
          <w:marBottom w:val="0"/>
          <w:divBdr>
            <w:top w:val="none" w:sz="0" w:space="0" w:color="auto"/>
            <w:left w:val="none" w:sz="0" w:space="0" w:color="auto"/>
            <w:bottom w:val="none" w:sz="0" w:space="0" w:color="auto"/>
            <w:right w:val="none" w:sz="0" w:space="0" w:color="auto"/>
          </w:divBdr>
        </w:div>
      </w:divsChild>
    </w:div>
    <w:div w:id="1193686277">
      <w:bodyDiv w:val="1"/>
      <w:marLeft w:val="0"/>
      <w:marRight w:val="0"/>
      <w:marTop w:val="0"/>
      <w:marBottom w:val="0"/>
      <w:divBdr>
        <w:top w:val="none" w:sz="0" w:space="0" w:color="auto"/>
        <w:left w:val="none" w:sz="0" w:space="0" w:color="auto"/>
        <w:bottom w:val="none" w:sz="0" w:space="0" w:color="auto"/>
        <w:right w:val="none" w:sz="0" w:space="0" w:color="auto"/>
      </w:divBdr>
      <w:divsChild>
        <w:div w:id="2141268276">
          <w:marLeft w:val="0"/>
          <w:marRight w:val="0"/>
          <w:marTop w:val="0"/>
          <w:marBottom w:val="0"/>
          <w:divBdr>
            <w:top w:val="none" w:sz="0" w:space="0" w:color="auto"/>
            <w:left w:val="none" w:sz="0" w:space="0" w:color="auto"/>
            <w:bottom w:val="none" w:sz="0" w:space="0" w:color="auto"/>
            <w:right w:val="none" w:sz="0" w:space="0" w:color="auto"/>
          </w:divBdr>
        </w:div>
        <w:div w:id="1209562705">
          <w:marLeft w:val="0"/>
          <w:marRight w:val="0"/>
          <w:marTop w:val="0"/>
          <w:marBottom w:val="0"/>
          <w:divBdr>
            <w:top w:val="none" w:sz="0" w:space="0" w:color="auto"/>
            <w:left w:val="none" w:sz="0" w:space="0" w:color="auto"/>
            <w:bottom w:val="none" w:sz="0" w:space="0" w:color="auto"/>
            <w:right w:val="none" w:sz="0" w:space="0" w:color="auto"/>
          </w:divBdr>
        </w:div>
        <w:div w:id="586574013">
          <w:marLeft w:val="0"/>
          <w:marRight w:val="0"/>
          <w:marTop w:val="0"/>
          <w:marBottom w:val="0"/>
          <w:divBdr>
            <w:top w:val="none" w:sz="0" w:space="0" w:color="auto"/>
            <w:left w:val="none" w:sz="0" w:space="0" w:color="auto"/>
            <w:bottom w:val="none" w:sz="0" w:space="0" w:color="auto"/>
            <w:right w:val="none" w:sz="0" w:space="0" w:color="auto"/>
          </w:divBdr>
        </w:div>
        <w:div w:id="1355881446">
          <w:marLeft w:val="0"/>
          <w:marRight w:val="0"/>
          <w:marTop w:val="0"/>
          <w:marBottom w:val="0"/>
          <w:divBdr>
            <w:top w:val="none" w:sz="0" w:space="0" w:color="auto"/>
            <w:left w:val="none" w:sz="0" w:space="0" w:color="auto"/>
            <w:bottom w:val="none" w:sz="0" w:space="0" w:color="auto"/>
            <w:right w:val="none" w:sz="0" w:space="0" w:color="auto"/>
          </w:divBdr>
        </w:div>
        <w:div w:id="1582909568">
          <w:marLeft w:val="0"/>
          <w:marRight w:val="0"/>
          <w:marTop w:val="0"/>
          <w:marBottom w:val="0"/>
          <w:divBdr>
            <w:top w:val="none" w:sz="0" w:space="0" w:color="auto"/>
            <w:left w:val="none" w:sz="0" w:space="0" w:color="auto"/>
            <w:bottom w:val="none" w:sz="0" w:space="0" w:color="auto"/>
            <w:right w:val="none" w:sz="0" w:space="0" w:color="auto"/>
          </w:divBdr>
        </w:div>
        <w:div w:id="1910263138">
          <w:marLeft w:val="0"/>
          <w:marRight w:val="0"/>
          <w:marTop w:val="0"/>
          <w:marBottom w:val="0"/>
          <w:divBdr>
            <w:top w:val="none" w:sz="0" w:space="0" w:color="auto"/>
            <w:left w:val="none" w:sz="0" w:space="0" w:color="auto"/>
            <w:bottom w:val="none" w:sz="0" w:space="0" w:color="auto"/>
            <w:right w:val="none" w:sz="0" w:space="0" w:color="auto"/>
          </w:divBdr>
        </w:div>
      </w:divsChild>
    </w:div>
    <w:div w:id="1664821567">
      <w:bodyDiv w:val="1"/>
      <w:marLeft w:val="0"/>
      <w:marRight w:val="0"/>
      <w:marTop w:val="0"/>
      <w:marBottom w:val="0"/>
      <w:divBdr>
        <w:top w:val="none" w:sz="0" w:space="0" w:color="auto"/>
        <w:left w:val="none" w:sz="0" w:space="0" w:color="auto"/>
        <w:bottom w:val="none" w:sz="0" w:space="0" w:color="auto"/>
        <w:right w:val="none" w:sz="0" w:space="0" w:color="auto"/>
      </w:divBdr>
    </w:div>
    <w:div w:id="1871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C1A2-11EE-4AEC-AEE7-50442B9B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Emilova Vlaeva</dc:creator>
  <cp:lastModifiedBy>Iren Guerenska</cp:lastModifiedBy>
  <cp:revision>14</cp:revision>
  <cp:lastPrinted>2019-05-21T07:21:00Z</cp:lastPrinted>
  <dcterms:created xsi:type="dcterms:W3CDTF">2025-07-14T06:26:00Z</dcterms:created>
  <dcterms:modified xsi:type="dcterms:W3CDTF">2025-07-15T07:09:00Z</dcterms:modified>
</cp:coreProperties>
</file>