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2C8" w:rsidRPr="00D31918" w:rsidRDefault="00D31918" w:rsidP="00D31918">
      <w:pPr>
        <w:spacing w:line="360" w:lineRule="auto"/>
        <w:jc w:val="center"/>
        <w:rPr>
          <w:b/>
          <w:i/>
          <w:szCs w:val="24"/>
          <w:lang w:val="bg-BG"/>
        </w:rPr>
      </w:pPr>
      <w:r w:rsidRPr="00D31918">
        <w:rPr>
          <w:b/>
          <w:i/>
          <w:lang w:val="bg-BG"/>
        </w:rPr>
        <w:t>Мотиви към</w:t>
      </w:r>
      <w:r w:rsidR="002C02C8" w:rsidRPr="00D31918">
        <w:rPr>
          <w:b/>
          <w:i/>
          <w:sz w:val="22"/>
          <w:szCs w:val="22"/>
          <w:lang w:val="bg-BG"/>
        </w:rPr>
        <w:t xml:space="preserve"> </w:t>
      </w:r>
      <w:r>
        <w:rPr>
          <w:b/>
          <w:i/>
          <w:sz w:val="22"/>
          <w:szCs w:val="22"/>
          <w:lang w:val="bg-BG"/>
        </w:rPr>
        <w:t xml:space="preserve">проекта на </w:t>
      </w:r>
      <w:r w:rsidR="002C02C8" w:rsidRPr="00D31918">
        <w:rPr>
          <w:b/>
          <w:i/>
          <w:szCs w:val="24"/>
          <w:lang w:val="bg-BG"/>
        </w:rPr>
        <w:t>Наредба за правилата и нормите за проектиране, изграждане и премахване на физическа инфраструктура, предназначена за разполагане на електронни съобщителни мрежи и приемно-предавателни станции</w:t>
      </w:r>
    </w:p>
    <w:p w:rsidR="002C02C8" w:rsidRPr="001E4BFC" w:rsidRDefault="002C02C8" w:rsidP="00134A12">
      <w:pPr>
        <w:tabs>
          <w:tab w:val="left" w:pos="1134"/>
        </w:tabs>
        <w:spacing w:line="360" w:lineRule="auto"/>
        <w:ind w:firstLine="720"/>
        <w:jc w:val="both"/>
        <w:rPr>
          <w:szCs w:val="24"/>
          <w:lang w:val="bg-BG"/>
        </w:rPr>
      </w:pPr>
      <w:r w:rsidRPr="001E4BFC">
        <w:rPr>
          <w:szCs w:val="24"/>
          <w:lang w:val="bg-BG"/>
        </w:rPr>
        <w:t>Съгласно чл. 47, ал. 5 от Закона за електронните съобщителни мрежи и физическа инфраструктура (ЗЕСМФИ), създадена с изменението му със Закона за изменение и допълнение на Закона за електронните съобщителни мрежи и физическа инфраструктура (ДВ, бр. 35 от 2025 г.) Министерският съвет по предложение на министъра на транспорта и съобщенията приема наредба, с която определя правилата и нормите за проектиране, изграждане и премахване на физическа инфраструктура, предназначена за разполагане на електронни съобщителни мрежи и приемно-предавателни станции.</w:t>
      </w:r>
    </w:p>
    <w:p w:rsidR="00134A12" w:rsidRPr="001E4BFC" w:rsidRDefault="00CB6390" w:rsidP="00134A12">
      <w:pPr>
        <w:spacing w:line="360" w:lineRule="auto"/>
        <w:ind w:firstLine="708"/>
        <w:jc w:val="both"/>
        <w:rPr>
          <w:color w:val="000000"/>
          <w:szCs w:val="24"/>
          <w:lang w:val="bg-BG"/>
        </w:rPr>
      </w:pPr>
      <w:r w:rsidRPr="001E4BFC">
        <w:rPr>
          <w:rStyle w:val="cursorpointer"/>
          <w:lang w:val="bg-BG"/>
        </w:rPr>
        <w:t>Предлаганият проект на наредба отчита правилата и практик</w:t>
      </w:r>
      <w:r w:rsidR="00596884" w:rsidRPr="001E4BFC">
        <w:rPr>
          <w:rStyle w:val="cursorpointer"/>
          <w:lang w:val="bg-BG"/>
        </w:rPr>
        <w:t>ите</w:t>
      </w:r>
      <w:r w:rsidRPr="001E4BFC">
        <w:rPr>
          <w:rStyle w:val="cursorpointer"/>
          <w:lang w:val="bg-BG"/>
        </w:rPr>
        <w:t xml:space="preserve"> в </w:t>
      </w:r>
      <w:r w:rsidR="00134A12" w:rsidRPr="001E4BFC">
        <w:rPr>
          <w:rStyle w:val="cursorpointer"/>
          <w:lang w:val="bg-BG"/>
        </w:rPr>
        <w:t>регулираната</w:t>
      </w:r>
      <w:r w:rsidRPr="001E4BFC">
        <w:rPr>
          <w:rStyle w:val="cursorpointer"/>
          <w:lang w:val="bg-BG"/>
        </w:rPr>
        <w:t xml:space="preserve"> област, установени </w:t>
      </w:r>
      <w:r w:rsidR="00596884" w:rsidRPr="001E4BFC">
        <w:rPr>
          <w:rStyle w:val="cursorpointer"/>
          <w:lang w:val="bg-BG"/>
        </w:rPr>
        <w:t>на основата</w:t>
      </w:r>
      <w:r w:rsidRPr="001E4BFC">
        <w:rPr>
          <w:rStyle w:val="cursorpointer"/>
          <w:lang w:val="bg-BG"/>
        </w:rPr>
        <w:t xml:space="preserve"> на </w:t>
      </w:r>
      <w:r w:rsidRPr="001E4BFC">
        <w:rPr>
          <w:color w:val="000000"/>
          <w:szCs w:val="24"/>
          <w:lang w:val="bg-BG"/>
        </w:rPr>
        <w:t>Наредба № 35 от 2012 г. за правилата и нормите за проектиране, изграждане и въвеждане в експлоатация на кабелни електронни съобщителни мрежи и прилежащата им инфраструктура (ДВ, бр. 99 от 2012 г.)</w:t>
      </w:r>
      <w:r w:rsidR="00365235" w:rsidRPr="001E4BFC">
        <w:rPr>
          <w:color w:val="000000"/>
          <w:szCs w:val="24"/>
          <w:lang w:val="bg-BG"/>
        </w:rPr>
        <w:t xml:space="preserve"> (Наредба № 35/2012)</w:t>
      </w:r>
      <w:r w:rsidRPr="001E4BFC">
        <w:rPr>
          <w:color w:val="000000"/>
          <w:szCs w:val="24"/>
          <w:lang w:val="bg-BG"/>
        </w:rPr>
        <w:t>, приета от министъра на транспорта, информационните технологии и съобщенията и министъра на регионалното развитие и благоустройството на основание чл. 286, ал. 5 (отм.) от З</w:t>
      </w:r>
      <w:r w:rsidR="00596884" w:rsidRPr="001E4BFC">
        <w:rPr>
          <w:color w:val="000000"/>
          <w:szCs w:val="24"/>
          <w:lang w:val="bg-BG"/>
        </w:rPr>
        <w:t>акона за електронните съобщения (ЗЕС)</w:t>
      </w:r>
      <w:r w:rsidRPr="001E4BFC">
        <w:rPr>
          <w:color w:val="000000"/>
          <w:szCs w:val="24"/>
          <w:lang w:val="bg-BG"/>
        </w:rPr>
        <w:t xml:space="preserve"> и Наредба № 21 от 2007 г. за правилата за изграждане на мобилни далекосъобщителни мрежи и съоръжения, приета от председателя на Държавната агенция за информационни технологии и съобщения и министъра на регионалното развитие и благоустройството (ДВ, бр. 41 от 22.05.2007 г.) на основание</w:t>
      </w:r>
      <w:r w:rsidRPr="001E4BFC">
        <w:rPr>
          <w:lang w:val="bg-BG"/>
        </w:rPr>
        <w:t xml:space="preserve"> </w:t>
      </w:r>
      <w:r w:rsidRPr="001E4BFC">
        <w:rPr>
          <w:color w:val="000000"/>
          <w:szCs w:val="24"/>
          <w:lang w:val="bg-BG"/>
        </w:rPr>
        <w:t xml:space="preserve">чл. 167, ал. 2 от Закона за далекосъобщенията (отм.). </w:t>
      </w:r>
    </w:p>
    <w:p w:rsidR="00CB6390" w:rsidRPr="001E4BFC" w:rsidRDefault="00CB6390" w:rsidP="00134A12">
      <w:pPr>
        <w:spacing w:line="360" w:lineRule="auto"/>
        <w:ind w:firstLine="708"/>
        <w:jc w:val="both"/>
        <w:rPr>
          <w:color w:val="000000"/>
          <w:szCs w:val="24"/>
          <w:lang w:val="bg-BG"/>
        </w:rPr>
      </w:pPr>
      <w:r w:rsidRPr="001E4BFC">
        <w:rPr>
          <w:color w:val="000000"/>
          <w:szCs w:val="24"/>
          <w:lang w:val="bg-BG"/>
        </w:rPr>
        <w:t xml:space="preserve">Тъй като тези актове са с </w:t>
      </w:r>
      <w:r w:rsidR="00596884" w:rsidRPr="001E4BFC">
        <w:rPr>
          <w:color w:val="000000"/>
          <w:szCs w:val="24"/>
          <w:lang w:val="bg-BG"/>
        </w:rPr>
        <w:t>отменено</w:t>
      </w:r>
      <w:r w:rsidRPr="001E4BFC">
        <w:rPr>
          <w:color w:val="000000"/>
          <w:szCs w:val="24"/>
          <w:lang w:val="bg-BG"/>
        </w:rPr>
        <w:t xml:space="preserve"> правно основание, след приемането на новата уредба и от съображения за правна сигурност те ще бъдат изрично отменени от </w:t>
      </w:r>
      <w:r w:rsidR="00596884" w:rsidRPr="001E4BFC">
        <w:rPr>
          <w:color w:val="000000"/>
          <w:szCs w:val="24"/>
          <w:lang w:val="bg-BG"/>
        </w:rPr>
        <w:t>пр</w:t>
      </w:r>
      <w:r w:rsidR="004C7AB9" w:rsidRPr="001E4BFC">
        <w:rPr>
          <w:color w:val="000000"/>
          <w:szCs w:val="24"/>
          <w:lang w:val="bg-BG"/>
        </w:rPr>
        <w:t>и</w:t>
      </w:r>
      <w:r w:rsidR="00596884" w:rsidRPr="001E4BFC">
        <w:rPr>
          <w:color w:val="000000"/>
          <w:szCs w:val="24"/>
          <w:lang w:val="bg-BG"/>
        </w:rPr>
        <w:t>елите ги компетентни органи (</w:t>
      </w:r>
      <w:r w:rsidRPr="001E4BFC">
        <w:rPr>
          <w:color w:val="000000"/>
          <w:szCs w:val="24"/>
          <w:lang w:val="bg-BG"/>
        </w:rPr>
        <w:t>министър</w:t>
      </w:r>
      <w:r w:rsidR="00596884" w:rsidRPr="001E4BFC">
        <w:rPr>
          <w:color w:val="000000"/>
          <w:szCs w:val="24"/>
          <w:lang w:val="bg-BG"/>
        </w:rPr>
        <w:t xml:space="preserve">а </w:t>
      </w:r>
      <w:r w:rsidRPr="001E4BFC">
        <w:rPr>
          <w:color w:val="000000"/>
          <w:szCs w:val="24"/>
          <w:lang w:val="bg-BG"/>
        </w:rPr>
        <w:t>на транспорта и съобщенията и министъра на регионалното развитие и благоустройството).</w:t>
      </w:r>
    </w:p>
    <w:p w:rsidR="00CB6390" w:rsidRPr="001E4BFC" w:rsidRDefault="00CB6390" w:rsidP="00134A12">
      <w:pPr>
        <w:spacing w:line="360" w:lineRule="auto"/>
        <w:ind w:firstLine="708"/>
        <w:jc w:val="both"/>
        <w:rPr>
          <w:szCs w:val="24"/>
          <w:lang w:val="bg-BG"/>
        </w:rPr>
      </w:pPr>
      <w:r w:rsidRPr="001E4BFC">
        <w:rPr>
          <w:color w:val="000000"/>
          <w:szCs w:val="24"/>
          <w:lang w:val="bg-BG"/>
        </w:rPr>
        <w:t xml:space="preserve">Наред с това и предвид развитието на технологиите, проектът </w:t>
      </w:r>
      <w:r w:rsidR="00433A18" w:rsidRPr="001E4BFC">
        <w:rPr>
          <w:color w:val="000000"/>
          <w:szCs w:val="24"/>
          <w:lang w:val="bg-BG"/>
        </w:rPr>
        <w:t>включва редица новости,</w:t>
      </w:r>
      <w:r w:rsidRPr="001E4BFC">
        <w:rPr>
          <w:color w:val="000000"/>
          <w:szCs w:val="24"/>
          <w:lang w:val="bg-BG"/>
        </w:rPr>
        <w:t xml:space="preserve"> най-вече по отношение на </w:t>
      </w:r>
      <w:r w:rsidRPr="001E4BFC">
        <w:rPr>
          <w:szCs w:val="24"/>
          <w:lang w:val="x-none"/>
        </w:rPr>
        <w:t>физическата инфраструктура, предназначена за разполагане на приемно-предавателни станции</w:t>
      </w:r>
      <w:r w:rsidRPr="001E4BFC">
        <w:rPr>
          <w:szCs w:val="24"/>
          <w:lang w:val="bg-BG"/>
        </w:rPr>
        <w:t>.</w:t>
      </w:r>
    </w:p>
    <w:p w:rsidR="0053760C" w:rsidRPr="001E4BFC" w:rsidRDefault="00ED1939" w:rsidP="00134A12">
      <w:pPr>
        <w:autoSpaceDE w:val="0"/>
        <w:autoSpaceDN w:val="0"/>
        <w:spacing w:before="60" w:after="60" w:line="360" w:lineRule="auto"/>
        <w:ind w:firstLine="567"/>
        <w:jc w:val="both"/>
        <w:rPr>
          <w:szCs w:val="24"/>
          <w:lang w:val="bg-BG"/>
        </w:rPr>
      </w:pPr>
      <w:r w:rsidRPr="001E4BFC">
        <w:rPr>
          <w:b/>
          <w:szCs w:val="24"/>
          <w:lang w:val="bg-BG"/>
        </w:rPr>
        <w:t>В г</w:t>
      </w:r>
      <w:r w:rsidR="00433A18" w:rsidRPr="001E4BFC">
        <w:rPr>
          <w:b/>
          <w:szCs w:val="24"/>
          <w:lang w:val="bg-BG"/>
        </w:rPr>
        <w:t>лава първа „Общи положения“</w:t>
      </w:r>
      <w:r w:rsidRPr="001E4BFC">
        <w:rPr>
          <w:szCs w:val="24"/>
          <w:lang w:val="bg-BG"/>
        </w:rPr>
        <w:t xml:space="preserve"> е определен обхватът на наредбата. Отчетено е обстоятелството, че Законът за устройство на територията разглежда по общ начин физическата инфраструктура за разполагане на приемно-предавателни станции и тази за </w:t>
      </w:r>
      <w:proofErr w:type="spellStart"/>
      <w:r w:rsidRPr="001E4BFC">
        <w:rPr>
          <w:szCs w:val="24"/>
          <w:lang w:val="bg-BG"/>
        </w:rPr>
        <w:t>радиосъоръжения</w:t>
      </w:r>
      <w:proofErr w:type="spellEnd"/>
      <w:r w:rsidRPr="001E4BFC">
        <w:rPr>
          <w:szCs w:val="24"/>
          <w:lang w:val="bg-BG"/>
        </w:rPr>
        <w:t xml:space="preserve"> по смисъла на § 1, т. 56 от Допълнителните разпоредби на Закона за електронните съобщения и затова с цел яснота тези </w:t>
      </w:r>
      <w:proofErr w:type="spellStart"/>
      <w:r w:rsidRPr="001E4BFC">
        <w:rPr>
          <w:szCs w:val="24"/>
          <w:lang w:val="bg-BG"/>
        </w:rPr>
        <w:t>радиосъоръжения</w:t>
      </w:r>
      <w:proofErr w:type="spellEnd"/>
      <w:r w:rsidRPr="001E4BFC">
        <w:rPr>
          <w:szCs w:val="24"/>
          <w:lang w:val="bg-BG"/>
        </w:rPr>
        <w:t xml:space="preserve"> са посочени изрично </w:t>
      </w:r>
      <w:r w:rsidR="00134A12" w:rsidRPr="001E4BFC">
        <w:rPr>
          <w:szCs w:val="24"/>
          <w:lang w:val="bg-BG"/>
        </w:rPr>
        <w:lastRenderedPageBreak/>
        <w:t>като попадащи в</w:t>
      </w:r>
      <w:r w:rsidRPr="001E4BFC">
        <w:rPr>
          <w:szCs w:val="24"/>
          <w:lang w:val="bg-BG"/>
        </w:rPr>
        <w:t xml:space="preserve"> обхвата на наредбата</w:t>
      </w:r>
      <w:r w:rsidR="0053760C" w:rsidRPr="001E4BFC">
        <w:rPr>
          <w:szCs w:val="24"/>
          <w:lang w:val="bg-BG"/>
        </w:rPr>
        <w:t xml:space="preserve">. </w:t>
      </w:r>
      <w:proofErr w:type="spellStart"/>
      <w:r w:rsidR="0053760C" w:rsidRPr="001E4BFC">
        <w:rPr>
          <w:szCs w:val="24"/>
          <w:lang w:val="bg-BG"/>
        </w:rPr>
        <w:t>Относимите</w:t>
      </w:r>
      <w:proofErr w:type="spellEnd"/>
      <w:r w:rsidR="0053760C" w:rsidRPr="001E4BFC">
        <w:rPr>
          <w:szCs w:val="24"/>
          <w:lang w:val="bg-BG"/>
        </w:rPr>
        <w:t xml:space="preserve"> към тях правила са съответно указани на систематичното им място</w:t>
      </w:r>
      <w:r w:rsidRPr="001E4BFC">
        <w:rPr>
          <w:szCs w:val="24"/>
          <w:lang w:val="bg-BG"/>
        </w:rPr>
        <w:t xml:space="preserve">. Както и досега </w:t>
      </w:r>
      <w:r w:rsidR="000076D0" w:rsidRPr="001E4BFC">
        <w:rPr>
          <w:szCs w:val="24"/>
          <w:lang w:val="bg-BG"/>
        </w:rPr>
        <w:t xml:space="preserve">специалната правна уредба не се прилага за </w:t>
      </w:r>
      <w:r w:rsidRPr="001E4BFC">
        <w:rPr>
          <w:szCs w:val="24"/>
          <w:lang w:val="bg-BG"/>
        </w:rPr>
        <w:t xml:space="preserve"> електронни съобщителни мрежи и прилежащата им инфраструктура, предназначени за осигуряване на движението на влаковете </w:t>
      </w:r>
      <w:bookmarkStart w:id="0" w:name="_Hlk203041265"/>
      <w:r w:rsidRPr="001E4BFC">
        <w:rPr>
          <w:szCs w:val="24"/>
          <w:lang w:val="bg-BG"/>
        </w:rPr>
        <w:t>и за дистанционно управление на електроенергийните съоръжения в железопътната инфраструктура</w:t>
      </w:r>
      <w:bookmarkEnd w:id="0"/>
      <w:r w:rsidR="000076D0" w:rsidRPr="001E4BFC">
        <w:rPr>
          <w:szCs w:val="24"/>
          <w:lang w:val="bg-BG"/>
        </w:rPr>
        <w:t xml:space="preserve">, </w:t>
      </w:r>
      <w:r w:rsidRPr="001E4BFC">
        <w:rPr>
          <w:szCs w:val="24"/>
          <w:lang w:val="bg-BG"/>
        </w:rPr>
        <w:t>електронни съобщителни мрежи и прилежащата им инфраструктура, изграждани като подводни във вътрешните мо</w:t>
      </w:r>
      <w:r w:rsidR="000076D0" w:rsidRPr="001E4BFC">
        <w:rPr>
          <w:szCs w:val="24"/>
          <w:lang w:val="bg-BG"/>
        </w:rPr>
        <w:t>рски води и териториалното море и</w:t>
      </w:r>
      <w:r w:rsidRPr="001E4BFC">
        <w:rPr>
          <w:lang w:val="bg-BG"/>
        </w:rPr>
        <w:t xml:space="preserve"> електронни съобщителни мрежи и прилежащата им инфраструктура, изграждани чрез оптичен съобщителен кабел на стълбовете на въздушните електропроводни линии за високо напрежение.</w:t>
      </w:r>
      <w:r w:rsidR="00433A18" w:rsidRPr="001E4BFC">
        <w:rPr>
          <w:szCs w:val="24"/>
          <w:lang w:val="bg-BG"/>
        </w:rPr>
        <w:t xml:space="preserve"> </w:t>
      </w:r>
    </w:p>
    <w:p w:rsidR="0053760C" w:rsidRPr="001E4BFC" w:rsidRDefault="000076D0" w:rsidP="00134A12">
      <w:pPr>
        <w:autoSpaceDE w:val="0"/>
        <w:autoSpaceDN w:val="0"/>
        <w:spacing w:before="60" w:after="60" w:line="360" w:lineRule="auto"/>
        <w:ind w:firstLine="567"/>
        <w:jc w:val="both"/>
        <w:rPr>
          <w:szCs w:val="24"/>
          <w:lang w:val="bg-BG"/>
        </w:rPr>
      </w:pPr>
      <w:r w:rsidRPr="001E4BFC">
        <w:rPr>
          <w:szCs w:val="24"/>
          <w:lang w:val="bg-BG"/>
        </w:rPr>
        <w:t xml:space="preserve">Общо за всички видове инфраструктура в тази глава </w:t>
      </w:r>
      <w:r w:rsidR="0053760C" w:rsidRPr="001E4BFC">
        <w:rPr>
          <w:szCs w:val="24"/>
          <w:lang w:val="bg-BG"/>
        </w:rPr>
        <w:t xml:space="preserve">са включени </w:t>
      </w:r>
      <w:r w:rsidRPr="001E4BFC">
        <w:rPr>
          <w:szCs w:val="24"/>
          <w:lang w:val="bg-BG"/>
        </w:rPr>
        <w:t xml:space="preserve">изисквания за предприемане на мерки за ограничаване на затрудненията при ползването на имотите по предназначението им и на мерки за защита на околната среда, недопускане на щети или тяхното ограничаване. Тези изисквания целят защита на интересите на собствениците на засегнати имоти, както и на обществения интерес от чиста околна среда. </w:t>
      </w:r>
    </w:p>
    <w:p w:rsidR="00433A18" w:rsidRPr="001E4BFC" w:rsidRDefault="000076D0" w:rsidP="00134A12">
      <w:pPr>
        <w:autoSpaceDE w:val="0"/>
        <w:autoSpaceDN w:val="0"/>
        <w:spacing w:before="60" w:after="60" w:line="360" w:lineRule="auto"/>
        <w:ind w:firstLine="567"/>
        <w:jc w:val="both"/>
        <w:rPr>
          <w:szCs w:val="24"/>
          <w:lang w:val="bg-BG"/>
        </w:rPr>
      </w:pPr>
      <w:r w:rsidRPr="001E4BFC">
        <w:rPr>
          <w:szCs w:val="24"/>
          <w:lang w:val="bg-BG"/>
        </w:rPr>
        <w:t>В националното законодателство и европейското право се обръща все повече внимание на съвместното разполагане на мрежи и съвместното използване на физическа инфраструктура, тъй като това води до редица икономии и предимства за</w:t>
      </w:r>
      <w:r w:rsidR="0053760C" w:rsidRPr="001E4BFC">
        <w:rPr>
          <w:szCs w:val="24"/>
          <w:lang w:val="bg-BG"/>
        </w:rPr>
        <w:t xml:space="preserve"> операторите и</w:t>
      </w:r>
      <w:r w:rsidRPr="001E4BFC">
        <w:rPr>
          <w:szCs w:val="24"/>
          <w:lang w:val="bg-BG"/>
        </w:rPr>
        <w:t xml:space="preserve"> потребителите. Затова при проектирането и изграждането на физическа инфраструктура, предназначена за разполагане на електронни съобщителни мрежи и на приемно-предавателни станции</w:t>
      </w:r>
      <w:r w:rsidR="0053760C" w:rsidRPr="001E4BFC">
        <w:rPr>
          <w:szCs w:val="24"/>
          <w:lang w:val="bg-BG"/>
        </w:rPr>
        <w:t>,</w:t>
      </w:r>
      <w:r w:rsidRPr="001E4BFC">
        <w:rPr>
          <w:szCs w:val="24"/>
          <w:lang w:val="bg-BG"/>
        </w:rPr>
        <w:t xml:space="preserve"> трябва да се отчита възможността за бъдещото развитие на електронните съобщителни мрежи, както и да се осигурява възможност за съвместното ѝ използване от предприятия, предоставящи обществени</w:t>
      </w:r>
      <w:r w:rsidR="0053760C" w:rsidRPr="001E4BFC">
        <w:rPr>
          <w:szCs w:val="24"/>
          <w:lang w:val="bg-BG"/>
        </w:rPr>
        <w:t xml:space="preserve"> електронни съобщителни мрежи </w:t>
      </w:r>
      <w:r w:rsidRPr="001E4BFC">
        <w:rPr>
          <w:szCs w:val="24"/>
          <w:lang w:val="bg-BG"/>
        </w:rPr>
        <w:t>или услуги.</w:t>
      </w:r>
    </w:p>
    <w:p w:rsidR="0009500C" w:rsidRPr="001E4BFC" w:rsidRDefault="000076D0" w:rsidP="00134A12">
      <w:pPr>
        <w:spacing w:line="360" w:lineRule="auto"/>
        <w:ind w:firstLine="708"/>
        <w:jc w:val="both"/>
        <w:rPr>
          <w:bCs/>
          <w:szCs w:val="24"/>
          <w:lang w:val="bg-BG"/>
        </w:rPr>
      </w:pPr>
      <w:r w:rsidRPr="001E4BFC">
        <w:rPr>
          <w:b/>
          <w:color w:val="000000"/>
          <w:szCs w:val="24"/>
          <w:lang w:val="bg-BG"/>
        </w:rPr>
        <w:t>В глава втора „Физическа инфраструктура</w:t>
      </w:r>
      <w:r w:rsidRPr="001E4BFC">
        <w:rPr>
          <w:color w:val="000000"/>
          <w:szCs w:val="24"/>
          <w:lang w:val="bg-BG"/>
        </w:rPr>
        <w:t xml:space="preserve">, </w:t>
      </w:r>
      <w:r w:rsidRPr="001E4BFC">
        <w:rPr>
          <w:b/>
          <w:color w:val="000000"/>
          <w:szCs w:val="24"/>
          <w:lang w:val="bg-BG"/>
        </w:rPr>
        <w:t>предназначена за подземно разполагане на електронни съобщителни мрежи“</w:t>
      </w:r>
      <w:r w:rsidRPr="001E4BFC">
        <w:rPr>
          <w:color w:val="000000"/>
          <w:szCs w:val="24"/>
          <w:lang w:val="bg-BG"/>
        </w:rPr>
        <w:t xml:space="preserve"> в три отделни раздела са включени общите </w:t>
      </w:r>
      <w:r w:rsidR="0009500C" w:rsidRPr="001E4BFC">
        <w:rPr>
          <w:color w:val="000000"/>
          <w:szCs w:val="24"/>
          <w:lang w:val="bg-BG"/>
        </w:rPr>
        <w:t>изисквания</w:t>
      </w:r>
      <w:r w:rsidRPr="001E4BFC">
        <w:rPr>
          <w:color w:val="000000"/>
          <w:szCs w:val="24"/>
          <w:lang w:val="bg-BG"/>
        </w:rPr>
        <w:t xml:space="preserve"> за изграждането на такава инфраструктура</w:t>
      </w:r>
      <w:r w:rsidR="0009500C" w:rsidRPr="001E4BFC">
        <w:rPr>
          <w:color w:val="000000"/>
          <w:szCs w:val="24"/>
          <w:lang w:val="bg-BG"/>
        </w:rPr>
        <w:t xml:space="preserve">, а също и специалните изисквания, в зависимост от това дали </w:t>
      </w:r>
      <w:r w:rsidR="0053760C" w:rsidRPr="001E4BFC">
        <w:rPr>
          <w:color w:val="000000"/>
          <w:szCs w:val="24"/>
          <w:lang w:val="bg-BG"/>
        </w:rPr>
        <w:t>инфраструктурата</w:t>
      </w:r>
      <w:r w:rsidR="0009500C" w:rsidRPr="001E4BFC">
        <w:rPr>
          <w:color w:val="000000"/>
          <w:szCs w:val="24"/>
          <w:lang w:val="bg-BG"/>
        </w:rPr>
        <w:t xml:space="preserve"> се изгражда във или </w:t>
      </w:r>
      <w:r w:rsidR="0009500C" w:rsidRPr="001E4BFC">
        <w:rPr>
          <w:bCs/>
          <w:szCs w:val="24"/>
          <w:lang w:val="x-none"/>
        </w:rPr>
        <w:t>извън границите на урбанизираните територии</w:t>
      </w:r>
      <w:r w:rsidR="0009500C" w:rsidRPr="001E4BFC">
        <w:rPr>
          <w:bCs/>
          <w:szCs w:val="24"/>
          <w:lang w:val="bg-BG"/>
        </w:rPr>
        <w:t xml:space="preserve">. </w:t>
      </w:r>
      <w:r w:rsidR="00134A12" w:rsidRPr="001E4BFC">
        <w:rPr>
          <w:bCs/>
          <w:szCs w:val="24"/>
          <w:lang w:val="bg-BG"/>
        </w:rPr>
        <w:t>Допълнителен</w:t>
      </w:r>
      <w:r w:rsidR="0009500C" w:rsidRPr="001E4BFC">
        <w:rPr>
          <w:bCs/>
          <w:szCs w:val="24"/>
          <w:lang w:val="bg-BG"/>
        </w:rPr>
        <w:t xml:space="preserve"> четвърти раздел е посветен на </w:t>
      </w:r>
      <w:r w:rsidR="00134A12" w:rsidRPr="001E4BFC">
        <w:rPr>
          <w:bCs/>
          <w:szCs w:val="24"/>
          <w:lang w:val="bg-BG"/>
        </w:rPr>
        <w:t>м</w:t>
      </w:r>
      <w:r w:rsidR="0009500C" w:rsidRPr="001E4BFC">
        <w:rPr>
          <w:bCs/>
          <w:szCs w:val="24"/>
          <w:lang w:val="bg-BG"/>
        </w:rPr>
        <w:t>аркировка</w:t>
      </w:r>
      <w:r w:rsidR="00134A12" w:rsidRPr="001E4BFC">
        <w:rPr>
          <w:bCs/>
          <w:szCs w:val="24"/>
          <w:lang w:val="bg-BG"/>
        </w:rPr>
        <w:t>та</w:t>
      </w:r>
      <w:r w:rsidR="0009500C" w:rsidRPr="001E4BFC">
        <w:rPr>
          <w:bCs/>
          <w:szCs w:val="24"/>
          <w:lang w:val="bg-BG"/>
        </w:rPr>
        <w:t xml:space="preserve"> на физическата инфраструктура, предназначена за подземно разполагане на електронни съобщителни мрежи.</w:t>
      </w:r>
      <w:r w:rsidR="007563D1" w:rsidRPr="001E4BFC">
        <w:rPr>
          <w:bCs/>
          <w:szCs w:val="24"/>
          <w:lang w:val="bg-BG"/>
        </w:rPr>
        <w:t xml:space="preserve"> </w:t>
      </w:r>
      <w:r w:rsidR="0009500C" w:rsidRPr="001E4BFC">
        <w:rPr>
          <w:color w:val="000000"/>
          <w:szCs w:val="24"/>
          <w:lang w:val="bg-BG"/>
        </w:rPr>
        <w:t>Значителна част от разпоредбите в тази глава се придържа</w:t>
      </w:r>
      <w:r w:rsidR="00365235" w:rsidRPr="001E4BFC">
        <w:rPr>
          <w:color w:val="000000"/>
          <w:szCs w:val="24"/>
          <w:lang w:val="bg-BG"/>
        </w:rPr>
        <w:t>т към</w:t>
      </w:r>
      <w:r w:rsidR="0009500C" w:rsidRPr="001E4BFC">
        <w:rPr>
          <w:color w:val="000000"/>
          <w:szCs w:val="24"/>
          <w:lang w:val="bg-BG"/>
        </w:rPr>
        <w:t xml:space="preserve"> устойчивите правила на Наредба № 35</w:t>
      </w:r>
      <w:r w:rsidR="00365235" w:rsidRPr="001E4BFC">
        <w:rPr>
          <w:color w:val="000000"/>
          <w:szCs w:val="24"/>
          <w:lang w:val="bg-BG"/>
        </w:rPr>
        <w:t xml:space="preserve">/2012, по които има създадена технологична рутина и практика </w:t>
      </w:r>
      <w:r w:rsidR="0053760C" w:rsidRPr="001E4BFC">
        <w:rPr>
          <w:color w:val="000000"/>
          <w:szCs w:val="24"/>
          <w:lang w:val="bg-BG"/>
        </w:rPr>
        <w:t>в</w:t>
      </w:r>
      <w:r w:rsidR="00365235" w:rsidRPr="001E4BFC">
        <w:rPr>
          <w:color w:val="000000"/>
          <w:szCs w:val="24"/>
          <w:lang w:val="bg-BG"/>
        </w:rPr>
        <w:t xml:space="preserve"> правоприлагане</w:t>
      </w:r>
      <w:r w:rsidR="0053760C" w:rsidRPr="001E4BFC">
        <w:rPr>
          <w:color w:val="000000"/>
          <w:szCs w:val="24"/>
          <w:lang w:val="bg-BG"/>
        </w:rPr>
        <w:t>то</w:t>
      </w:r>
      <w:r w:rsidR="0009500C" w:rsidRPr="001E4BFC">
        <w:rPr>
          <w:color w:val="000000"/>
          <w:szCs w:val="24"/>
          <w:lang w:val="bg-BG"/>
        </w:rPr>
        <w:t xml:space="preserve">. </w:t>
      </w:r>
    </w:p>
    <w:p w:rsidR="007563D1" w:rsidRPr="001E4BFC" w:rsidRDefault="007563D1" w:rsidP="00134A12">
      <w:pPr>
        <w:spacing w:line="360" w:lineRule="auto"/>
        <w:ind w:firstLine="708"/>
        <w:jc w:val="both"/>
        <w:rPr>
          <w:szCs w:val="24"/>
          <w:lang w:val="bg-BG"/>
        </w:rPr>
      </w:pPr>
      <w:r w:rsidRPr="001E4BFC">
        <w:rPr>
          <w:color w:val="000000"/>
          <w:szCs w:val="24"/>
          <w:lang w:val="bg-BG"/>
        </w:rPr>
        <w:t xml:space="preserve">В общите изисквания е включено препращане към Закона за устройство на територията относно категоризацията на строежите по тази глава втора, тъй като категорията на строежа </w:t>
      </w:r>
      <w:r w:rsidRPr="001E4BFC">
        <w:rPr>
          <w:color w:val="000000"/>
          <w:szCs w:val="24"/>
          <w:lang w:val="bg-BG"/>
        </w:rPr>
        <w:lastRenderedPageBreak/>
        <w:t xml:space="preserve">съдържа указания кои общи правила при проектирането, изграждането и въвеждането в експлоатация са приложими по отношение на съответната инфраструктура. Посочени са </w:t>
      </w:r>
      <w:r w:rsidRPr="001E4BFC">
        <w:rPr>
          <w:szCs w:val="24"/>
          <w:lang w:val="bg-BG"/>
        </w:rPr>
        <w:t>основните елементи на този вид физическа инфраструктура: кабелни канали, инспекционни шахти, канални и защитни тръби, колектори и разпределителни кутии. Наред с възможност</w:t>
      </w:r>
      <w:r w:rsidR="001D1FFA" w:rsidRPr="001E4BFC">
        <w:rPr>
          <w:szCs w:val="24"/>
          <w:lang w:val="bg-BG"/>
        </w:rPr>
        <w:t>та</w:t>
      </w:r>
      <w:r w:rsidRPr="001E4BFC">
        <w:rPr>
          <w:szCs w:val="24"/>
          <w:lang w:val="bg-BG"/>
        </w:rPr>
        <w:t xml:space="preserve"> за успоредно полагане в сноп на повече от една защитни и канални тръби, с цел гарантиране на бъдещото ефективно използване на каналните тръби, защитните тръби могат да се полагат едновременно в празна канална тръба. При преминаване през мостове защитните елементи, включващи канални и защитни тръби, колектори и метални профили и други, продължават и извън моста до достигане на дълбочината под земята, на която е разположена електронната съобщителна мрежа, като в случай, че не са предвидени нови кабелни шахти защитната тръба се покрива с бетон.</w:t>
      </w:r>
      <w:r w:rsidR="001D1FFA" w:rsidRPr="001E4BFC">
        <w:rPr>
          <w:szCs w:val="24"/>
          <w:lang w:val="bg-BG"/>
        </w:rPr>
        <w:t xml:space="preserve"> Като цяло правилата за пресичане с други подземни съоръжения и изискването да се избягват мочурливи и блатисти терени, свлачища и замърсени с отпадъци терени</w:t>
      </w:r>
      <w:r w:rsidR="0053760C" w:rsidRPr="001E4BFC">
        <w:rPr>
          <w:szCs w:val="24"/>
          <w:lang w:val="bg-BG"/>
        </w:rPr>
        <w:t xml:space="preserve"> се запазват непроменени</w:t>
      </w:r>
      <w:r w:rsidR="001D1FFA" w:rsidRPr="001E4BFC">
        <w:rPr>
          <w:szCs w:val="24"/>
          <w:lang w:val="bg-BG"/>
        </w:rPr>
        <w:t>.</w:t>
      </w:r>
    </w:p>
    <w:p w:rsidR="001D1FFA" w:rsidRPr="001E4BFC" w:rsidRDefault="001D1FFA" w:rsidP="00134A12">
      <w:pPr>
        <w:spacing w:line="360" w:lineRule="auto"/>
        <w:ind w:firstLine="708"/>
        <w:jc w:val="both"/>
        <w:rPr>
          <w:szCs w:val="24"/>
          <w:lang w:val="x-none"/>
        </w:rPr>
      </w:pPr>
      <w:r w:rsidRPr="001E4BFC">
        <w:rPr>
          <w:szCs w:val="24"/>
          <w:lang w:val="bg-BG"/>
        </w:rPr>
        <w:t>В специалните изисквания за изграждане на физическа инфраструктура извън урбанизираните територии са възпроизведени разпоредбите на Наредба № 35</w:t>
      </w:r>
      <w:r w:rsidR="00134A12" w:rsidRPr="001E4BFC">
        <w:rPr>
          <w:szCs w:val="24"/>
          <w:lang w:val="bg-BG"/>
        </w:rPr>
        <w:t>/2012</w:t>
      </w:r>
      <w:r w:rsidRPr="001E4BFC">
        <w:rPr>
          <w:szCs w:val="24"/>
          <w:lang w:val="bg-BG"/>
        </w:rPr>
        <w:t xml:space="preserve">. Новост е правилото, че </w:t>
      </w:r>
      <w:r w:rsidRPr="001E4BFC">
        <w:rPr>
          <w:szCs w:val="24"/>
          <w:lang w:val="x-none"/>
        </w:rPr>
        <w:t xml:space="preserve">участъците, в които е невъзможно да се извърши машинен изкоп поради наличие на скални или други природни образования, подземни инженерни съоръжения или други технически пречки, минимално допустимата дълбочина на изкопа може да </w:t>
      </w:r>
      <w:r w:rsidR="0053760C" w:rsidRPr="001E4BFC">
        <w:rPr>
          <w:szCs w:val="24"/>
          <w:lang w:val="x-none"/>
        </w:rPr>
        <w:t>е 0.</w:t>
      </w:r>
      <w:r w:rsidRPr="001E4BFC">
        <w:rPr>
          <w:szCs w:val="24"/>
          <w:lang w:val="x-none"/>
        </w:rPr>
        <w:t xml:space="preserve">5 </w:t>
      </w:r>
      <w:r w:rsidRPr="001E4BFC">
        <w:rPr>
          <w:szCs w:val="24"/>
          <w:lang w:val="en-US"/>
        </w:rPr>
        <w:t>m</w:t>
      </w:r>
      <w:r w:rsidRPr="001E4BFC">
        <w:rPr>
          <w:szCs w:val="24"/>
          <w:lang w:val="x-none"/>
        </w:rPr>
        <w:t>, а ширината на изкопа да бъде съобразена с теренните и инженерно-геоложки условия на конкретния участък.</w:t>
      </w:r>
      <w:r w:rsidR="00365235" w:rsidRPr="001E4BFC">
        <w:t xml:space="preserve"> </w:t>
      </w:r>
      <w:r w:rsidR="00365235" w:rsidRPr="001E4BFC">
        <w:rPr>
          <w:szCs w:val="24"/>
          <w:lang w:val="x-none"/>
        </w:rPr>
        <w:t xml:space="preserve">Предложеният алтернативен способ за изграждане </w:t>
      </w:r>
      <w:r w:rsidR="0053760C" w:rsidRPr="001E4BFC">
        <w:rPr>
          <w:szCs w:val="24"/>
          <w:lang w:val="bg-BG"/>
        </w:rPr>
        <w:t xml:space="preserve">на </w:t>
      </w:r>
      <w:r w:rsidR="00365235" w:rsidRPr="001E4BFC">
        <w:rPr>
          <w:szCs w:val="24"/>
          <w:lang w:val="x-none"/>
        </w:rPr>
        <w:t xml:space="preserve">трасето на физическата инфраструктура е с цел </w:t>
      </w:r>
      <w:r w:rsidR="00134A12" w:rsidRPr="001E4BFC">
        <w:rPr>
          <w:szCs w:val="24"/>
          <w:lang w:val="bg-BG"/>
        </w:rPr>
        <w:t xml:space="preserve">постигане на </w:t>
      </w:r>
      <w:r w:rsidR="00365235" w:rsidRPr="001E4BFC">
        <w:rPr>
          <w:szCs w:val="24"/>
          <w:lang w:val="x-none"/>
        </w:rPr>
        <w:t xml:space="preserve">необходимата стабилност на новата физическа инфраструктура и </w:t>
      </w:r>
      <w:r w:rsidR="00365235" w:rsidRPr="001E4BFC">
        <w:rPr>
          <w:szCs w:val="24"/>
          <w:lang w:val="bg-BG"/>
        </w:rPr>
        <w:t>електронната съобщителна мрежа</w:t>
      </w:r>
      <w:r w:rsidR="00365235" w:rsidRPr="001E4BFC">
        <w:rPr>
          <w:szCs w:val="24"/>
          <w:lang w:val="x-none"/>
        </w:rPr>
        <w:t>, както и за ограничаване на възможността за възникване на риск</w:t>
      </w:r>
      <w:r w:rsidR="0053760C" w:rsidRPr="001E4BFC">
        <w:rPr>
          <w:szCs w:val="24"/>
          <w:lang w:val="bg-BG"/>
        </w:rPr>
        <w:t>ове,</w:t>
      </w:r>
      <w:r w:rsidR="00365235" w:rsidRPr="001E4BFC">
        <w:rPr>
          <w:szCs w:val="24"/>
          <w:lang w:val="x-none"/>
        </w:rPr>
        <w:t xml:space="preserve"> породен</w:t>
      </w:r>
      <w:r w:rsidR="0053760C" w:rsidRPr="001E4BFC">
        <w:rPr>
          <w:szCs w:val="24"/>
          <w:lang w:val="bg-BG"/>
        </w:rPr>
        <w:t>и</w:t>
      </w:r>
      <w:r w:rsidR="00365235" w:rsidRPr="001E4BFC">
        <w:rPr>
          <w:szCs w:val="24"/>
          <w:lang w:val="x-none"/>
        </w:rPr>
        <w:t xml:space="preserve"> от особеностите на конкретния терен.</w:t>
      </w:r>
      <w:r w:rsidR="00365235" w:rsidRPr="001E4BFC">
        <w:rPr>
          <w:szCs w:val="24"/>
          <w:lang w:val="bg-BG"/>
        </w:rPr>
        <w:t xml:space="preserve"> Така се осигурява възможност</w:t>
      </w:r>
      <w:r w:rsidR="00365235" w:rsidRPr="001E4BFC">
        <w:rPr>
          <w:szCs w:val="24"/>
          <w:lang w:val="x-none"/>
        </w:rPr>
        <w:t xml:space="preserve"> за преминаване през особено трудни, труднопроходими или рискови зони</w:t>
      </w:r>
      <w:r w:rsidR="00365235" w:rsidRPr="001E4BFC">
        <w:rPr>
          <w:szCs w:val="24"/>
          <w:lang w:val="bg-BG"/>
        </w:rPr>
        <w:t>, което отчита интереса на</w:t>
      </w:r>
      <w:r w:rsidR="0053760C" w:rsidRPr="001E4BFC">
        <w:rPr>
          <w:szCs w:val="24"/>
          <w:lang w:val="bg-BG"/>
        </w:rPr>
        <w:t xml:space="preserve"> потребителите в малки и трудно</w:t>
      </w:r>
      <w:r w:rsidR="00365235" w:rsidRPr="001E4BFC">
        <w:rPr>
          <w:szCs w:val="24"/>
          <w:lang w:val="bg-BG"/>
        </w:rPr>
        <w:t xml:space="preserve">достъпни населени места </w:t>
      </w:r>
      <w:r w:rsidR="0053760C" w:rsidRPr="001E4BFC">
        <w:rPr>
          <w:szCs w:val="24"/>
          <w:lang w:val="bg-BG"/>
        </w:rPr>
        <w:t>да имат</w:t>
      </w:r>
      <w:r w:rsidR="00365235" w:rsidRPr="001E4BFC">
        <w:rPr>
          <w:szCs w:val="24"/>
          <w:lang w:val="bg-BG"/>
        </w:rPr>
        <w:t xml:space="preserve"> достъп до качествени </w:t>
      </w:r>
      <w:r w:rsidR="00134A12" w:rsidRPr="001E4BFC">
        <w:rPr>
          <w:szCs w:val="24"/>
          <w:lang w:val="bg-BG"/>
        </w:rPr>
        <w:t xml:space="preserve">електронни съобщителни </w:t>
      </w:r>
      <w:r w:rsidR="00365235" w:rsidRPr="001E4BFC">
        <w:rPr>
          <w:szCs w:val="24"/>
          <w:lang w:val="bg-BG"/>
        </w:rPr>
        <w:t>услуги</w:t>
      </w:r>
      <w:r w:rsidR="00365235" w:rsidRPr="001E4BFC">
        <w:rPr>
          <w:szCs w:val="24"/>
          <w:lang w:val="x-none"/>
        </w:rPr>
        <w:t>.</w:t>
      </w:r>
    </w:p>
    <w:p w:rsidR="00365235" w:rsidRPr="001E4BFC" w:rsidRDefault="00365235" w:rsidP="00134A12">
      <w:pPr>
        <w:spacing w:line="360" w:lineRule="auto"/>
        <w:ind w:firstLine="708"/>
        <w:jc w:val="both"/>
        <w:rPr>
          <w:szCs w:val="24"/>
          <w:lang w:val="bg-BG"/>
        </w:rPr>
      </w:pPr>
      <w:r w:rsidRPr="001E4BFC">
        <w:rPr>
          <w:szCs w:val="24"/>
          <w:lang w:val="bg-BG"/>
        </w:rPr>
        <w:t xml:space="preserve">В специалните изисквания за изграждане на физическа инфраструктура в границите на урбанизираните територии </w:t>
      </w:r>
      <w:r w:rsidR="0053760C" w:rsidRPr="001E4BFC">
        <w:rPr>
          <w:szCs w:val="24"/>
          <w:lang w:val="bg-BG"/>
        </w:rPr>
        <w:t>наред с възпроизвеждането на</w:t>
      </w:r>
      <w:r w:rsidRPr="001E4BFC">
        <w:rPr>
          <w:szCs w:val="24"/>
          <w:lang w:val="bg-BG"/>
        </w:rPr>
        <w:t xml:space="preserve"> съответните разпоредби на Наредба № 35</w:t>
      </w:r>
      <w:r w:rsidR="00134A12" w:rsidRPr="001E4BFC">
        <w:rPr>
          <w:szCs w:val="24"/>
          <w:lang w:val="bg-BG"/>
        </w:rPr>
        <w:t>/2012</w:t>
      </w:r>
      <w:r w:rsidRPr="001E4BFC">
        <w:rPr>
          <w:szCs w:val="24"/>
          <w:lang w:val="bg-BG"/>
        </w:rPr>
        <w:t>, са включени правила, отчитащи развитието на технологиите за изграждане на инфраструктура и разполагане на мрежи.</w:t>
      </w:r>
      <w:r w:rsidRPr="001E4BFC">
        <w:t xml:space="preserve"> </w:t>
      </w:r>
      <w:r w:rsidRPr="001E4BFC">
        <w:rPr>
          <w:szCs w:val="24"/>
          <w:lang w:val="bg-BG"/>
        </w:rPr>
        <w:t xml:space="preserve">Така при използването на специализирани технологии за полагане (плитък </w:t>
      </w:r>
      <w:proofErr w:type="spellStart"/>
      <w:r w:rsidRPr="001E4BFC">
        <w:rPr>
          <w:szCs w:val="24"/>
          <w:lang w:val="bg-BG"/>
        </w:rPr>
        <w:t>микроизкоп</w:t>
      </w:r>
      <w:proofErr w:type="spellEnd"/>
      <w:r w:rsidRPr="001E4BFC">
        <w:rPr>
          <w:szCs w:val="24"/>
          <w:lang w:val="bg-BG"/>
        </w:rPr>
        <w:t xml:space="preserve"> или други подобни) и при влагане на кабели и защитни тръби със засилена механична защита, които осигуряват еквивалентно ниво на </w:t>
      </w:r>
      <w:r w:rsidRPr="001E4BFC">
        <w:rPr>
          <w:szCs w:val="24"/>
          <w:lang w:val="bg-BG"/>
        </w:rPr>
        <w:lastRenderedPageBreak/>
        <w:t>устойчивост и безопасност</w:t>
      </w:r>
      <w:r w:rsidR="004C7AB9" w:rsidRPr="001E4BFC">
        <w:rPr>
          <w:szCs w:val="24"/>
          <w:lang w:val="bg-BG"/>
        </w:rPr>
        <w:t>,</w:t>
      </w:r>
      <w:r w:rsidRPr="001E4BFC">
        <w:rPr>
          <w:szCs w:val="24"/>
          <w:lang w:val="bg-BG"/>
        </w:rPr>
        <w:t xml:space="preserve"> се допуска се намаляване на минималната дълбочина на земното покритие. </w:t>
      </w:r>
    </w:p>
    <w:p w:rsidR="00365235" w:rsidRPr="001E4BFC" w:rsidRDefault="00365235" w:rsidP="00134A12">
      <w:pPr>
        <w:autoSpaceDE w:val="0"/>
        <w:autoSpaceDN w:val="0"/>
        <w:spacing w:before="60" w:after="60" w:line="360" w:lineRule="auto"/>
        <w:ind w:firstLine="567"/>
        <w:jc w:val="both"/>
        <w:rPr>
          <w:rFonts w:eastAsia="Calibri"/>
          <w:szCs w:val="24"/>
          <w:lang w:val="bg-BG"/>
        </w:rPr>
      </w:pPr>
      <w:r w:rsidRPr="001E4BFC">
        <w:rPr>
          <w:szCs w:val="24"/>
          <w:lang w:val="bg-BG"/>
        </w:rPr>
        <w:t xml:space="preserve">По отношение на маркировката на този вид физическа инфраструктура е регламентирано, че тя включва </w:t>
      </w:r>
      <w:r w:rsidRPr="001E4BFC">
        <w:rPr>
          <w:rFonts w:eastAsia="Calibri"/>
          <w:szCs w:val="24"/>
          <w:lang w:val="x-none"/>
        </w:rPr>
        <w:t xml:space="preserve">директно маркиране върху повърхността на тръбната физическа инфраструктура, наземни </w:t>
      </w:r>
      <w:proofErr w:type="spellStart"/>
      <w:r w:rsidRPr="001E4BFC">
        <w:rPr>
          <w:rFonts w:eastAsia="Calibri"/>
          <w:szCs w:val="24"/>
          <w:lang w:val="x-none"/>
        </w:rPr>
        <w:t>репери</w:t>
      </w:r>
      <w:proofErr w:type="spellEnd"/>
      <w:r w:rsidRPr="001E4BFC">
        <w:rPr>
          <w:rFonts w:eastAsia="Calibri"/>
          <w:szCs w:val="24"/>
          <w:lang w:val="x-none"/>
        </w:rPr>
        <w:t>, активни или пасивни подземни честотни маркери и положена в изкопа сигнална лента</w:t>
      </w:r>
      <w:r w:rsidRPr="001E4BFC">
        <w:rPr>
          <w:rFonts w:eastAsia="Calibri"/>
          <w:szCs w:val="24"/>
          <w:lang w:val="bg-BG"/>
        </w:rPr>
        <w:t>, като така се отчитат новостите в технологиите.</w:t>
      </w:r>
      <w:r w:rsidRPr="001E4BFC">
        <w:rPr>
          <w:rFonts w:eastAsia="Calibri"/>
          <w:szCs w:val="24"/>
        </w:rPr>
        <w:t xml:space="preserve"> </w:t>
      </w:r>
      <w:r w:rsidRPr="001E4BFC">
        <w:rPr>
          <w:rFonts w:eastAsia="Calibri"/>
          <w:szCs w:val="24"/>
          <w:lang w:val="bg-BG"/>
        </w:rPr>
        <w:t>Директното маркиране се извършва чрез изписване на надпис, код или символ директно върху повърхността, без да се поставя допълнителен етикет и/или чрез гравиране, щамповане, печат и по друг начин, осигуряващ трайна и четлива видима маркировка. Минималната информация, която се маркира</w:t>
      </w:r>
      <w:r w:rsidR="002D59B7" w:rsidRPr="001E4BFC">
        <w:rPr>
          <w:rFonts w:eastAsia="Calibri"/>
          <w:szCs w:val="24"/>
          <w:lang w:val="bg-BG"/>
        </w:rPr>
        <w:t xml:space="preserve"> директно,</w:t>
      </w:r>
      <w:r w:rsidRPr="001E4BFC">
        <w:rPr>
          <w:rFonts w:eastAsia="Calibri"/>
          <w:szCs w:val="24"/>
          <w:lang w:val="bg-BG"/>
        </w:rPr>
        <w:t xml:space="preserve"> включва данни за годината на производство, наименованието на производителя, данни за собственика на тръбната физическа инфраструктура</w:t>
      </w:r>
      <w:r w:rsidR="00134A12" w:rsidRPr="001E4BFC">
        <w:rPr>
          <w:rFonts w:eastAsia="Calibri"/>
          <w:szCs w:val="24"/>
          <w:lang w:val="bg-BG"/>
        </w:rPr>
        <w:t xml:space="preserve"> и </w:t>
      </w:r>
      <w:r w:rsidRPr="001E4BFC">
        <w:rPr>
          <w:rFonts w:eastAsia="Calibri"/>
          <w:szCs w:val="24"/>
          <w:lang w:val="bg-BG"/>
        </w:rPr>
        <w:t xml:space="preserve">метър маркер. </w:t>
      </w:r>
      <w:r w:rsidR="00134A12" w:rsidRPr="001E4BFC">
        <w:rPr>
          <w:rFonts w:eastAsia="Calibri"/>
          <w:szCs w:val="24"/>
          <w:lang w:val="bg-BG"/>
        </w:rPr>
        <w:t>Така се</w:t>
      </w:r>
      <w:r w:rsidRPr="001E4BFC">
        <w:rPr>
          <w:rFonts w:eastAsia="Calibri"/>
          <w:szCs w:val="24"/>
          <w:lang w:val="bg-BG"/>
        </w:rPr>
        <w:t xml:space="preserve"> уточнява необходимата информация, позволяваща идентифиц</w:t>
      </w:r>
      <w:r w:rsidR="002D59B7" w:rsidRPr="001E4BFC">
        <w:rPr>
          <w:rFonts w:eastAsia="Calibri"/>
          <w:szCs w:val="24"/>
          <w:lang w:val="bg-BG"/>
        </w:rPr>
        <w:t>иране на собственика на мрежата</w:t>
      </w:r>
      <w:r w:rsidRPr="001E4BFC">
        <w:rPr>
          <w:rFonts w:eastAsia="Calibri"/>
          <w:szCs w:val="24"/>
          <w:lang w:val="bg-BG"/>
        </w:rPr>
        <w:t xml:space="preserve"> и предоставяща данни за самата мрежа,</w:t>
      </w:r>
      <w:r w:rsidR="0053760C" w:rsidRPr="001E4BFC">
        <w:rPr>
          <w:rFonts w:eastAsia="Calibri"/>
          <w:szCs w:val="24"/>
          <w:lang w:val="bg-BG"/>
        </w:rPr>
        <w:t xml:space="preserve"> като са дадени </w:t>
      </w:r>
      <w:r w:rsidR="002D59B7" w:rsidRPr="001E4BFC">
        <w:rPr>
          <w:rFonts w:eastAsia="Calibri"/>
          <w:szCs w:val="24"/>
          <w:lang w:val="bg-BG"/>
        </w:rPr>
        <w:t>алтернативи за нейното поставяне</w:t>
      </w:r>
      <w:r w:rsidR="00134A12" w:rsidRPr="001E4BFC">
        <w:rPr>
          <w:rFonts w:eastAsia="Calibri"/>
          <w:szCs w:val="24"/>
          <w:lang w:val="bg-BG"/>
        </w:rPr>
        <w:t xml:space="preserve"> с цел осигуряването на</w:t>
      </w:r>
      <w:r w:rsidR="002D59B7" w:rsidRPr="001E4BFC">
        <w:rPr>
          <w:rFonts w:eastAsia="Calibri"/>
          <w:szCs w:val="24"/>
          <w:lang w:val="bg-BG"/>
        </w:rPr>
        <w:t xml:space="preserve"> гъвкавост, надеждност и икономичност при маркирането.</w:t>
      </w:r>
    </w:p>
    <w:p w:rsidR="00652BCE" w:rsidRPr="001E4BFC" w:rsidRDefault="002D59B7" w:rsidP="00EC70C5">
      <w:pPr>
        <w:autoSpaceDE w:val="0"/>
        <w:autoSpaceDN w:val="0"/>
        <w:spacing w:before="60" w:after="60" w:line="360" w:lineRule="auto"/>
        <w:ind w:firstLine="567"/>
        <w:jc w:val="both"/>
        <w:rPr>
          <w:szCs w:val="24"/>
          <w:lang w:val="bg-BG"/>
        </w:rPr>
      </w:pPr>
      <w:r w:rsidRPr="001E4BFC">
        <w:rPr>
          <w:rFonts w:eastAsia="Calibri"/>
          <w:szCs w:val="24"/>
          <w:lang w:val="bg-BG"/>
        </w:rPr>
        <w:t xml:space="preserve">Изрично е предвидена възможността за използването на сигнална предупредителна лента с метални елементи като валиден способ за пасивно маркиране на подземното трасе, когато липсват видими </w:t>
      </w:r>
      <w:proofErr w:type="spellStart"/>
      <w:r w:rsidRPr="001E4BFC">
        <w:rPr>
          <w:rFonts w:eastAsia="Calibri"/>
          <w:szCs w:val="24"/>
          <w:lang w:val="bg-BG"/>
        </w:rPr>
        <w:t>реперни</w:t>
      </w:r>
      <w:proofErr w:type="spellEnd"/>
      <w:r w:rsidRPr="001E4BFC">
        <w:rPr>
          <w:rFonts w:eastAsia="Calibri"/>
          <w:szCs w:val="24"/>
          <w:lang w:val="bg-BG"/>
        </w:rPr>
        <w:t xml:space="preserve"> знаци в близост. Съществува възможност в сигналната лента да бъдат интегрирани метални елементи – това на практика превръща лентата в продължителен пасивен маркер, който позволява откриване на трасето с детектор. </w:t>
      </w:r>
      <w:r w:rsidRPr="001E4BFC">
        <w:rPr>
          <w:szCs w:val="24"/>
          <w:lang w:val="bg-BG"/>
        </w:rPr>
        <w:t xml:space="preserve">Когато трасето на физическата инфраструктура, предназначена за подземно разполагане на електронни съобщителни мрежи, преминава през земеделски земи, </w:t>
      </w:r>
      <w:proofErr w:type="spellStart"/>
      <w:r w:rsidRPr="001E4BFC">
        <w:rPr>
          <w:szCs w:val="24"/>
          <w:lang w:val="bg-BG"/>
        </w:rPr>
        <w:t>реперите</w:t>
      </w:r>
      <w:proofErr w:type="spellEnd"/>
      <w:r w:rsidRPr="001E4BFC">
        <w:rPr>
          <w:szCs w:val="24"/>
          <w:lang w:val="bg-BG"/>
        </w:rPr>
        <w:t xml:space="preserve"> се поставят извън тях на подходящо място в обхвата на пътя. </w:t>
      </w:r>
      <w:r w:rsidR="00134A12" w:rsidRPr="001E4BFC">
        <w:rPr>
          <w:rFonts w:eastAsia="Calibri"/>
          <w:szCs w:val="24"/>
          <w:lang w:val="bg-BG"/>
        </w:rPr>
        <w:t xml:space="preserve">Когато физическата инфраструктура, предназначена за подземно разполагане на електронни съобщителни мрежи, се намира на разстояние надвишаващо 20 </w:t>
      </w:r>
      <w:r w:rsidR="004A2525" w:rsidRPr="001E4BFC">
        <w:rPr>
          <w:szCs w:val="24"/>
          <w:lang w:val="bg-BG"/>
        </w:rPr>
        <w:t>m</w:t>
      </w:r>
      <w:r w:rsidR="00134A12" w:rsidRPr="001E4BFC">
        <w:rPr>
          <w:rFonts w:eastAsia="Calibri"/>
          <w:szCs w:val="24"/>
          <w:lang w:val="bg-BG"/>
        </w:rPr>
        <w:t xml:space="preserve"> от осевата линия на пътя, се поставят дублиращи </w:t>
      </w:r>
      <w:proofErr w:type="spellStart"/>
      <w:r w:rsidR="00134A12" w:rsidRPr="001E4BFC">
        <w:rPr>
          <w:rFonts w:eastAsia="Calibri"/>
          <w:szCs w:val="24"/>
          <w:lang w:val="bg-BG"/>
        </w:rPr>
        <w:t>репери</w:t>
      </w:r>
      <w:proofErr w:type="spellEnd"/>
      <w:r w:rsidR="00134A12" w:rsidRPr="001E4BFC">
        <w:rPr>
          <w:rFonts w:eastAsia="Calibri"/>
          <w:szCs w:val="24"/>
          <w:lang w:val="bg-BG"/>
        </w:rPr>
        <w:t xml:space="preserve">. </w:t>
      </w:r>
      <w:r w:rsidR="00EC70C5" w:rsidRPr="001E4BFC">
        <w:rPr>
          <w:szCs w:val="24"/>
          <w:lang w:val="bg-BG"/>
        </w:rPr>
        <w:t xml:space="preserve">В случаите на </w:t>
      </w:r>
      <w:r w:rsidRPr="001E4BFC">
        <w:rPr>
          <w:szCs w:val="24"/>
          <w:lang w:val="bg-BG"/>
        </w:rPr>
        <w:t>трасе</w:t>
      </w:r>
      <w:r w:rsidR="00EC70C5" w:rsidRPr="001E4BFC">
        <w:rPr>
          <w:szCs w:val="24"/>
          <w:lang w:val="bg-BG"/>
        </w:rPr>
        <w:t xml:space="preserve">, </w:t>
      </w:r>
      <w:r w:rsidRPr="001E4BFC">
        <w:rPr>
          <w:szCs w:val="24"/>
          <w:lang w:val="bg-BG"/>
        </w:rPr>
        <w:t>отдалечено от пътя на повече от 50 m, маркировката се дублира и по трасето на съобщителния кабел с активни или пасивни маркери, включително чрез полагане на сигнална лента с интегрирани метални елементи</w:t>
      </w:r>
      <w:r w:rsidRPr="001E4BFC">
        <w:rPr>
          <w:rFonts w:eastAsia="Calibri"/>
          <w:szCs w:val="24"/>
          <w:lang w:val="bg-BG"/>
        </w:rPr>
        <w:t xml:space="preserve">. </w:t>
      </w:r>
      <w:r w:rsidR="00EC70C5" w:rsidRPr="001E4BFC">
        <w:rPr>
          <w:rFonts w:eastAsia="Calibri"/>
          <w:szCs w:val="24"/>
          <w:lang w:val="bg-BG"/>
        </w:rPr>
        <w:t>Така</w:t>
      </w:r>
      <w:r w:rsidRPr="001E4BFC">
        <w:rPr>
          <w:rFonts w:eastAsia="Calibri"/>
          <w:szCs w:val="24"/>
          <w:lang w:val="bg-BG"/>
        </w:rPr>
        <w:t xml:space="preserve"> се избягва необходимостта от неикономични и трудоемки решения</w:t>
      </w:r>
      <w:r w:rsidR="00134A12" w:rsidRPr="001E4BFC">
        <w:rPr>
          <w:rFonts w:eastAsia="Calibri"/>
          <w:szCs w:val="24"/>
          <w:lang w:val="bg-BG"/>
        </w:rPr>
        <w:t>, като същевременно се гарантира надлежно маркиране на физическата инфраструктура и разположената в нея електронна съобщителна мрежа)</w:t>
      </w:r>
      <w:r w:rsidR="004C7AB9" w:rsidRPr="001E4BFC">
        <w:rPr>
          <w:rFonts w:eastAsia="Calibri"/>
          <w:szCs w:val="24"/>
          <w:lang w:val="bg-BG"/>
        </w:rPr>
        <w:t>.</w:t>
      </w:r>
      <w:r w:rsidR="00134A12" w:rsidRPr="001E4BFC">
        <w:rPr>
          <w:rFonts w:eastAsia="Calibri"/>
          <w:szCs w:val="24"/>
          <w:lang w:val="bg-BG"/>
        </w:rPr>
        <w:t xml:space="preserve"> </w:t>
      </w:r>
      <w:r w:rsidR="00652BCE" w:rsidRPr="001E4BFC">
        <w:rPr>
          <w:rFonts w:eastAsia="Calibri"/>
          <w:szCs w:val="24"/>
          <w:lang w:val="bg-BG"/>
        </w:rPr>
        <w:t>Новост е, че ф</w:t>
      </w:r>
      <w:r w:rsidR="00134A12" w:rsidRPr="001E4BFC">
        <w:rPr>
          <w:rFonts w:eastAsia="Calibri"/>
          <w:szCs w:val="24"/>
          <w:lang w:val="bg-BG"/>
        </w:rPr>
        <w:t>изическата инфраструктура, предназначена за подземно разполагане на оптични електронни съобщителни мрежи, може да се означава с активни или па</w:t>
      </w:r>
      <w:r w:rsidR="00652BCE" w:rsidRPr="001E4BFC">
        <w:rPr>
          <w:rFonts w:eastAsia="Calibri"/>
          <w:szCs w:val="24"/>
          <w:lang w:val="bg-BG"/>
        </w:rPr>
        <w:t>сивни подземни честотни маркери</w:t>
      </w:r>
      <w:r w:rsidR="00EC70C5" w:rsidRPr="001E4BFC">
        <w:rPr>
          <w:rFonts w:eastAsia="Calibri"/>
          <w:szCs w:val="24"/>
          <w:lang w:val="bg-BG"/>
        </w:rPr>
        <w:t xml:space="preserve">. </w:t>
      </w:r>
      <w:r w:rsidR="00652BCE" w:rsidRPr="001E4BFC">
        <w:rPr>
          <w:rFonts w:eastAsia="Calibri"/>
          <w:szCs w:val="24"/>
          <w:lang w:val="bg-BG"/>
        </w:rPr>
        <w:t>Честотата на разполагане на маркерите може да е различна при</w:t>
      </w:r>
      <w:r w:rsidR="00EC70C5" w:rsidRPr="001E4BFC">
        <w:rPr>
          <w:rFonts w:eastAsia="Calibri"/>
          <w:szCs w:val="24"/>
          <w:lang w:val="bg-BG"/>
        </w:rPr>
        <w:t xml:space="preserve"> пресичане на път, канал, река, проводи и/или друга техническа инфраструктура, както и </w:t>
      </w:r>
      <w:r w:rsidR="00652BCE" w:rsidRPr="001E4BFC">
        <w:rPr>
          <w:rFonts w:eastAsia="Calibri"/>
          <w:szCs w:val="24"/>
          <w:lang w:val="bg-BG"/>
        </w:rPr>
        <w:t xml:space="preserve">с оглед </w:t>
      </w:r>
      <w:r w:rsidR="00EC70C5" w:rsidRPr="001E4BFC">
        <w:rPr>
          <w:rFonts w:eastAsia="Calibri"/>
          <w:szCs w:val="24"/>
          <w:lang w:val="bg-BG"/>
        </w:rPr>
        <w:lastRenderedPageBreak/>
        <w:t>особеностите на терена. Важно е да се отбележи, че м</w:t>
      </w:r>
      <w:r w:rsidR="00134A12" w:rsidRPr="001E4BFC">
        <w:rPr>
          <w:rFonts w:eastAsia="Calibri"/>
          <w:szCs w:val="24"/>
          <w:lang w:val="bg-BG"/>
        </w:rPr>
        <w:t>естата на активните или пасивните подземни честотни маркери се нанасят на екзекутивните чертежи</w:t>
      </w:r>
      <w:r w:rsidR="00017098">
        <w:rPr>
          <w:rFonts w:eastAsia="Calibri"/>
          <w:szCs w:val="24"/>
          <w:lang w:val="bg-BG"/>
        </w:rPr>
        <w:t xml:space="preserve"> или се изготвя нарочна справка с </w:t>
      </w:r>
      <w:proofErr w:type="spellStart"/>
      <w:r w:rsidR="00017098">
        <w:rPr>
          <w:rFonts w:eastAsia="Calibri"/>
          <w:szCs w:val="24"/>
          <w:lang w:val="bg-BG"/>
        </w:rPr>
        <w:t>координетите</w:t>
      </w:r>
      <w:proofErr w:type="spellEnd"/>
      <w:r w:rsidR="00652BCE" w:rsidRPr="001E4BFC">
        <w:rPr>
          <w:rFonts w:eastAsia="Calibri"/>
          <w:szCs w:val="24"/>
          <w:lang w:val="bg-BG"/>
        </w:rPr>
        <w:t>, което осигурява допълнителна проследяемост</w:t>
      </w:r>
      <w:r w:rsidR="00134A12" w:rsidRPr="001E4BFC">
        <w:rPr>
          <w:rFonts w:eastAsia="Calibri"/>
          <w:szCs w:val="24"/>
          <w:lang w:val="bg-BG"/>
        </w:rPr>
        <w:t>.</w:t>
      </w:r>
      <w:r w:rsidR="00EC70C5" w:rsidRPr="001E4BFC">
        <w:rPr>
          <w:rFonts w:eastAsia="Calibri"/>
          <w:szCs w:val="24"/>
          <w:lang w:val="bg-BG"/>
        </w:rPr>
        <w:t xml:space="preserve"> </w:t>
      </w:r>
      <w:r w:rsidR="00134A12" w:rsidRPr="001E4BFC">
        <w:rPr>
          <w:szCs w:val="24"/>
          <w:lang w:val="bg-BG"/>
        </w:rPr>
        <w:t>Сигнална</w:t>
      </w:r>
      <w:r w:rsidR="00652BCE" w:rsidRPr="001E4BFC">
        <w:rPr>
          <w:szCs w:val="24"/>
          <w:lang w:val="bg-BG"/>
        </w:rPr>
        <w:t>та</w:t>
      </w:r>
      <w:r w:rsidR="00134A12" w:rsidRPr="001E4BFC">
        <w:rPr>
          <w:szCs w:val="24"/>
          <w:lang w:val="bg-BG"/>
        </w:rPr>
        <w:t xml:space="preserve"> лента </w:t>
      </w:r>
      <w:r w:rsidR="00652BCE" w:rsidRPr="001E4BFC">
        <w:rPr>
          <w:szCs w:val="24"/>
          <w:lang w:val="bg-BG"/>
        </w:rPr>
        <w:t xml:space="preserve">като традиционен способ за маркиране </w:t>
      </w:r>
      <w:r w:rsidR="00EC70C5" w:rsidRPr="001E4BFC">
        <w:rPr>
          <w:szCs w:val="24"/>
          <w:lang w:val="bg-BG"/>
        </w:rPr>
        <w:t>има за цел да предостави информация, с оглед на</w:t>
      </w:r>
      <w:r w:rsidR="00134A12" w:rsidRPr="001E4BFC">
        <w:rPr>
          <w:szCs w:val="24"/>
          <w:lang w:val="bg-BG"/>
        </w:rPr>
        <w:t xml:space="preserve"> последващи изкопни работи</w:t>
      </w:r>
      <w:r w:rsidR="00EC70C5" w:rsidRPr="001E4BFC">
        <w:rPr>
          <w:szCs w:val="24"/>
          <w:lang w:val="bg-BG"/>
        </w:rPr>
        <w:t>,</w:t>
      </w:r>
      <w:r w:rsidR="00134A12" w:rsidRPr="001E4BFC">
        <w:rPr>
          <w:szCs w:val="24"/>
          <w:lang w:val="bg-BG"/>
        </w:rPr>
        <w:t xml:space="preserve"> за наличие на физическа инфраструктура, предназначена за подземно разполагане на електронни съобщителни мрежи.</w:t>
      </w:r>
      <w:r w:rsidR="00EC70C5" w:rsidRPr="001E4BFC">
        <w:rPr>
          <w:szCs w:val="24"/>
          <w:lang w:val="bg-BG"/>
        </w:rPr>
        <w:t xml:space="preserve"> </w:t>
      </w:r>
    </w:p>
    <w:p w:rsidR="00134A12" w:rsidRPr="001E4BFC" w:rsidRDefault="00652BCE" w:rsidP="00EC70C5">
      <w:pPr>
        <w:autoSpaceDE w:val="0"/>
        <w:autoSpaceDN w:val="0"/>
        <w:spacing w:before="60" w:after="60" w:line="360" w:lineRule="auto"/>
        <w:ind w:firstLine="567"/>
        <w:jc w:val="both"/>
        <w:rPr>
          <w:szCs w:val="24"/>
          <w:lang w:val="bg-BG"/>
        </w:rPr>
      </w:pPr>
      <w:r w:rsidRPr="001E4BFC">
        <w:rPr>
          <w:szCs w:val="24"/>
          <w:lang w:val="bg-BG"/>
        </w:rPr>
        <w:t>Предлаганите правила отчитат</w:t>
      </w:r>
      <w:r w:rsidR="00EC70C5" w:rsidRPr="001E4BFC">
        <w:rPr>
          <w:szCs w:val="24"/>
          <w:lang w:val="bg-BG"/>
        </w:rPr>
        <w:t xml:space="preserve"> стремеж</w:t>
      </w:r>
      <w:r w:rsidRPr="001E4BFC">
        <w:rPr>
          <w:szCs w:val="24"/>
          <w:lang w:val="bg-BG"/>
        </w:rPr>
        <w:t>а</w:t>
      </w:r>
      <w:r w:rsidR="00EC70C5" w:rsidRPr="001E4BFC">
        <w:rPr>
          <w:szCs w:val="24"/>
          <w:lang w:val="bg-BG"/>
        </w:rPr>
        <w:t xml:space="preserve"> да се избегне засягане на електронни съобщителни работи и интерес</w:t>
      </w:r>
      <w:r w:rsidRPr="001E4BFC">
        <w:rPr>
          <w:szCs w:val="24"/>
          <w:lang w:val="bg-BG"/>
        </w:rPr>
        <w:t>а</w:t>
      </w:r>
      <w:r w:rsidR="00EC70C5" w:rsidRPr="001E4BFC">
        <w:rPr>
          <w:szCs w:val="24"/>
          <w:lang w:val="bg-BG"/>
        </w:rPr>
        <w:t xml:space="preserve"> на потребителите от </w:t>
      </w:r>
      <w:r w:rsidR="0053760C" w:rsidRPr="001E4BFC">
        <w:rPr>
          <w:szCs w:val="24"/>
          <w:lang w:val="bg-BG"/>
        </w:rPr>
        <w:t xml:space="preserve">електронни съобщителни услуги с добро качество, </w:t>
      </w:r>
      <w:r w:rsidR="00EC70C5" w:rsidRPr="001E4BFC">
        <w:rPr>
          <w:szCs w:val="24"/>
          <w:lang w:val="bg-BG"/>
        </w:rPr>
        <w:t xml:space="preserve">несмущавани </w:t>
      </w:r>
      <w:r w:rsidRPr="001E4BFC">
        <w:rPr>
          <w:szCs w:val="24"/>
          <w:lang w:val="bg-BG"/>
        </w:rPr>
        <w:t xml:space="preserve">от </w:t>
      </w:r>
      <w:r w:rsidR="0053760C" w:rsidRPr="001E4BFC">
        <w:rPr>
          <w:szCs w:val="24"/>
          <w:lang w:val="bg-BG"/>
        </w:rPr>
        <w:t xml:space="preserve">чести </w:t>
      </w:r>
      <w:r w:rsidRPr="001E4BFC">
        <w:rPr>
          <w:szCs w:val="24"/>
          <w:lang w:val="bg-BG"/>
        </w:rPr>
        <w:t xml:space="preserve">повреди </w:t>
      </w:r>
      <w:r w:rsidR="0053760C" w:rsidRPr="001E4BFC">
        <w:rPr>
          <w:szCs w:val="24"/>
          <w:lang w:val="bg-BG"/>
        </w:rPr>
        <w:t xml:space="preserve">в </w:t>
      </w:r>
      <w:r w:rsidRPr="001E4BFC">
        <w:rPr>
          <w:szCs w:val="24"/>
          <w:lang w:val="bg-BG"/>
        </w:rPr>
        <w:t>мрежата</w:t>
      </w:r>
      <w:r w:rsidR="00EC70C5" w:rsidRPr="001E4BFC">
        <w:rPr>
          <w:szCs w:val="24"/>
          <w:lang w:val="bg-BG"/>
        </w:rPr>
        <w:t>.</w:t>
      </w:r>
    </w:p>
    <w:p w:rsidR="002D59B7" w:rsidRPr="001E4BFC" w:rsidRDefault="00EC70C5" w:rsidP="00134A12">
      <w:pPr>
        <w:autoSpaceDE w:val="0"/>
        <w:autoSpaceDN w:val="0"/>
        <w:spacing w:before="60" w:after="60" w:line="360" w:lineRule="auto"/>
        <w:ind w:firstLine="567"/>
        <w:jc w:val="both"/>
        <w:rPr>
          <w:rFonts w:eastAsia="Calibri"/>
          <w:szCs w:val="24"/>
          <w:lang w:val="bg-BG"/>
        </w:rPr>
      </w:pPr>
      <w:r w:rsidRPr="001E4BFC">
        <w:rPr>
          <w:rFonts w:eastAsia="Calibri"/>
          <w:b/>
          <w:szCs w:val="24"/>
          <w:lang w:val="bg-BG"/>
        </w:rPr>
        <w:t>В глава трета „Физическа инфраструктура, предназначена за въздушно разполагане на електронни съобщителни мрежи“</w:t>
      </w:r>
      <w:r w:rsidR="0053760C" w:rsidRPr="001E4BFC">
        <w:rPr>
          <w:rFonts w:eastAsia="Calibri"/>
          <w:szCs w:val="24"/>
          <w:lang w:val="bg-BG"/>
        </w:rPr>
        <w:t>,</w:t>
      </w:r>
      <w:r w:rsidRPr="001E4BFC">
        <w:rPr>
          <w:rFonts w:eastAsia="Calibri"/>
          <w:szCs w:val="24"/>
          <w:lang w:val="bg-BG"/>
        </w:rPr>
        <w:t xml:space="preserve"> наред с пресъздадените разпоредби на Наредба 35/2012</w:t>
      </w:r>
      <w:r w:rsidR="0053760C" w:rsidRPr="001E4BFC">
        <w:rPr>
          <w:rFonts w:eastAsia="Calibri"/>
          <w:szCs w:val="24"/>
          <w:lang w:val="bg-BG"/>
        </w:rPr>
        <w:t>,</w:t>
      </w:r>
      <w:r w:rsidRPr="001E4BFC">
        <w:rPr>
          <w:rFonts w:eastAsia="Calibri"/>
          <w:szCs w:val="24"/>
          <w:lang w:val="bg-BG"/>
        </w:rPr>
        <w:t xml:space="preserve"> </w:t>
      </w:r>
      <w:r w:rsidR="00E1032C" w:rsidRPr="001E4BFC">
        <w:rPr>
          <w:rFonts w:eastAsia="Calibri"/>
          <w:szCs w:val="24"/>
          <w:lang w:val="bg-BG"/>
        </w:rPr>
        <w:t>е направено препращане към ЗУТ относно категоризацията на строежите на тази инфраструктура, което има за</w:t>
      </w:r>
      <w:r w:rsidRPr="001E4BFC">
        <w:rPr>
          <w:rFonts w:eastAsia="Calibri"/>
          <w:szCs w:val="24"/>
          <w:lang w:val="bg-BG"/>
        </w:rPr>
        <w:t xml:space="preserve"> цел яснота и избягване на спорове при правоприлагането. С</w:t>
      </w:r>
      <w:r w:rsidR="00E1032C" w:rsidRPr="001E4BFC">
        <w:rPr>
          <w:rFonts w:eastAsia="Calibri"/>
          <w:szCs w:val="24"/>
          <w:lang w:val="bg-BG"/>
        </w:rPr>
        <w:t>ъщо така с</w:t>
      </w:r>
      <w:r w:rsidRPr="001E4BFC">
        <w:rPr>
          <w:rFonts w:eastAsia="Calibri"/>
          <w:szCs w:val="24"/>
          <w:lang w:val="bg-BG"/>
        </w:rPr>
        <w:t>истематично са включени правилата за маркиране на този вид инфраструктура.</w:t>
      </w:r>
    </w:p>
    <w:p w:rsidR="00E1032C" w:rsidRPr="001E4BFC" w:rsidRDefault="00E1032C" w:rsidP="00134A12">
      <w:pPr>
        <w:autoSpaceDE w:val="0"/>
        <w:autoSpaceDN w:val="0"/>
        <w:spacing w:before="60" w:after="60" w:line="360" w:lineRule="auto"/>
        <w:ind w:firstLine="567"/>
        <w:jc w:val="both"/>
        <w:rPr>
          <w:rFonts w:eastAsia="Calibri"/>
          <w:szCs w:val="24"/>
          <w:lang w:val="bg-BG"/>
        </w:rPr>
      </w:pPr>
      <w:r w:rsidRPr="001E4BFC">
        <w:rPr>
          <w:rFonts w:eastAsia="Calibri"/>
          <w:szCs w:val="24"/>
          <w:lang w:val="bg-BG"/>
        </w:rPr>
        <w:t xml:space="preserve">В </w:t>
      </w:r>
      <w:r w:rsidRPr="001E4BFC">
        <w:rPr>
          <w:rFonts w:eastAsia="Calibri"/>
          <w:b/>
          <w:szCs w:val="24"/>
          <w:lang w:val="bg-BG"/>
        </w:rPr>
        <w:t>глава четвърта „Физическа инфраструктура, предназначена за разполагане на приемно-предавателни станции“</w:t>
      </w:r>
      <w:r w:rsidRPr="001E4BFC">
        <w:rPr>
          <w:rFonts w:eastAsia="Calibri"/>
          <w:szCs w:val="24"/>
          <w:lang w:val="bg-BG"/>
        </w:rPr>
        <w:t xml:space="preserve"> в четири раздела са регламентирани общите и специални изисквания за изграждането на този тип инфраструктура, в зависимост от това дали става въпрос за стълбове, кули и друга физическа инфраструктура, трайно прикрепена към терена чрез бетонов фундамент, физическа инфраструктура върху покривните пространства, на фасади или други открити площи на сгради или вътре в тях или друга физическа инфраструктура за разполагане на електронни съобщителни мрежи в урбанизирани и </w:t>
      </w:r>
      <w:proofErr w:type="spellStart"/>
      <w:r w:rsidRPr="001E4BFC">
        <w:rPr>
          <w:rFonts w:eastAsia="Calibri"/>
          <w:szCs w:val="24"/>
          <w:lang w:val="bg-BG"/>
        </w:rPr>
        <w:t>неурбанизирани</w:t>
      </w:r>
      <w:proofErr w:type="spellEnd"/>
      <w:r w:rsidRPr="001E4BFC">
        <w:rPr>
          <w:rFonts w:eastAsia="Calibri"/>
          <w:szCs w:val="24"/>
          <w:lang w:val="bg-BG"/>
        </w:rPr>
        <w:t xml:space="preserve"> територии</w:t>
      </w:r>
      <w:r w:rsidR="0009390F" w:rsidRPr="001E4BFC">
        <w:rPr>
          <w:rFonts w:eastAsia="Calibri"/>
          <w:szCs w:val="24"/>
          <w:lang w:val="bg-BG"/>
        </w:rPr>
        <w:t>.</w:t>
      </w:r>
    </w:p>
    <w:p w:rsidR="0009390F" w:rsidRPr="001E4BFC" w:rsidRDefault="0009390F" w:rsidP="00134A12">
      <w:pPr>
        <w:autoSpaceDE w:val="0"/>
        <w:autoSpaceDN w:val="0"/>
        <w:spacing w:before="60" w:after="60" w:line="360" w:lineRule="auto"/>
        <w:ind w:firstLine="567"/>
        <w:jc w:val="both"/>
        <w:rPr>
          <w:rFonts w:eastAsia="Calibri"/>
          <w:szCs w:val="24"/>
          <w:lang w:val="bg-BG"/>
        </w:rPr>
      </w:pPr>
      <w:r w:rsidRPr="001E4BFC">
        <w:rPr>
          <w:rFonts w:eastAsia="Calibri"/>
          <w:szCs w:val="24"/>
          <w:lang w:val="bg-BG"/>
        </w:rPr>
        <w:t xml:space="preserve">В раздела с общи изисквания, след изброяване и категоризиране на тази физическа инфраструктура, чрез препращане към съответните специални нормативни актове са очертани приложимите към всички категории условия за проектиране на конструкциите, на връзките с електроразпределителната мрежа, на електрическите уредби и </w:t>
      </w:r>
      <w:proofErr w:type="spellStart"/>
      <w:r w:rsidRPr="001E4BFC">
        <w:rPr>
          <w:rFonts w:eastAsia="Calibri"/>
          <w:szCs w:val="24"/>
          <w:lang w:val="bg-BG"/>
        </w:rPr>
        <w:t>пожароизвестителните</w:t>
      </w:r>
      <w:proofErr w:type="spellEnd"/>
      <w:r w:rsidRPr="001E4BFC">
        <w:rPr>
          <w:rFonts w:eastAsia="Calibri"/>
          <w:szCs w:val="24"/>
          <w:lang w:val="bg-BG"/>
        </w:rPr>
        <w:t xml:space="preserve"> системи. Отчетена е необходимостта по време на изграждането на физическата инфраструктура да се осигуряват здравословни и безопасни условия на труд, като е указана приложимата специална правна уредба. Включено е изброяване на органите и лицата, натоварени с осъществяването на контрол по време на строителството на физическата инфраструктура. С оглед избягване на спорове при прилагането на наредбата във връзка с </w:t>
      </w:r>
      <w:proofErr w:type="spellStart"/>
      <w:r w:rsidRPr="001E4BFC">
        <w:rPr>
          <w:rFonts w:eastAsia="Calibri"/>
          <w:szCs w:val="24"/>
          <w:lang w:val="bg-BG"/>
        </w:rPr>
        <w:t>относимите</w:t>
      </w:r>
      <w:proofErr w:type="spellEnd"/>
      <w:r w:rsidRPr="001E4BFC">
        <w:rPr>
          <w:rFonts w:eastAsia="Calibri"/>
          <w:szCs w:val="24"/>
          <w:lang w:val="bg-BG"/>
        </w:rPr>
        <w:t xml:space="preserve"> правила и процедури е уточнено, че основният ремонт на приемно-предавателни </w:t>
      </w:r>
      <w:r w:rsidRPr="001E4BFC">
        <w:rPr>
          <w:rFonts w:eastAsia="Calibri"/>
          <w:szCs w:val="24"/>
          <w:lang w:val="bg-BG"/>
        </w:rPr>
        <w:lastRenderedPageBreak/>
        <w:t>станции и тяхната физическа инфраструктура, в случай че не се налага да бъдат изпълнени изкопни работи и/или строително-монтажни работи, променящи конструкцията, вида на конструктивните елементи и/или натоварвания на съответните съоръжения, с оглед на спазването на изискванията за механично съпротивление и устойчивост, е шеста категория строеж съгласно чл. 137, ал. 1, т. 6 и чл. 147, ал. 1, т. 18 от Закона за устройство на територията.</w:t>
      </w:r>
    </w:p>
    <w:p w:rsidR="0009390F" w:rsidRPr="001E4BFC" w:rsidRDefault="00232DE2" w:rsidP="00232DE2">
      <w:pPr>
        <w:autoSpaceDE w:val="0"/>
        <w:autoSpaceDN w:val="0"/>
        <w:spacing w:before="60" w:after="60" w:line="360" w:lineRule="auto"/>
        <w:ind w:firstLine="567"/>
        <w:jc w:val="both"/>
        <w:rPr>
          <w:rFonts w:eastAsia="Calibri"/>
          <w:szCs w:val="24"/>
          <w:lang w:val="bg-BG"/>
        </w:rPr>
      </w:pPr>
      <w:r w:rsidRPr="001E4BFC">
        <w:rPr>
          <w:rFonts w:eastAsia="Calibri"/>
          <w:szCs w:val="24"/>
          <w:lang w:val="bg-BG"/>
        </w:rPr>
        <w:t>По отношение на стълбове, кули</w:t>
      </w:r>
      <w:r w:rsidR="0053760C" w:rsidRPr="001E4BFC">
        <w:rPr>
          <w:rFonts w:eastAsia="Calibri"/>
          <w:szCs w:val="24"/>
          <w:lang w:val="bg-BG"/>
        </w:rPr>
        <w:t>те</w:t>
      </w:r>
      <w:r w:rsidRPr="001E4BFC">
        <w:rPr>
          <w:rFonts w:eastAsia="Calibri"/>
          <w:szCs w:val="24"/>
          <w:lang w:val="bg-BG"/>
        </w:rPr>
        <w:t xml:space="preserve"> и друга</w:t>
      </w:r>
      <w:r w:rsidR="0053760C" w:rsidRPr="001E4BFC">
        <w:rPr>
          <w:rFonts w:eastAsia="Calibri"/>
          <w:szCs w:val="24"/>
          <w:lang w:val="bg-BG"/>
        </w:rPr>
        <w:t>та</w:t>
      </w:r>
      <w:r w:rsidRPr="001E4BFC">
        <w:rPr>
          <w:rFonts w:eastAsia="Calibri"/>
          <w:szCs w:val="24"/>
          <w:lang w:val="bg-BG"/>
        </w:rPr>
        <w:t xml:space="preserve"> физическа инфраструктура, трайно прикрепена към терена чрез бетонов фундамент в съответния раздел </w:t>
      </w:r>
      <w:r w:rsidR="0053760C" w:rsidRPr="001E4BFC">
        <w:rPr>
          <w:rFonts w:eastAsia="Calibri"/>
          <w:szCs w:val="24"/>
          <w:lang w:val="bg-BG"/>
        </w:rPr>
        <w:t>отново</w:t>
      </w:r>
      <w:r w:rsidRPr="001E4BFC">
        <w:rPr>
          <w:rFonts w:eastAsia="Calibri"/>
          <w:szCs w:val="24"/>
          <w:lang w:val="bg-BG"/>
        </w:rPr>
        <w:t xml:space="preserve"> е посочена категоризацията в различните хипотези на изграждане, както и в случаите на реконструкция и основен ремонт. По отношение на проектирането са </w:t>
      </w:r>
      <w:r w:rsidR="0053760C" w:rsidRPr="001E4BFC">
        <w:rPr>
          <w:rFonts w:eastAsia="Calibri"/>
          <w:szCs w:val="24"/>
          <w:lang w:val="bg-BG"/>
        </w:rPr>
        <w:t>регламентирани</w:t>
      </w:r>
      <w:r w:rsidRPr="001E4BFC">
        <w:rPr>
          <w:rFonts w:eastAsia="Calibri"/>
          <w:szCs w:val="24"/>
          <w:lang w:val="bg-BG"/>
        </w:rPr>
        <w:t xml:space="preserve"> необходимите елементи на проекта, специфичните </w:t>
      </w:r>
      <w:r w:rsidR="0053760C" w:rsidRPr="001E4BFC">
        <w:rPr>
          <w:rFonts w:eastAsia="Calibri"/>
          <w:szCs w:val="24"/>
          <w:lang w:val="bg-BG"/>
        </w:rPr>
        <w:t>допълнителни документи, които са част</w:t>
      </w:r>
      <w:r w:rsidRPr="001E4BFC">
        <w:rPr>
          <w:rFonts w:eastAsia="Calibri"/>
          <w:szCs w:val="24"/>
          <w:lang w:val="bg-BG"/>
        </w:rPr>
        <w:t xml:space="preserve"> от строителната документация (актове за скрити работи при изграждане на заземители и при полаг</w:t>
      </w:r>
      <w:r w:rsidR="0053760C" w:rsidRPr="001E4BFC">
        <w:rPr>
          <w:rFonts w:eastAsia="Calibri"/>
          <w:szCs w:val="24"/>
          <w:lang w:val="bg-BG"/>
        </w:rPr>
        <w:t>ане на силови захранващи кабели,</w:t>
      </w:r>
      <w:r w:rsidRPr="001E4BFC">
        <w:rPr>
          <w:rFonts w:eastAsia="Calibri"/>
          <w:szCs w:val="24"/>
          <w:lang w:val="bg-BG"/>
        </w:rPr>
        <w:t xml:space="preserve"> протоколи за измерване на съпротив</w:t>
      </w:r>
      <w:r w:rsidR="0053760C" w:rsidRPr="001E4BFC">
        <w:rPr>
          <w:rFonts w:eastAsia="Calibri"/>
          <w:szCs w:val="24"/>
          <w:lang w:val="bg-BG"/>
        </w:rPr>
        <w:t>лението на защитното заземяване,</w:t>
      </w:r>
      <w:r w:rsidRPr="001E4BFC">
        <w:rPr>
          <w:rFonts w:eastAsia="Calibri"/>
          <w:szCs w:val="24"/>
          <w:lang w:val="bg-BG"/>
        </w:rPr>
        <w:t xml:space="preserve"> протоколи за измерване на параметрите на </w:t>
      </w:r>
      <w:proofErr w:type="spellStart"/>
      <w:r w:rsidRPr="001E4BFC">
        <w:rPr>
          <w:rFonts w:eastAsia="Calibri"/>
          <w:szCs w:val="24"/>
          <w:lang w:val="bg-BG"/>
        </w:rPr>
        <w:t>мълниезащитната</w:t>
      </w:r>
      <w:proofErr w:type="spellEnd"/>
      <w:r w:rsidRPr="001E4BFC">
        <w:rPr>
          <w:rFonts w:eastAsia="Calibri"/>
          <w:szCs w:val="24"/>
          <w:lang w:val="bg-BG"/>
        </w:rPr>
        <w:t xml:space="preserve"> уредба</w:t>
      </w:r>
      <w:r w:rsidR="0053760C" w:rsidRPr="001E4BFC">
        <w:rPr>
          <w:rFonts w:eastAsia="Calibri"/>
          <w:szCs w:val="24"/>
          <w:lang w:val="bg-BG"/>
        </w:rPr>
        <w:t>,</w:t>
      </w:r>
      <w:r w:rsidRPr="001E4BFC">
        <w:rPr>
          <w:rFonts w:eastAsia="Calibri"/>
          <w:szCs w:val="24"/>
          <w:lang w:val="bg-BG"/>
        </w:rPr>
        <w:t xml:space="preserve"> протоколи за измерване на нивата на електромагнитните полета и оценка за съответствието им с изискванията на Наредба № 9 от 1991 г. за пределно допустими нива на електромагнитни полета в населени територии и определяне на хигиенно-защитни зони около излъчващи обекти</w:t>
      </w:r>
      <w:r w:rsidR="0053760C" w:rsidRPr="001E4BFC">
        <w:rPr>
          <w:rFonts w:eastAsia="Calibri"/>
          <w:szCs w:val="24"/>
          <w:lang w:val="bg-BG"/>
        </w:rPr>
        <w:t>,</w:t>
      </w:r>
      <w:r w:rsidRPr="001E4BFC">
        <w:rPr>
          <w:rFonts w:eastAsia="Calibri"/>
          <w:szCs w:val="24"/>
          <w:lang w:val="bg-BG"/>
        </w:rPr>
        <w:t xml:space="preserve"> технически паспорт, съставен при спазване на изискванията на Наредба № 5 от 2006 за техническите паспорти на строежите</w:t>
      </w:r>
      <w:r w:rsidR="0053760C" w:rsidRPr="001E4BFC">
        <w:rPr>
          <w:rFonts w:eastAsia="Calibri"/>
          <w:szCs w:val="24"/>
          <w:lang w:val="bg-BG"/>
        </w:rPr>
        <w:t>)</w:t>
      </w:r>
      <w:r w:rsidRPr="001E4BFC">
        <w:rPr>
          <w:rFonts w:eastAsia="Calibri"/>
          <w:szCs w:val="24"/>
          <w:lang w:val="bg-BG"/>
        </w:rPr>
        <w:t xml:space="preserve">. Тези специфични елементи, създават допълнителни гаранции за спазването на характерните за тези строежи технически правила, включително относно нивата на електромагнитните полета, като така се подчертава особеното значение на </w:t>
      </w:r>
      <w:r w:rsidR="00677168" w:rsidRPr="001E4BFC">
        <w:rPr>
          <w:rFonts w:eastAsia="Calibri"/>
          <w:szCs w:val="24"/>
          <w:lang w:val="bg-BG"/>
        </w:rPr>
        <w:t>грижата за</w:t>
      </w:r>
      <w:r w:rsidRPr="001E4BFC">
        <w:rPr>
          <w:rFonts w:eastAsia="Calibri"/>
          <w:szCs w:val="24"/>
          <w:lang w:val="bg-BG"/>
        </w:rPr>
        <w:t xml:space="preserve"> здравето на гражданите.</w:t>
      </w:r>
    </w:p>
    <w:p w:rsidR="00EC70C5" w:rsidRPr="001E4BFC" w:rsidRDefault="00232DE2" w:rsidP="00134A12">
      <w:pPr>
        <w:autoSpaceDE w:val="0"/>
        <w:autoSpaceDN w:val="0"/>
        <w:spacing w:before="60" w:after="60" w:line="360" w:lineRule="auto"/>
        <w:ind w:firstLine="567"/>
        <w:jc w:val="both"/>
        <w:rPr>
          <w:rFonts w:eastAsia="Calibri"/>
          <w:szCs w:val="24"/>
          <w:lang w:val="bg-BG"/>
        </w:rPr>
      </w:pPr>
      <w:r w:rsidRPr="001E4BFC">
        <w:rPr>
          <w:rFonts w:eastAsia="Calibri"/>
          <w:szCs w:val="24"/>
          <w:lang w:val="bg-BG"/>
        </w:rPr>
        <w:t>Що се отнася до изискванията при изграждане на физическа инфраструктура върху покривните пространства, на фасади или други открити площи на сгради или вътре в тях, в този раздел</w:t>
      </w:r>
      <w:r w:rsidR="00677168" w:rsidRPr="001E4BFC">
        <w:rPr>
          <w:rFonts w:eastAsia="Calibri"/>
          <w:szCs w:val="24"/>
          <w:lang w:val="bg-BG"/>
        </w:rPr>
        <w:t>,</w:t>
      </w:r>
      <w:r w:rsidRPr="001E4BFC">
        <w:rPr>
          <w:rFonts w:eastAsia="Calibri"/>
          <w:szCs w:val="24"/>
          <w:lang w:val="bg-BG"/>
        </w:rPr>
        <w:t xml:space="preserve"> </w:t>
      </w:r>
      <w:r w:rsidR="00AB0E7B" w:rsidRPr="001E4BFC">
        <w:rPr>
          <w:rFonts w:eastAsia="Calibri"/>
          <w:szCs w:val="24"/>
          <w:lang w:val="bg-BG"/>
        </w:rPr>
        <w:t xml:space="preserve">след </w:t>
      </w:r>
      <w:r w:rsidR="00677168" w:rsidRPr="001E4BFC">
        <w:rPr>
          <w:rFonts w:eastAsia="Calibri"/>
          <w:szCs w:val="24"/>
          <w:lang w:val="bg-BG"/>
        </w:rPr>
        <w:t>като се уточнява</w:t>
      </w:r>
      <w:r w:rsidR="00AB0E7B" w:rsidRPr="001E4BFC">
        <w:rPr>
          <w:rFonts w:eastAsia="Calibri"/>
          <w:szCs w:val="24"/>
          <w:lang w:val="bg-BG"/>
        </w:rPr>
        <w:t xml:space="preserve"> категорията на съответните строежи, </w:t>
      </w:r>
      <w:r w:rsidR="00677168" w:rsidRPr="001E4BFC">
        <w:rPr>
          <w:rFonts w:eastAsia="Calibri"/>
          <w:szCs w:val="24"/>
          <w:lang w:val="bg-BG"/>
        </w:rPr>
        <w:t xml:space="preserve">се посочват </w:t>
      </w:r>
      <w:r w:rsidR="00AB0E7B" w:rsidRPr="001E4BFC">
        <w:rPr>
          <w:rFonts w:eastAsia="Calibri"/>
          <w:szCs w:val="24"/>
          <w:lang w:val="bg-BG"/>
        </w:rPr>
        <w:t xml:space="preserve">задължителни документи за </w:t>
      </w:r>
      <w:r w:rsidR="00677168" w:rsidRPr="001E4BFC">
        <w:rPr>
          <w:rFonts w:eastAsia="Calibri"/>
          <w:szCs w:val="24"/>
          <w:lang w:val="bg-BG"/>
        </w:rPr>
        <w:t xml:space="preserve">издаване на </w:t>
      </w:r>
      <w:r w:rsidR="00AB0E7B" w:rsidRPr="001E4BFC">
        <w:rPr>
          <w:rFonts w:eastAsia="Calibri"/>
          <w:szCs w:val="24"/>
          <w:lang w:val="bg-BG"/>
        </w:rPr>
        <w:t>разрешение за строеж</w:t>
      </w:r>
      <w:r w:rsidR="00677168" w:rsidRPr="001E4BFC">
        <w:rPr>
          <w:rFonts w:eastAsia="Calibri"/>
          <w:szCs w:val="24"/>
          <w:lang w:val="bg-BG"/>
        </w:rPr>
        <w:t>, като</w:t>
      </w:r>
      <w:r w:rsidR="00AB0E7B" w:rsidRPr="001E4BFC">
        <w:rPr>
          <w:rFonts w:eastAsia="Calibri"/>
          <w:szCs w:val="24"/>
          <w:lang w:val="bg-BG"/>
        </w:rPr>
        <w:t xml:space="preserve"> договор със собственика и проектни решения на инженер-конструктор и на инженер с професионална квалификация в областта на съобщенията. Регламентирано е съдържанието на проектните решения, като това на инженера с професионална квалификация в областта на съобщенията съдържа условно описание на стандартна конфигурация на приемно-предавателна станция с определяне на възможните максимални размери и натоварване, както и начина на електрозахранване, включително разпределителното табло и електрическите проводници и кабели, системите за защитно заземяване, мълниезащита и други съпътстващи компоненти. Така се осигурява </w:t>
      </w:r>
      <w:r w:rsidR="00AB0E7B" w:rsidRPr="001E4BFC">
        <w:rPr>
          <w:rFonts w:eastAsia="Calibri"/>
          <w:szCs w:val="24"/>
          <w:lang w:val="bg-BG"/>
        </w:rPr>
        <w:lastRenderedPageBreak/>
        <w:t xml:space="preserve">надлежното изследване и </w:t>
      </w:r>
      <w:r w:rsidR="00677168" w:rsidRPr="001E4BFC">
        <w:rPr>
          <w:rFonts w:eastAsia="Calibri"/>
          <w:szCs w:val="24"/>
          <w:lang w:val="bg-BG"/>
        </w:rPr>
        <w:t>съобразяване</w:t>
      </w:r>
      <w:r w:rsidR="00AB0E7B" w:rsidRPr="001E4BFC">
        <w:rPr>
          <w:rFonts w:eastAsia="Calibri"/>
          <w:szCs w:val="24"/>
          <w:lang w:val="bg-BG"/>
        </w:rPr>
        <w:t xml:space="preserve"> на </w:t>
      </w:r>
      <w:proofErr w:type="spellStart"/>
      <w:r w:rsidR="00AB0E7B" w:rsidRPr="001E4BFC">
        <w:rPr>
          <w:rFonts w:eastAsia="Calibri"/>
          <w:szCs w:val="24"/>
          <w:lang w:val="bg-BG"/>
        </w:rPr>
        <w:t>относимите</w:t>
      </w:r>
      <w:proofErr w:type="spellEnd"/>
      <w:r w:rsidR="00AB0E7B" w:rsidRPr="001E4BFC">
        <w:rPr>
          <w:rFonts w:eastAsia="Calibri"/>
          <w:szCs w:val="24"/>
          <w:lang w:val="bg-BG"/>
        </w:rPr>
        <w:t xml:space="preserve"> </w:t>
      </w:r>
      <w:r w:rsidR="00677168" w:rsidRPr="001E4BFC">
        <w:rPr>
          <w:rFonts w:eastAsia="Calibri"/>
          <w:szCs w:val="24"/>
          <w:lang w:val="bg-BG"/>
        </w:rPr>
        <w:t>правила</w:t>
      </w:r>
      <w:r w:rsidR="00AB0E7B" w:rsidRPr="001E4BFC">
        <w:rPr>
          <w:rFonts w:eastAsia="Calibri"/>
          <w:szCs w:val="24"/>
          <w:lang w:val="bg-BG"/>
        </w:rPr>
        <w:t>, които осигуряват стабилността и безопасността на строежа.</w:t>
      </w:r>
    </w:p>
    <w:p w:rsidR="00677168" w:rsidRPr="001E4BFC" w:rsidRDefault="00AB0E7B" w:rsidP="00AB0E7B">
      <w:pPr>
        <w:autoSpaceDE w:val="0"/>
        <w:autoSpaceDN w:val="0"/>
        <w:spacing w:before="60" w:after="60" w:line="360" w:lineRule="auto"/>
        <w:ind w:firstLine="567"/>
        <w:jc w:val="both"/>
        <w:rPr>
          <w:rFonts w:eastAsia="Calibri"/>
          <w:szCs w:val="24"/>
          <w:lang w:val="bg-BG"/>
        </w:rPr>
      </w:pPr>
      <w:r w:rsidRPr="001E4BFC">
        <w:rPr>
          <w:rFonts w:eastAsia="Calibri"/>
          <w:szCs w:val="24"/>
          <w:lang w:val="bg-BG"/>
        </w:rPr>
        <w:t xml:space="preserve">По отношение на изисквания при изграждане на друга физическа инфраструктура за разполагане на електронни съобщителни мрежи в урбанизирани и </w:t>
      </w:r>
      <w:proofErr w:type="spellStart"/>
      <w:r w:rsidRPr="001E4BFC">
        <w:rPr>
          <w:rFonts w:eastAsia="Calibri"/>
          <w:szCs w:val="24"/>
          <w:lang w:val="bg-BG"/>
        </w:rPr>
        <w:t>неурбанизирани</w:t>
      </w:r>
      <w:proofErr w:type="spellEnd"/>
      <w:r w:rsidRPr="001E4BFC">
        <w:rPr>
          <w:rFonts w:eastAsia="Calibri"/>
          <w:szCs w:val="24"/>
          <w:lang w:val="bg-BG"/>
        </w:rPr>
        <w:t xml:space="preserve"> територии, в съответния раздел </w:t>
      </w:r>
      <w:r w:rsidR="00677168" w:rsidRPr="001E4BFC">
        <w:rPr>
          <w:rFonts w:eastAsia="Calibri"/>
          <w:szCs w:val="24"/>
          <w:lang w:val="bg-BG"/>
        </w:rPr>
        <w:t xml:space="preserve">отново </w:t>
      </w:r>
      <w:r w:rsidRPr="001E4BFC">
        <w:rPr>
          <w:rFonts w:eastAsia="Calibri"/>
          <w:szCs w:val="24"/>
          <w:lang w:val="bg-BG"/>
        </w:rPr>
        <w:t>е посочен</w:t>
      </w:r>
      <w:r w:rsidR="00677168" w:rsidRPr="001E4BFC">
        <w:rPr>
          <w:rFonts w:eastAsia="Calibri"/>
          <w:szCs w:val="24"/>
          <w:lang w:val="bg-BG"/>
        </w:rPr>
        <w:t xml:space="preserve">а категоризацията на строежите. С </w:t>
      </w:r>
      <w:r w:rsidRPr="001E4BFC">
        <w:rPr>
          <w:rFonts w:eastAsia="Calibri"/>
          <w:szCs w:val="24"/>
          <w:lang w:val="bg-BG"/>
        </w:rPr>
        <w:t xml:space="preserve">цел </w:t>
      </w:r>
      <w:proofErr w:type="spellStart"/>
      <w:r w:rsidRPr="001E4BFC">
        <w:rPr>
          <w:rFonts w:eastAsia="Calibri"/>
          <w:szCs w:val="24"/>
          <w:lang w:val="bg-BG"/>
        </w:rPr>
        <w:t>нормотворческа</w:t>
      </w:r>
      <w:proofErr w:type="spellEnd"/>
      <w:r w:rsidRPr="001E4BFC">
        <w:rPr>
          <w:rFonts w:eastAsia="Calibri"/>
          <w:szCs w:val="24"/>
          <w:lang w:val="bg-BG"/>
        </w:rPr>
        <w:t xml:space="preserve"> икономия уредбата е изложена чрез препращане към създадените </w:t>
      </w:r>
      <w:r w:rsidR="00677168" w:rsidRPr="001E4BFC">
        <w:rPr>
          <w:rFonts w:eastAsia="Calibri"/>
          <w:szCs w:val="24"/>
          <w:lang w:val="bg-BG"/>
        </w:rPr>
        <w:t>вече по-горе в наредбата изисквания и правила</w:t>
      </w:r>
      <w:r w:rsidRPr="001E4BFC">
        <w:rPr>
          <w:rFonts w:eastAsia="Calibri"/>
          <w:szCs w:val="24"/>
          <w:lang w:val="bg-BG"/>
        </w:rPr>
        <w:t xml:space="preserve"> за другите видове физическа инфраструктура. </w:t>
      </w:r>
    </w:p>
    <w:p w:rsidR="00AB0E7B" w:rsidRPr="001E4BFC" w:rsidRDefault="00AB0E7B" w:rsidP="00AB0E7B">
      <w:pPr>
        <w:autoSpaceDE w:val="0"/>
        <w:autoSpaceDN w:val="0"/>
        <w:spacing w:before="60" w:after="60" w:line="360" w:lineRule="auto"/>
        <w:ind w:firstLine="567"/>
        <w:jc w:val="both"/>
        <w:rPr>
          <w:rFonts w:eastAsia="Calibri"/>
          <w:szCs w:val="24"/>
          <w:lang w:val="bg-BG"/>
        </w:rPr>
      </w:pPr>
      <w:r w:rsidRPr="001E4BFC">
        <w:rPr>
          <w:rFonts w:eastAsia="Calibri"/>
          <w:szCs w:val="24"/>
          <w:lang w:val="bg-BG"/>
        </w:rPr>
        <w:t xml:space="preserve">В </w:t>
      </w:r>
      <w:r w:rsidRPr="001E4BFC">
        <w:rPr>
          <w:rFonts w:eastAsia="Calibri"/>
          <w:b/>
          <w:szCs w:val="24"/>
          <w:lang w:val="bg-BG"/>
        </w:rPr>
        <w:t>глава пета „Физическа инфраструктура в сгради“</w:t>
      </w:r>
      <w:r w:rsidRPr="001E4BFC">
        <w:rPr>
          <w:rFonts w:eastAsia="Calibri"/>
          <w:szCs w:val="24"/>
          <w:lang w:val="bg-BG"/>
        </w:rPr>
        <w:t xml:space="preserve"> са посочени приложимите към физиче</w:t>
      </w:r>
      <w:r w:rsidR="004A4E7B" w:rsidRPr="001E4BFC">
        <w:rPr>
          <w:rFonts w:eastAsia="Calibri"/>
          <w:szCs w:val="24"/>
          <w:lang w:val="bg-BG"/>
        </w:rPr>
        <w:t xml:space="preserve">ската инфраструктура правила, по-специално с оглед противопожарна безопасност и отстояния от друга сградна инфраструктура – </w:t>
      </w:r>
      <w:r w:rsidR="004A4E7B" w:rsidRPr="001E4BFC">
        <w:rPr>
          <w:szCs w:val="24"/>
          <w:lang w:val="bg-BG"/>
        </w:rPr>
        <w:t>отоплителна или газова инсталация и електрическа инсталация</w:t>
      </w:r>
      <w:r w:rsidR="004A4E7B" w:rsidRPr="001E4BFC">
        <w:rPr>
          <w:rFonts w:eastAsia="Calibri"/>
          <w:szCs w:val="24"/>
          <w:lang w:val="bg-BG"/>
        </w:rPr>
        <w:t>. С цел свободно използване на вече създадена инфраструктура в сградите и осигуряване на „мобилност“ на потребителите, както и за лесно и несмущавано обслужване на мрежите, се изисква точките за достъп на сградите да разполагат със свободно пространство за съвместно разполагане на елементи на електронни съобщителни мрежи, и да бъдат подходящо разположени, така че операторите на електронни съобщителни мрежи да имат лесен достъп до тях.</w:t>
      </w:r>
    </w:p>
    <w:p w:rsidR="00677168" w:rsidRPr="001E4BFC" w:rsidRDefault="00C64857" w:rsidP="00AB0E7B">
      <w:pPr>
        <w:autoSpaceDE w:val="0"/>
        <w:autoSpaceDN w:val="0"/>
        <w:spacing w:before="60" w:after="60" w:line="360" w:lineRule="auto"/>
        <w:ind w:firstLine="567"/>
        <w:jc w:val="both"/>
        <w:rPr>
          <w:rFonts w:eastAsia="Calibri"/>
          <w:szCs w:val="24"/>
          <w:lang w:val="bg-BG"/>
        </w:rPr>
      </w:pPr>
      <w:r w:rsidRPr="001E4BFC">
        <w:rPr>
          <w:rFonts w:eastAsia="Calibri"/>
          <w:szCs w:val="24"/>
          <w:lang w:val="bg-BG"/>
        </w:rPr>
        <w:t xml:space="preserve">В </w:t>
      </w:r>
      <w:r w:rsidRPr="001E4BFC">
        <w:rPr>
          <w:rFonts w:eastAsia="Calibri"/>
          <w:b/>
          <w:szCs w:val="24"/>
          <w:lang w:val="bg-BG"/>
        </w:rPr>
        <w:t>глава шеста „Премахване на физическа инфраструктура, предназначена за разполагане на електронни съобщителни мрежи и на приемно-предавателни станции“</w:t>
      </w:r>
      <w:r w:rsidRPr="001E4BFC">
        <w:rPr>
          <w:rFonts w:eastAsia="Calibri"/>
          <w:szCs w:val="24"/>
          <w:lang w:val="bg-BG"/>
        </w:rPr>
        <w:t xml:space="preserve"> са </w:t>
      </w:r>
      <w:r w:rsidR="00677168" w:rsidRPr="001E4BFC">
        <w:rPr>
          <w:rFonts w:eastAsia="Calibri"/>
          <w:szCs w:val="24"/>
          <w:lang w:val="bg-BG"/>
        </w:rPr>
        <w:t>регламентирани</w:t>
      </w:r>
      <w:r w:rsidRPr="001E4BFC">
        <w:rPr>
          <w:rFonts w:eastAsia="Calibri"/>
          <w:szCs w:val="24"/>
          <w:lang w:val="bg-BG"/>
        </w:rPr>
        <w:t xml:space="preserve"> конкретни</w:t>
      </w:r>
      <w:r w:rsidR="00677168" w:rsidRPr="001E4BFC">
        <w:rPr>
          <w:rFonts w:eastAsia="Calibri"/>
          <w:szCs w:val="24"/>
          <w:lang w:val="bg-BG"/>
        </w:rPr>
        <w:t>те</w:t>
      </w:r>
      <w:r w:rsidRPr="001E4BFC">
        <w:rPr>
          <w:rFonts w:eastAsia="Calibri"/>
          <w:szCs w:val="24"/>
          <w:lang w:val="bg-BG"/>
        </w:rPr>
        <w:t xml:space="preserve"> срокове и отговорни</w:t>
      </w:r>
      <w:r w:rsidR="00677168" w:rsidRPr="001E4BFC">
        <w:rPr>
          <w:rFonts w:eastAsia="Calibri"/>
          <w:szCs w:val="24"/>
          <w:lang w:val="bg-BG"/>
        </w:rPr>
        <w:t>те</w:t>
      </w:r>
      <w:r w:rsidRPr="001E4BFC">
        <w:rPr>
          <w:rFonts w:eastAsia="Calibri"/>
          <w:szCs w:val="24"/>
          <w:lang w:val="bg-BG"/>
        </w:rPr>
        <w:t xml:space="preserve"> лица за премахването на физическа инфраструктура и едновременния демонтаж на електронната съобщителна мрежа, разположена в </w:t>
      </w:r>
      <w:r w:rsidR="00677168" w:rsidRPr="001E4BFC">
        <w:rPr>
          <w:rFonts w:eastAsia="Calibri"/>
          <w:szCs w:val="24"/>
          <w:lang w:val="bg-BG"/>
        </w:rPr>
        <w:t>премахваната инфраструктура</w:t>
      </w:r>
      <w:r w:rsidRPr="001E4BFC">
        <w:rPr>
          <w:rFonts w:eastAsia="Calibri"/>
          <w:szCs w:val="24"/>
          <w:lang w:val="bg-BG"/>
        </w:rPr>
        <w:t xml:space="preserve">. </w:t>
      </w:r>
    </w:p>
    <w:p w:rsidR="004A4E7B" w:rsidRPr="001E4BFC" w:rsidRDefault="00C64857" w:rsidP="00AB0E7B">
      <w:pPr>
        <w:autoSpaceDE w:val="0"/>
        <w:autoSpaceDN w:val="0"/>
        <w:spacing w:before="60" w:after="60" w:line="360" w:lineRule="auto"/>
        <w:ind w:firstLine="567"/>
        <w:jc w:val="both"/>
        <w:rPr>
          <w:rFonts w:eastAsia="Calibri"/>
          <w:szCs w:val="24"/>
          <w:lang w:val="bg-BG"/>
        </w:rPr>
      </w:pPr>
      <w:r w:rsidRPr="001E4BFC">
        <w:rPr>
          <w:rFonts w:eastAsia="Calibri"/>
          <w:szCs w:val="24"/>
          <w:lang w:val="bg-BG"/>
        </w:rPr>
        <w:t xml:space="preserve">Основната отговорност за премахването и демонтажа е на собственика на физическата инфраструктура – той може да изпълни или възложи тези дейности, а в случай, че не изпълни това задължение, собственикът на имота има право да демонтира елементите за сметка на собственика на физическата инфраструктура. При всяка една хипотеза премахването трябва се изпълни </w:t>
      </w:r>
      <w:r w:rsidRPr="001E4BFC">
        <w:rPr>
          <w:szCs w:val="24"/>
          <w:lang w:val="bg-BG"/>
        </w:rPr>
        <w:t>под ръководството</w:t>
      </w:r>
      <w:r w:rsidRPr="001E4BFC">
        <w:rPr>
          <w:szCs w:val="24"/>
          <w:lang w:val="x-none"/>
        </w:rPr>
        <w:t xml:space="preserve"> </w:t>
      </w:r>
      <w:r w:rsidR="00D63C15" w:rsidRPr="001E4BFC">
        <w:rPr>
          <w:szCs w:val="24"/>
          <w:lang w:val="bg-BG"/>
        </w:rPr>
        <w:t xml:space="preserve">на </w:t>
      </w:r>
      <w:r w:rsidRPr="001E4BFC">
        <w:rPr>
          <w:szCs w:val="24"/>
          <w:lang w:val="x-none"/>
        </w:rPr>
        <w:t>технически правоспособно лице при спазване на нормите за пожарна безопасност и за здравословни и безопасни условия на труд</w:t>
      </w:r>
      <w:r w:rsidRPr="001E4BFC">
        <w:rPr>
          <w:szCs w:val="24"/>
          <w:lang w:val="bg-BG"/>
        </w:rPr>
        <w:t xml:space="preserve">. Отговорността за </w:t>
      </w:r>
      <w:r w:rsidRPr="001E4BFC">
        <w:rPr>
          <w:szCs w:val="24"/>
          <w:lang w:val="x-none"/>
        </w:rPr>
        <w:t>възстановяването и почистването от отпадъци</w:t>
      </w:r>
      <w:r w:rsidRPr="001E4BFC">
        <w:rPr>
          <w:szCs w:val="24"/>
          <w:lang w:val="bg-BG"/>
        </w:rPr>
        <w:t xml:space="preserve"> след дейностите и за причинени вреди се носи от собственика на физическата инфраструктура. Уредбата има за цел да преодолее негативните практики на „изоставена“</w:t>
      </w:r>
      <w:r w:rsidR="00AE2AB3" w:rsidRPr="001E4BFC">
        <w:rPr>
          <w:szCs w:val="24"/>
          <w:lang w:val="bg-BG"/>
        </w:rPr>
        <w:t xml:space="preserve"> инфраструктура и мрежа, която се наблюдава в редица сгради, чрез създаването на ясни правила.</w:t>
      </w:r>
    </w:p>
    <w:p w:rsidR="00365235" w:rsidRPr="001E4BFC" w:rsidRDefault="00AE2AB3" w:rsidP="00134A12">
      <w:pPr>
        <w:autoSpaceDE w:val="0"/>
        <w:autoSpaceDN w:val="0"/>
        <w:spacing w:before="60" w:after="60" w:line="360" w:lineRule="auto"/>
        <w:ind w:firstLine="567"/>
        <w:jc w:val="both"/>
        <w:rPr>
          <w:rFonts w:eastAsia="Calibri"/>
          <w:szCs w:val="24"/>
          <w:lang w:val="bg-BG"/>
        </w:rPr>
      </w:pPr>
      <w:r w:rsidRPr="001E4BFC">
        <w:rPr>
          <w:rFonts w:eastAsia="Calibri"/>
          <w:szCs w:val="24"/>
          <w:lang w:val="bg-BG"/>
        </w:rPr>
        <w:lastRenderedPageBreak/>
        <w:t xml:space="preserve">В </w:t>
      </w:r>
      <w:r w:rsidRPr="001E4BFC">
        <w:rPr>
          <w:rFonts w:eastAsia="Calibri"/>
          <w:b/>
          <w:szCs w:val="24"/>
          <w:lang w:val="bg-BG"/>
        </w:rPr>
        <w:t>допълнителната разпоредба</w:t>
      </w:r>
      <w:r w:rsidRPr="001E4BFC">
        <w:rPr>
          <w:rFonts w:eastAsia="Calibri"/>
          <w:szCs w:val="24"/>
          <w:lang w:val="bg-BG"/>
        </w:rPr>
        <w:t xml:space="preserve"> е дадено определение на </w:t>
      </w:r>
      <w:r w:rsidR="00677168" w:rsidRPr="001E4BFC">
        <w:rPr>
          <w:rFonts w:eastAsia="Calibri"/>
          <w:szCs w:val="24"/>
          <w:lang w:val="bg-BG"/>
        </w:rPr>
        <w:t xml:space="preserve">специфични </w:t>
      </w:r>
      <w:r w:rsidRPr="001E4BFC">
        <w:rPr>
          <w:rFonts w:eastAsia="Calibri"/>
          <w:szCs w:val="24"/>
          <w:lang w:val="bg-BG"/>
        </w:rPr>
        <w:t>понятия, които се срещат в наредбата и не са уредени в свързани с нея нормативни актове.</w:t>
      </w:r>
    </w:p>
    <w:p w:rsidR="00AE2AB3" w:rsidRPr="001E4BFC" w:rsidRDefault="00AE2AB3" w:rsidP="00677168">
      <w:pPr>
        <w:autoSpaceDE w:val="0"/>
        <w:autoSpaceDN w:val="0"/>
        <w:spacing w:before="60" w:after="60" w:line="360" w:lineRule="auto"/>
        <w:ind w:firstLine="567"/>
        <w:jc w:val="both"/>
      </w:pPr>
      <w:r w:rsidRPr="001E4BFC">
        <w:rPr>
          <w:rFonts w:eastAsia="Calibri"/>
          <w:szCs w:val="24"/>
          <w:lang w:val="bg-BG"/>
        </w:rPr>
        <w:t xml:space="preserve">В </w:t>
      </w:r>
      <w:r w:rsidRPr="001E4BFC">
        <w:rPr>
          <w:rFonts w:eastAsia="Calibri"/>
          <w:b/>
          <w:szCs w:val="24"/>
          <w:lang w:val="bg-BG"/>
        </w:rPr>
        <w:t>преходните</w:t>
      </w:r>
      <w:r w:rsidR="00677168" w:rsidRPr="001E4BFC">
        <w:rPr>
          <w:rFonts w:eastAsia="Calibri"/>
          <w:b/>
          <w:szCs w:val="24"/>
          <w:lang w:val="bg-BG"/>
        </w:rPr>
        <w:t xml:space="preserve"> и заключителни</w:t>
      </w:r>
      <w:r w:rsidRPr="001E4BFC">
        <w:rPr>
          <w:rFonts w:eastAsia="Calibri"/>
          <w:b/>
          <w:szCs w:val="24"/>
          <w:lang w:val="bg-BG"/>
        </w:rPr>
        <w:t xml:space="preserve"> разпоредби </w:t>
      </w:r>
      <w:r w:rsidRPr="001E4BFC">
        <w:rPr>
          <w:rFonts w:eastAsia="Calibri"/>
          <w:szCs w:val="24"/>
          <w:lang w:val="bg-BG"/>
        </w:rPr>
        <w:t>са създадени правила за заварените случаи</w:t>
      </w:r>
      <w:r w:rsidR="00677168" w:rsidRPr="001E4BFC">
        <w:rPr>
          <w:rFonts w:eastAsia="Calibri"/>
          <w:szCs w:val="24"/>
          <w:lang w:val="bg-BG"/>
        </w:rPr>
        <w:t>. Така</w:t>
      </w:r>
      <w:r w:rsidR="00677168" w:rsidRPr="001E4BFC">
        <w:rPr>
          <w:szCs w:val="24"/>
          <w:lang w:val="bg-BG"/>
        </w:rPr>
        <w:t xml:space="preserve"> започналите производства по одобряване на инвестиционен проект и издаване на разрешение за строеж се довършват по досегашния ред. За започнато производство по одобряване на инвестиционен проект и издаване на разрешение за строеж се счита датата на внасяне на инвестиционния проект за одобряване от компетентния орган. За започнато производство се счита и наличието на съгласуван идеен инвестиционен проект. Наред с това </w:t>
      </w:r>
      <w:r w:rsidRPr="001E4BFC">
        <w:rPr>
          <w:rFonts w:eastAsia="Calibri"/>
          <w:szCs w:val="24"/>
          <w:lang w:val="bg-BG"/>
        </w:rPr>
        <w:t xml:space="preserve"> се отчита обстоятелството, че законът, въз основа на който се създава тази уредба</w:t>
      </w:r>
      <w:r w:rsidR="00677168" w:rsidRPr="001E4BFC">
        <w:rPr>
          <w:rFonts w:eastAsia="Calibri"/>
          <w:szCs w:val="24"/>
          <w:lang w:val="bg-BG"/>
        </w:rPr>
        <w:t>,</w:t>
      </w:r>
      <w:r w:rsidRPr="001E4BFC">
        <w:rPr>
          <w:rFonts w:eastAsia="Calibri"/>
          <w:szCs w:val="24"/>
          <w:lang w:val="bg-BG"/>
        </w:rPr>
        <w:t xml:space="preserve"> е влязъл в сила на </w:t>
      </w:r>
      <w:r w:rsidRPr="001E4BFC">
        <w:rPr>
          <w:szCs w:val="24"/>
        </w:rPr>
        <w:t>29.04.2025 г.</w:t>
      </w:r>
      <w:r w:rsidRPr="001E4BFC">
        <w:rPr>
          <w:szCs w:val="24"/>
          <w:lang w:val="bg-BG"/>
        </w:rPr>
        <w:t xml:space="preserve"> и съответно новата категоризация на строежите, която пряко следва от него, се счита изменена към тази дата. Бъдещите дейности по заварената инфраструктура следва да се осъществяват в съответствие с новите правила. Доколкото в съществената си част наредбата съответства на Наредба № 35/2012 г., прилагането на правилата не следва да среща трудности в практиката.</w:t>
      </w:r>
      <w:r w:rsidRPr="001E4BFC">
        <w:t xml:space="preserve"> </w:t>
      </w:r>
    </w:p>
    <w:p w:rsidR="00D2210B" w:rsidRPr="001E4BFC" w:rsidRDefault="00D2210B" w:rsidP="00134A12">
      <w:pPr>
        <w:autoSpaceDE w:val="0"/>
        <w:autoSpaceDN w:val="0"/>
        <w:spacing w:before="60" w:after="60" w:line="360" w:lineRule="auto"/>
        <w:ind w:firstLine="567"/>
        <w:jc w:val="both"/>
        <w:rPr>
          <w:szCs w:val="24"/>
          <w:lang w:val="bg-BG"/>
        </w:rPr>
      </w:pPr>
      <w:r w:rsidRPr="001E4BFC">
        <w:rPr>
          <w:szCs w:val="24"/>
          <w:lang w:val="bg-BG"/>
        </w:rPr>
        <w:t>Проектът на наредба запълва празнота и внася нормативна яснота, като заменя актове с отпаднало основание. Поради липсата на валидна правна делегация тези актове не биха могли да бъдат изменяни и допълвани, за да се отчетат новостите в развитието на технологиите</w:t>
      </w:r>
      <w:r w:rsidR="00677168" w:rsidRPr="001E4BFC">
        <w:rPr>
          <w:szCs w:val="24"/>
          <w:lang w:val="bg-BG"/>
        </w:rPr>
        <w:t xml:space="preserve"> или общата правна рамка</w:t>
      </w:r>
      <w:r w:rsidRPr="001E4BFC">
        <w:rPr>
          <w:szCs w:val="24"/>
          <w:lang w:val="bg-BG"/>
        </w:rPr>
        <w:t>. Създаването на единен нормативен акт</w:t>
      </w:r>
      <w:r w:rsidR="00677168" w:rsidRPr="001E4BFC">
        <w:rPr>
          <w:szCs w:val="24"/>
          <w:lang w:val="bg-BG"/>
        </w:rPr>
        <w:t xml:space="preserve">, включващ </w:t>
      </w:r>
      <w:r w:rsidRPr="001E4BFC">
        <w:rPr>
          <w:szCs w:val="24"/>
          <w:lang w:val="bg-BG"/>
        </w:rPr>
        <w:t>всички видове физическа инфраструктура,</w:t>
      </w:r>
      <w:r w:rsidR="00677168" w:rsidRPr="001E4BFC">
        <w:rPr>
          <w:szCs w:val="24"/>
          <w:lang w:val="bg-BG"/>
        </w:rPr>
        <w:t xml:space="preserve"> и </w:t>
      </w:r>
      <w:r w:rsidRPr="001E4BFC">
        <w:rPr>
          <w:szCs w:val="24"/>
          <w:lang w:val="bg-BG"/>
        </w:rPr>
        <w:t xml:space="preserve">съдържащ съвременни правила в урежданата област, ще улесни проектирането и изграждането на </w:t>
      </w:r>
      <w:r w:rsidR="00677168" w:rsidRPr="001E4BFC">
        <w:rPr>
          <w:szCs w:val="24"/>
          <w:lang w:val="bg-BG"/>
        </w:rPr>
        <w:t>физическата</w:t>
      </w:r>
      <w:r w:rsidRPr="001E4BFC">
        <w:rPr>
          <w:szCs w:val="24"/>
          <w:lang w:val="bg-BG"/>
        </w:rPr>
        <w:t xml:space="preserve"> инфраструктура и ще изпълни изискването на чл. 47, ал. 5 от Закона за електронните съобщителни мрежи и физическа инфраструктура. </w:t>
      </w:r>
      <w:bookmarkStart w:id="1" w:name="_GoBack"/>
      <w:bookmarkEnd w:id="1"/>
    </w:p>
    <w:sectPr w:rsidR="00D2210B" w:rsidRPr="001E4BFC" w:rsidSect="0053760C">
      <w:footerReference w:type="default" r:id="rId7"/>
      <w:pgSz w:w="11906" w:h="16838"/>
      <w:pgMar w:top="1560" w:right="991" w:bottom="1440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CC7" w:rsidRDefault="000E7CC7">
      <w:r>
        <w:separator/>
      </w:r>
    </w:p>
  </w:endnote>
  <w:endnote w:type="continuationSeparator" w:id="0">
    <w:p w:rsidR="000E7CC7" w:rsidRDefault="000E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890501"/>
      <w:docPartObj>
        <w:docPartGallery w:val="Page Numbers (Bottom of Page)"/>
        <w:docPartUnique/>
      </w:docPartObj>
    </w:sdtPr>
    <w:sdtEndPr/>
    <w:sdtContent>
      <w:p w:rsidR="00134A12" w:rsidRDefault="00134A1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918" w:rsidRPr="00D31918">
          <w:rPr>
            <w:noProof/>
            <w:lang w:val="bg-BG"/>
          </w:rPr>
          <w:t>7</w:t>
        </w:r>
        <w:r>
          <w:fldChar w:fldCharType="end"/>
        </w:r>
      </w:p>
    </w:sdtContent>
  </w:sdt>
  <w:p w:rsidR="0009069A" w:rsidRPr="007E0550" w:rsidRDefault="0009069A">
    <w:pPr>
      <w:pStyle w:val="Footer"/>
      <w:rPr>
        <w:sz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CC7" w:rsidRDefault="000E7CC7">
      <w:r>
        <w:separator/>
      </w:r>
    </w:p>
  </w:footnote>
  <w:footnote w:type="continuationSeparator" w:id="0">
    <w:p w:rsidR="000E7CC7" w:rsidRDefault="000E7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FA0"/>
    <w:multiLevelType w:val="hybridMultilevel"/>
    <w:tmpl w:val="728A7BE6"/>
    <w:lvl w:ilvl="0" w:tplc="CDC0FB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500D47E9"/>
    <w:multiLevelType w:val="hybridMultilevel"/>
    <w:tmpl w:val="F3AE01F0"/>
    <w:lvl w:ilvl="0" w:tplc="7C507354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1A7"/>
    <w:rsid w:val="00001BA2"/>
    <w:rsid w:val="000076D0"/>
    <w:rsid w:val="00017098"/>
    <w:rsid w:val="00082444"/>
    <w:rsid w:val="000836AC"/>
    <w:rsid w:val="0009069A"/>
    <w:rsid w:val="0009390F"/>
    <w:rsid w:val="0009500C"/>
    <w:rsid w:val="000A3206"/>
    <w:rsid w:val="000E2B3D"/>
    <w:rsid w:val="000E7CC7"/>
    <w:rsid w:val="00111551"/>
    <w:rsid w:val="00134A12"/>
    <w:rsid w:val="001C535F"/>
    <w:rsid w:val="001D1FFA"/>
    <w:rsid w:val="001E4BFC"/>
    <w:rsid w:val="00232CFC"/>
    <w:rsid w:val="00232DE2"/>
    <w:rsid w:val="002C02C8"/>
    <w:rsid w:val="002D1DC7"/>
    <w:rsid w:val="002D59B7"/>
    <w:rsid w:val="003239B6"/>
    <w:rsid w:val="00341BDB"/>
    <w:rsid w:val="00365235"/>
    <w:rsid w:val="003E6007"/>
    <w:rsid w:val="00433A18"/>
    <w:rsid w:val="00434C13"/>
    <w:rsid w:val="00442631"/>
    <w:rsid w:val="00472113"/>
    <w:rsid w:val="004A2525"/>
    <w:rsid w:val="004A4E7B"/>
    <w:rsid w:val="004C7AB9"/>
    <w:rsid w:val="00522191"/>
    <w:rsid w:val="0053760C"/>
    <w:rsid w:val="00567BFC"/>
    <w:rsid w:val="00596884"/>
    <w:rsid w:val="005B3BEE"/>
    <w:rsid w:val="005C3175"/>
    <w:rsid w:val="005D1BEB"/>
    <w:rsid w:val="005E0A60"/>
    <w:rsid w:val="005E7F2D"/>
    <w:rsid w:val="00652BCE"/>
    <w:rsid w:val="00677168"/>
    <w:rsid w:val="006E733D"/>
    <w:rsid w:val="00723260"/>
    <w:rsid w:val="007563D1"/>
    <w:rsid w:val="007607DC"/>
    <w:rsid w:val="0079358E"/>
    <w:rsid w:val="007C210E"/>
    <w:rsid w:val="007E0550"/>
    <w:rsid w:val="007E71DB"/>
    <w:rsid w:val="00820E73"/>
    <w:rsid w:val="00850E20"/>
    <w:rsid w:val="00863631"/>
    <w:rsid w:val="008911A7"/>
    <w:rsid w:val="009B68B2"/>
    <w:rsid w:val="009E593F"/>
    <w:rsid w:val="00A756E3"/>
    <w:rsid w:val="00A8547D"/>
    <w:rsid w:val="00AB029B"/>
    <w:rsid w:val="00AB0E7B"/>
    <w:rsid w:val="00AE2AB3"/>
    <w:rsid w:val="00B05A63"/>
    <w:rsid w:val="00B11193"/>
    <w:rsid w:val="00BC7C91"/>
    <w:rsid w:val="00BF55A8"/>
    <w:rsid w:val="00C415E3"/>
    <w:rsid w:val="00C64857"/>
    <w:rsid w:val="00C905DD"/>
    <w:rsid w:val="00CA2692"/>
    <w:rsid w:val="00CB34ED"/>
    <w:rsid w:val="00CB6390"/>
    <w:rsid w:val="00D04B54"/>
    <w:rsid w:val="00D2210B"/>
    <w:rsid w:val="00D31918"/>
    <w:rsid w:val="00D63C15"/>
    <w:rsid w:val="00DB78BF"/>
    <w:rsid w:val="00DD1CB6"/>
    <w:rsid w:val="00DE34CD"/>
    <w:rsid w:val="00E1032C"/>
    <w:rsid w:val="00E45F6D"/>
    <w:rsid w:val="00EC70C5"/>
    <w:rsid w:val="00ED1939"/>
    <w:rsid w:val="00ED259A"/>
    <w:rsid w:val="00F03062"/>
    <w:rsid w:val="00F34A21"/>
    <w:rsid w:val="00F86C7D"/>
    <w:rsid w:val="00FF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6F83F"/>
  <w15:chartTrackingRefBased/>
  <w15:docId w15:val="{E6404DB3-4EF5-4010-ADC5-96FF8616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Strong">
    <w:name w:val="Strong"/>
    <w:qFormat/>
    <w:rsid w:val="00522191"/>
    <w:rPr>
      <w:b/>
      <w:bCs/>
    </w:rPr>
  </w:style>
  <w:style w:type="character" w:customStyle="1" w:styleId="ListParagraphChar">
    <w:name w:val="List Paragraph Char"/>
    <w:link w:val="ListParagraph"/>
    <w:uiPriority w:val="99"/>
    <w:locked/>
    <w:rsid w:val="002C02C8"/>
    <w:rPr>
      <w:sz w:val="24"/>
      <w:szCs w:val="24"/>
      <w:lang w:val="en-AU"/>
    </w:rPr>
  </w:style>
  <w:style w:type="paragraph" w:styleId="ListParagraph">
    <w:name w:val="List Paragraph"/>
    <w:basedOn w:val="Normal"/>
    <w:link w:val="ListParagraphChar"/>
    <w:uiPriority w:val="99"/>
    <w:qFormat/>
    <w:rsid w:val="002C02C8"/>
    <w:pPr>
      <w:ind w:left="720"/>
      <w:contextualSpacing/>
    </w:pPr>
    <w:rPr>
      <w:szCs w:val="24"/>
    </w:rPr>
  </w:style>
  <w:style w:type="character" w:customStyle="1" w:styleId="cursorpointer">
    <w:name w:val="cursorpointer"/>
    <w:basedOn w:val="DefaultParagraphFont"/>
    <w:rsid w:val="002C02C8"/>
  </w:style>
  <w:style w:type="character" w:styleId="CommentReference">
    <w:name w:val="annotation reference"/>
    <w:basedOn w:val="DefaultParagraphFont"/>
    <w:uiPriority w:val="99"/>
    <w:unhideWhenUsed/>
    <w:rsid w:val="002D59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9B7"/>
    <w:pPr>
      <w:spacing w:after="160"/>
    </w:pPr>
    <w:rPr>
      <w:rFonts w:ascii="Calibri" w:eastAsiaTheme="minorHAnsi" w:hAnsi="Calibri" w:cs="Calibri"/>
      <w:sz w:val="20"/>
      <w:lang w:val="bg-B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9B7"/>
    <w:rPr>
      <w:rFonts w:ascii="Calibri" w:eastAsiaTheme="minorHAnsi" w:hAnsi="Calibri" w:cs="Calibri"/>
    </w:rPr>
  </w:style>
  <w:style w:type="paragraph" w:styleId="BalloonText">
    <w:name w:val="Balloon Text"/>
    <w:basedOn w:val="Normal"/>
    <w:link w:val="BalloonTextChar"/>
    <w:rsid w:val="002D59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D59B7"/>
    <w:rPr>
      <w:rFonts w:ascii="Segoe UI" w:hAnsi="Segoe UI" w:cs="Segoe UI"/>
      <w:sz w:val="18"/>
      <w:szCs w:val="18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34A12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2967</Words>
  <Characters>16916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ОДОБРЯВАМ:</vt:lpstr>
    </vt:vector>
  </TitlesOfParts>
  <Company>Ministry of Transport</Company>
  <LinksUpToDate>false</LinksUpToDate>
  <CharactersWithSpaces>19844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ОДОБРЯВАМ:</dc:title>
  <dc:subject/>
  <dc:creator>Licensed User</dc:creator>
  <cp:keywords/>
  <cp:lastModifiedBy>autor</cp:lastModifiedBy>
  <cp:revision>8</cp:revision>
  <dcterms:created xsi:type="dcterms:W3CDTF">2025-08-11T13:10:00Z</dcterms:created>
  <dcterms:modified xsi:type="dcterms:W3CDTF">2025-08-27T09:29:00Z</dcterms:modified>
</cp:coreProperties>
</file>