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87" w:rsidRPr="00C6648C" w:rsidRDefault="00C6648C" w:rsidP="00C664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8C">
        <w:rPr>
          <w:rFonts w:ascii="Times New Roman" w:hAnsi="Times New Roman" w:cs="Times New Roman"/>
          <w:b/>
          <w:sz w:val="24"/>
          <w:szCs w:val="24"/>
        </w:rPr>
        <w:t>МОТИВИ</w:t>
      </w:r>
    </w:p>
    <w:p w:rsidR="00C6648C" w:rsidRPr="00C6648C" w:rsidRDefault="00C6648C" w:rsidP="00C664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987" w:rsidRPr="00C6648C" w:rsidRDefault="00C6648C" w:rsidP="009C09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48C">
        <w:rPr>
          <w:rFonts w:ascii="Times New Roman" w:hAnsi="Times New Roman" w:cs="Times New Roman"/>
          <w:b/>
          <w:sz w:val="24"/>
          <w:szCs w:val="24"/>
        </w:rPr>
        <w:t>към</w:t>
      </w:r>
      <w:r w:rsidR="009C0987" w:rsidRPr="00C6648C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C0987" w:rsidRPr="00C6648C">
        <w:rPr>
          <w:rFonts w:ascii="Times New Roman" w:hAnsi="Times New Roman" w:cs="Times New Roman"/>
          <w:b/>
          <w:sz w:val="24"/>
          <w:szCs w:val="24"/>
        </w:rPr>
        <w:t xml:space="preserve"> на Закон за общите изисквания за безопасност при предоставяне на </w:t>
      </w:r>
      <w:proofErr w:type="spellStart"/>
      <w:r w:rsidR="009C0987" w:rsidRPr="00C6648C">
        <w:rPr>
          <w:rFonts w:ascii="Times New Roman" w:hAnsi="Times New Roman" w:cs="Times New Roman"/>
          <w:b/>
          <w:sz w:val="24"/>
          <w:szCs w:val="24"/>
        </w:rPr>
        <w:t>атракционни</w:t>
      </w:r>
      <w:proofErr w:type="spellEnd"/>
      <w:r w:rsidR="009C0987" w:rsidRPr="00C6648C">
        <w:rPr>
          <w:rFonts w:ascii="Times New Roman" w:hAnsi="Times New Roman" w:cs="Times New Roman"/>
          <w:b/>
          <w:sz w:val="24"/>
          <w:szCs w:val="24"/>
        </w:rPr>
        <w:t xml:space="preserve"> услуги, предста</w:t>
      </w:r>
      <w:r w:rsidR="003218B9">
        <w:rPr>
          <w:rFonts w:ascii="Times New Roman" w:hAnsi="Times New Roman" w:cs="Times New Roman"/>
          <w:b/>
          <w:sz w:val="24"/>
          <w:szCs w:val="24"/>
        </w:rPr>
        <w:t xml:space="preserve">вляващи източник на повишена </w:t>
      </w:r>
      <w:r w:rsidR="009C0987" w:rsidRPr="00C6648C">
        <w:rPr>
          <w:rFonts w:ascii="Times New Roman" w:hAnsi="Times New Roman" w:cs="Times New Roman"/>
          <w:b/>
          <w:sz w:val="24"/>
          <w:szCs w:val="24"/>
        </w:rPr>
        <w:t>опасност</w:t>
      </w:r>
    </w:p>
    <w:p w:rsidR="009C0987" w:rsidRDefault="009C0987" w:rsidP="009C09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48C" w:rsidRPr="00C6648C" w:rsidRDefault="00C6648C" w:rsidP="009C09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D4" w:rsidRPr="0013231C" w:rsidRDefault="00E67223" w:rsidP="00132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Законопроектът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4ED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proofErr w:type="spellStart"/>
      <w:r w:rsidR="005A14ED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изготвен</w:t>
      </w:r>
      <w:proofErr w:type="spellEnd"/>
      <w:r w:rsidR="005A14ED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A14ED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</w:t>
      </w:r>
      <w:proofErr w:type="spellEnd"/>
      <w:r w:rsidR="005F4AB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2E5DBE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необходимост</w:t>
      </w:r>
      <w:r w:rsidR="005A14ED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proofErr w:type="spellEnd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F4AB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систематизирана</w:t>
      </w:r>
      <w:proofErr w:type="spellEnd"/>
      <w:r w:rsidR="005F4AB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законодателна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уредба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обществените</w:t>
      </w:r>
      <w:proofErr w:type="spellEnd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отношения</w:t>
      </w:r>
      <w:proofErr w:type="spellEnd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свързани</w:t>
      </w:r>
      <w:proofErr w:type="spellEnd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предоставянето</w:t>
      </w:r>
      <w:proofErr w:type="spellEnd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представляващи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източник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повишена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опасност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потребителите</w:t>
      </w:r>
      <w:proofErr w:type="spellEnd"/>
      <w:r w:rsidR="002E5DBE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="00573672" w:rsidRPr="009C09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</w:t>
      </w:r>
      <w:r w:rsidR="00811ED6">
        <w:rPr>
          <w:rFonts w:ascii="Times New Roman" w:eastAsia="Times New Roman" w:hAnsi="Times New Roman" w:cs="Times New Roman"/>
          <w:sz w:val="24"/>
          <w:szCs w:val="24"/>
          <w:lang w:eastAsia="bg-BG"/>
        </w:rPr>
        <w:t>ипсата</w:t>
      </w:r>
      <w:proofErr w:type="spellEnd"/>
      <w:r w:rsidR="00811E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11E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1E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обща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нормативна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уредба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proofErr w:type="spellEnd"/>
      <w:r w:rsidR="008318D4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318D4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предоставянето</w:t>
      </w:r>
      <w:proofErr w:type="spellEnd"/>
      <w:r w:rsidR="008318D4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318D4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8318D4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318D4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тези</w:t>
      </w:r>
      <w:proofErr w:type="spellEnd"/>
      <w:r w:rsidR="008318D4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318D4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  <w:proofErr w:type="spellEnd"/>
      <w:r w:rsidR="008318D4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правна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несигурност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рискове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живота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здравето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гражданите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8318D4" w:rsidRPr="009C0987" w:rsidRDefault="008318D4" w:rsidP="009C098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Законопроектът е със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 w:rsidRPr="009C09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оциална значимост, тъй като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дейностите</w:t>
      </w:r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, свързани с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атракционните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услуги</w:t>
      </w:r>
      <w:r w:rsidR="003D4827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представляващи източник на повишена опасност</w:t>
      </w:r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с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масов характер и пряко засягат безопасността на гражда</w:t>
      </w:r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ните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000A1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Целта е на наболелите проблеми в обществото, които предполагат бърза намеса на държавата, да бъде своевременно отговаряно. </w:t>
      </w:r>
    </w:p>
    <w:p w:rsidR="00DB277A" w:rsidRPr="009C0987" w:rsidRDefault="0008561B" w:rsidP="009C098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Законопроектът урежда общите изисквания за безопасност при пред</w:t>
      </w:r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оставяне на </w:t>
      </w:r>
      <w:proofErr w:type="spellStart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</w:t>
      </w:r>
      <w:proofErr w:type="spellEnd"/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услуги,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представляващи източник на повишена опасност, условията за тяхното извършване</w:t>
      </w:r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, специфични изисквания за част от посочените услуги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контролът спрямо доставчиците на тези услуги. </w:t>
      </w:r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Проектът е първата стъпка към обединена правна регламентация на този тип услуги, като процесът на правоприлагане ще посочи и необходимостта от по-нататъшна уредба. </w:t>
      </w:r>
    </w:p>
    <w:p w:rsidR="0008561B" w:rsidRPr="009C0987" w:rsidRDefault="00DB277A" w:rsidP="009C0987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09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Законопроектът цели</w:t>
      </w:r>
      <w:r w:rsidR="002E5DBE" w:rsidRPr="009C09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3D4827" w:rsidRPr="009C0987" w:rsidRDefault="009C0987" w:rsidP="0093563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въвеждане на</w:t>
      </w:r>
      <w:r w:rsidR="003D4827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 изисквания към лицата, които предоставят</w:t>
      </w:r>
      <w:r w:rsidR="00E6722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6722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</w:t>
      </w:r>
      <w:proofErr w:type="spellEnd"/>
      <w:r w:rsidR="00E6722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услуги</w:t>
      </w:r>
      <w:r w:rsidR="003D4827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представляващи източник на повишена опасност</w:t>
      </w:r>
      <w:r w:rsidR="00DB277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(наречени в законопроекта </w:t>
      </w:r>
      <w:r w:rsidR="009000A1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доставчици на </w:t>
      </w:r>
      <w:proofErr w:type="spellStart"/>
      <w:r w:rsidR="009000A1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</w:t>
      </w:r>
      <w:proofErr w:type="spellEnd"/>
      <w:r w:rsidR="009000A1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услуги, представляващи </w:t>
      </w:r>
      <w:r w:rsid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източник на повишена опасност); </w:t>
      </w:r>
      <w:r w:rsidR="002E5DBE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гарантиране на </w:t>
      </w:r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високо ниво на </w:t>
      </w:r>
      <w:r w:rsidR="002E5DBE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безопасност </w:t>
      </w:r>
      <w:r w:rsidR="00E6722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ползването на съоръженията, оборудването и екипировката, необходими за предоставянето на услугите </w:t>
      </w:r>
      <w:r w:rsidR="002E5DBE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</w:t>
      </w:r>
      <w:r w:rsidR="00E6722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въвеждане на </w:t>
      </w:r>
      <w:r w:rsidR="002E5DBE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задължителна застраховка</w:t>
      </w:r>
      <w:r w:rsidR="003D4827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5DBE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независим контрол</w:t>
      </w:r>
      <w:r w:rsidR="003D4827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Задължителната застраховка „Злополука“ осигурява реална защита на ползвателите на услугата.</w:t>
      </w:r>
      <w:r w:rsid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73672" w:rsidRPr="009C0987" w:rsidRDefault="009C0987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осигуряване на прозрачност и доверие чрез създаването на публичен регистър за лицата, предоставящи </w:t>
      </w:r>
      <w:proofErr w:type="spellStart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</w:t>
      </w:r>
      <w:proofErr w:type="spellEnd"/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услуги, представляващи източник на повишена опасност </w:t>
      </w:r>
      <w:r w:rsid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>и акредитирани органи за проверка на съответствието</w:t>
      </w:r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73672" w:rsidRPr="009C0987" w:rsidRDefault="009C0987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създаване на </w:t>
      </w:r>
      <w:r w:rsidR="002E5DBE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баланс между </w:t>
      </w:r>
      <w:r w:rsidR="0057367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защита на обществения интерес и стимулиране на бизнеса</w:t>
      </w:r>
      <w:r w:rsidR="003D4827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C27D3" w:rsidRPr="009C0987" w:rsidRDefault="002C27D3" w:rsidP="009C0987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C09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Основните моменти в законопроекта са:</w:t>
      </w:r>
    </w:p>
    <w:p w:rsidR="002C27D3" w:rsidRPr="009C0987" w:rsidRDefault="002C27D3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Дефинират се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атракционните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услуги, представляващи източник на повишена опасност, а именно: всяка дейност, свързана с използването на съоръжения, оборудване или екипировка с развлекателна цел, която би могла да доведе до непосредствена или косвена опасност за живота и/или здравето на ползвателите й и/или на трети лица, и която се предоставя срещу заплащане. </w:t>
      </w:r>
    </w:p>
    <w:p w:rsidR="002C27D3" w:rsidRPr="009C0987" w:rsidRDefault="002C27D3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Водещото в определението е тези услуги да са източник на повишена опасност или да биха могли да доведат до непосредствена или косвена опасност за живота и/или здравето на ползвателите й и/или на трети лица, и да се предоставят срещу заплащане.</w:t>
      </w:r>
    </w:p>
    <w:p w:rsidR="002C27D3" w:rsidRPr="009C0987" w:rsidRDefault="002C27D3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обхвата на законопроекта са изключени спортните дейности, спортните услуги и спортно-туристическите дейности, уредени в Закона за физическото възпитание и спорта.  </w:t>
      </w:r>
    </w:p>
    <w:p w:rsidR="00935638" w:rsidRPr="00935638" w:rsidRDefault="002117E2" w:rsidP="005D5F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Предвижда се, че в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сяко лице, което има намерение да предоставя </w:t>
      </w:r>
      <w:proofErr w:type="spellStart"/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</w:t>
      </w:r>
      <w:proofErr w:type="spellEnd"/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услуги, представляващи източник на повишена опасност преди започване на дейността си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длъжно да подаде уведомление по образец до министъра на туризма за вписване в 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публичен регистър, който ще се създаде и води в Министерството на туризма</w:t>
      </w:r>
      <w:r w:rsidR="005D5F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ще бъде част от Националния</w:t>
      </w:r>
      <w:r w:rsidR="009000A1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туристически регистър</w:t>
      </w:r>
      <w:r w:rsidR="005D5F2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Правото да се предоставят услугите ще възниква от датата на вписване в </w:t>
      </w:r>
      <w:r w:rsidR="002C27D3" w:rsidRP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регистъра.</w:t>
      </w:r>
    </w:p>
    <w:p w:rsidR="00935638" w:rsidRDefault="002117E2" w:rsidP="009356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Въвежда се изискване за задължителна застраховка „Злополука“ на лицата, ползващи </w:t>
      </w:r>
      <w:proofErr w:type="spellStart"/>
      <w:r w:rsidRP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</w:t>
      </w:r>
      <w:proofErr w:type="spellEnd"/>
      <w:r w:rsidRP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услуги</w:t>
      </w:r>
      <w:r w:rsidR="002C27D3" w:rsidRP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35638" w:rsidRP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35638" w:rsidRPr="00935638">
        <w:rPr>
          <w:rFonts w:ascii="Times New Roman" w:hAnsi="Times New Roman" w:cs="Times New Roman"/>
          <w:sz w:val="24"/>
          <w:szCs w:val="24"/>
        </w:rPr>
        <w:t xml:space="preserve">Доставчиците на </w:t>
      </w:r>
      <w:proofErr w:type="spellStart"/>
      <w:r w:rsidR="00935638" w:rsidRPr="00935638">
        <w:rPr>
          <w:rFonts w:ascii="Times New Roman" w:hAnsi="Times New Roman" w:cs="Times New Roman"/>
          <w:sz w:val="24"/>
          <w:szCs w:val="24"/>
        </w:rPr>
        <w:t>атракционни</w:t>
      </w:r>
      <w:proofErr w:type="spellEnd"/>
      <w:r w:rsidR="00935638" w:rsidRPr="00935638">
        <w:rPr>
          <w:rFonts w:ascii="Times New Roman" w:hAnsi="Times New Roman" w:cs="Times New Roman"/>
          <w:sz w:val="24"/>
          <w:szCs w:val="24"/>
        </w:rPr>
        <w:t xml:space="preserve"> услуги по чл. 2 </w:t>
      </w:r>
      <w:r w:rsidR="00C6648C">
        <w:rPr>
          <w:rFonts w:ascii="Times New Roman" w:hAnsi="Times New Roman" w:cs="Times New Roman"/>
          <w:sz w:val="24"/>
          <w:szCs w:val="24"/>
        </w:rPr>
        <w:t xml:space="preserve">от проекта </w:t>
      </w:r>
      <w:r w:rsidR="00935638" w:rsidRPr="00935638">
        <w:rPr>
          <w:rFonts w:ascii="Times New Roman" w:hAnsi="Times New Roman" w:cs="Times New Roman"/>
          <w:sz w:val="24"/>
          <w:szCs w:val="24"/>
        </w:rPr>
        <w:t xml:space="preserve">сключват задължителна застраховка „Злополука“ на лицата, които ползват </w:t>
      </w:r>
      <w:proofErr w:type="spellStart"/>
      <w:r w:rsidR="00935638" w:rsidRPr="00935638">
        <w:rPr>
          <w:rFonts w:ascii="Times New Roman" w:hAnsi="Times New Roman" w:cs="Times New Roman"/>
          <w:sz w:val="24"/>
          <w:szCs w:val="24"/>
        </w:rPr>
        <w:t>атракционни</w:t>
      </w:r>
      <w:proofErr w:type="spellEnd"/>
      <w:r w:rsidR="00935638" w:rsidRPr="00935638">
        <w:rPr>
          <w:rFonts w:ascii="Times New Roman" w:hAnsi="Times New Roman" w:cs="Times New Roman"/>
          <w:sz w:val="24"/>
          <w:szCs w:val="24"/>
        </w:rPr>
        <w:t xml:space="preserve"> услуги, представляващи източник на повишена опасност, при възникване</w:t>
      </w:r>
      <w:bookmarkStart w:id="0" w:name="_GoBack"/>
      <w:bookmarkEnd w:id="0"/>
      <w:r w:rsidR="00935638" w:rsidRPr="00935638">
        <w:rPr>
          <w:rFonts w:ascii="Times New Roman" w:hAnsi="Times New Roman" w:cs="Times New Roman"/>
          <w:sz w:val="24"/>
          <w:szCs w:val="24"/>
        </w:rPr>
        <w:t xml:space="preserve"> на застрахователен интерес. Възникване на застрахователен интерес е налице от датата на вписване в регистъра по чл. 6 от законопроекта или от датата на изтичане на сключения застрахователен договор за тази застраховка.  Обект на застраховане по задължителната застраховка са здравето, животът и телесната цялост на ползвателите на услугите. </w:t>
      </w:r>
      <w:r w:rsidR="00935638" w:rsidRPr="00935638">
        <w:rPr>
          <w:rFonts w:ascii="Times New Roman" w:hAnsi="Times New Roman" w:cs="Times New Roman"/>
          <w:bCs/>
          <w:sz w:val="24"/>
          <w:szCs w:val="24"/>
        </w:rPr>
        <w:t xml:space="preserve">Поради факта, че в големия си брой потребители на </w:t>
      </w:r>
      <w:proofErr w:type="spellStart"/>
      <w:r w:rsidR="00935638" w:rsidRPr="00935638">
        <w:rPr>
          <w:rFonts w:ascii="Times New Roman" w:hAnsi="Times New Roman" w:cs="Times New Roman"/>
          <w:bCs/>
          <w:sz w:val="24"/>
          <w:szCs w:val="24"/>
        </w:rPr>
        <w:t>атракционните</w:t>
      </w:r>
      <w:proofErr w:type="spellEnd"/>
      <w:r w:rsidR="00935638" w:rsidRPr="009356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5638" w:rsidRPr="00935638">
        <w:rPr>
          <w:rFonts w:ascii="Times New Roman" w:hAnsi="Times New Roman" w:cs="Times New Roman"/>
          <w:bCs/>
          <w:sz w:val="24"/>
          <w:szCs w:val="24"/>
        </w:rPr>
        <w:t>услути</w:t>
      </w:r>
      <w:proofErr w:type="spellEnd"/>
      <w:r w:rsidR="00935638" w:rsidRPr="00935638">
        <w:rPr>
          <w:rFonts w:ascii="Times New Roman" w:hAnsi="Times New Roman" w:cs="Times New Roman"/>
          <w:bCs/>
          <w:sz w:val="24"/>
          <w:szCs w:val="24"/>
        </w:rPr>
        <w:t xml:space="preserve">, представляващи източник  на повишена опасност, са деца, </w:t>
      </w:r>
      <w:r w:rsidR="00935638" w:rsidRPr="00935638">
        <w:rPr>
          <w:rFonts w:ascii="Times New Roman" w:hAnsi="Times New Roman" w:cs="Times New Roman"/>
          <w:sz w:val="24"/>
          <w:szCs w:val="24"/>
        </w:rPr>
        <w:t xml:space="preserve">за задължителната застраховка „Злополука“ на лицата, които ползват </w:t>
      </w:r>
      <w:proofErr w:type="spellStart"/>
      <w:r w:rsidR="00935638" w:rsidRPr="00935638">
        <w:rPr>
          <w:rFonts w:ascii="Times New Roman" w:hAnsi="Times New Roman" w:cs="Times New Roman"/>
          <w:sz w:val="24"/>
          <w:szCs w:val="24"/>
        </w:rPr>
        <w:t>атракционни</w:t>
      </w:r>
      <w:proofErr w:type="spellEnd"/>
      <w:r w:rsidR="00935638" w:rsidRPr="00935638">
        <w:rPr>
          <w:rFonts w:ascii="Times New Roman" w:hAnsi="Times New Roman" w:cs="Times New Roman"/>
          <w:sz w:val="24"/>
          <w:szCs w:val="24"/>
        </w:rPr>
        <w:t xml:space="preserve"> услуги, представляващи източник на повишена опасност, се предвижда да не се прилага чл. 438, ал. 5 от Кодекса за застраховането.</w:t>
      </w:r>
      <w:r w:rsidR="005D5F29">
        <w:rPr>
          <w:rFonts w:ascii="Times New Roman" w:hAnsi="Times New Roman" w:cs="Times New Roman"/>
          <w:sz w:val="24"/>
          <w:szCs w:val="24"/>
        </w:rPr>
        <w:t xml:space="preserve"> Със законопроекта се предлага</w:t>
      </w:r>
      <w:r w:rsidR="00935638" w:rsidRPr="00935638">
        <w:rPr>
          <w:rFonts w:ascii="Times New Roman" w:hAnsi="Times New Roman" w:cs="Times New Roman"/>
          <w:sz w:val="24"/>
          <w:szCs w:val="24"/>
        </w:rPr>
        <w:t xml:space="preserve"> размерът на минималната застрахователна сума </w:t>
      </w:r>
      <w:r w:rsidR="005D5F29">
        <w:rPr>
          <w:rFonts w:ascii="Times New Roman" w:hAnsi="Times New Roman" w:cs="Times New Roman"/>
          <w:sz w:val="24"/>
          <w:szCs w:val="24"/>
        </w:rPr>
        <w:t xml:space="preserve">да </w:t>
      </w:r>
      <w:r w:rsidR="00935638" w:rsidRPr="00935638">
        <w:rPr>
          <w:rFonts w:ascii="Times New Roman" w:hAnsi="Times New Roman" w:cs="Times New Roman"/>
          <w:sz w:val="24"/>
          <w:szCs w:val="24"/>
        </w:rPr>
        <w:t>се определя</w:t>
      </w:r>
      <w:r w:rsidR="005D5F29">
        <w:rPr>
          <w:rFonts w:ascii="Times New Roman" w:hAnsi="Times New Roman" w:cs="Times New Roman"/>
          <w:sz w:val="24"/>
          <w:szCs w:val="24"/>
        </w:rPr>
        <w:t xml:space="preserve"> от Министерския съвет и се</w:t>
      </w:r>
      <w:r w:rsidR="00935638" w:rsidRPr="00935638">
        <w:rPr>
          <w:rFonts w:ascii="Times New Roman" w:hAnsi="Times New Roman" w:cs="Times New Roman"/>
          <w:sz w:val="24"/>
          <w:szCs w:val="24"/>
        </w:rPr>
        <w:t xml:space="preserve"> изключва приложното поле на чл. 476 от Кодекса за застраховането. Съгласно </w:t>
      </w:r>
      <w:r w:rsidR="005D5F29">
        <w:rPr>
          <w:rFonts w:ascii="Times New Roman" w:hAnsi="Times New Roman" w:cs="Times New Roman"/>
          <w:sz w:val="24"/>
          <w:szCs w:val="24"/>
        </w:rPr>
        <w:t>чл. 476 от Кодекса за застраховането</w:t>
      </w:r>
      <w:r w:rsidR="00935638" w:rsidRPr="00935638">
        <w:rPr>
          <w:rFonts w:ascii="Times New Roman" w:hAnsi="Times New Roman" w:cs="Times New Roman"/>
          <w:sz w:val="24"/>
          <w:szCs w:val="24"/>
        </w:rPr>
        <w:t xml:space="preserve">, минималната застрахователна сума по задължителната застраховка „Злополука“ за всяко събитие за всеки пътник (разпоредбата се прилага съответно за настоящия законопроект), е 50 000 лв. Поради големия брой потребители на услуги, предмет на законопроекта, подобен минимален размер на застрахователна сума, би довел до невъзможност услугите да бъдат предлагани въобще.  </w:t>
      </w:r>
    </w:p>
    <w:p w:rsidR="00C6648C" w:rsidRDefault="00C6648C" w:rsidP="009356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5638" w:rsidRPr="00935638" w:rsidRDefault="00935638" w:rsidP="0093563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Ползването на</w:t>
      </w:r>
      <w:r w:rsidRPr="0092530B">
        <w:rPr>
          <w:rFonts w:ascii="Times New Roman" w:hAnsi="Times New Roman" w:cs="Times New Roman"/>
          <w:sz w:val="24"/>
          <w:szCs w:val="24"/>
        </w:rPr>
        <w:t xml:space="preserve"> услуги </w:t>
      </w:r>
      <w:r>
        <w:rPr>
          <w:rFonts w:ascii="Times New Roman" w:hAnsi="Times New Roman" w:cs="Times New Roman"/>
          <w:sz w:val="24"/>
          <w:szCs w:val="24"/>
        </w:rPr>
        <w:t xml:space="preserve">по този закон </w:t>
      </w:r>
      <w:r w:rsidRPr="0092530B">
        <w:rPr>
          <w:rFonts w:ascii="Times New Roman" w:hAnsi="Times New Roman" w:cs="Times New Roman"/>
          <w:sz w:val="24"/>
          <w:szCs w:val="24"/>
        </w:rPr>
        <w:t xml:space="preserve">от лица под 14 </w:t>
      </w:r>
      <w:r>
        <w:rPr>
          <w:rFonts w:ascii="Times New Roman" w:hAnsi="Times New Roman" w:cs="Times New Roman"/>
          <w:sz w:val="24"/>
          <w:szCs w:val="24"/>
        </w:rPr>
        <w:t xml:space="preserve">години ще </w:t>
      </w:r>
      <w:r w:rsidRPr="0092530B">
        <w:rPr>
          <w:rFonts w:ascii="Times New Roman" w:hAnsi="Times New Roman" w:cs="Times New Roman"/>
          <w:sz w:val="24"/>
          <w:szCs w:val="24"/>
        </w:rPr>
        <w:t xml:space="preserve">се разрешава, ако са придружени от пълнолетно лице, </w:t>
      </w:r>
      <w:r>
        <w:rPr>
          <w:rFonts w:ascii="Times New Roman" w:hAnsi="Times New Roman" w:cs="Times New Roman"/>
          <w:sz w:val="24"/>
          <w:szCs w:val="24"/>
        </w:rPr>
        <w:t xml:space="preserve">като със заплащането на цената на услугата пълнолетното лице се съгласява с правилата за ползване на услугата и с рисковете, свързани с нея. </w:t>
      </w:r>
    </w:p>
    <w:p w:rsidR="00935638" w:rsidRDefault="00935638" w:rsidP="0093563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27D3" w:rsidRPr="009C0987" w:rsidRDefault="002117E2" w:rsidP="0093563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Доставчиците на 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так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ще имат задължение да 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за безопасност при предоставяне на услугата и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отговорно лице за безопасността. </w:t>
      </w:r>
    </w:p>
    <w:p w:rsidR="002C27D3" w:rsidRDefault="00CC7CEA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Доставчиците ще имат също и задължение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изготвят и поддържат на видно място правила за безопасност при ползване на услугата. </w:t>
      </w:r>
    </w:p>
    <w:p w:rsidR="00935638" w:rsidRPr="009C0987" w:rsidRDefault="00935638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27D3" w:rsidRDefault="002C27D3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Въвежда се изискван</w:t>
      </w:r>
      <w:r w:rsidR="00CC7CE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е към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7CE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доставчиците ежедневно преди пускане в експлоатация да извършва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предексплоатационна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проверка.</w:t>
      </w:r>
    </w:p>
    <w:p w:rsidR="005D5F29" w:rsidRPr="009C0987" w:rsidRDefault="005D5F29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27D3" w:rsidRPr="009C0987" w:rsidRDefault="002C27D3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Министърът на регионалното развитие и благоустройството ще следва да адаптира към изискванията на закона условията и реда за устройството, безопасността и техническите изисквания към увеселителните съоръжения</w:t>
      </w:r>
      <w:r w:rsidR="00CC7CE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представляващи източник на повишена опасност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т. ч. за тяхното безопасно ползване, поддържане и контрол в наредбата по чл. 56, ал.</w:t>
      </w:r>
      <w:r w:rsidR="001323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от Закона за устройство на територията.  </w:t>
      </w:r>
    </w:p>
    <w:p w:rsidR="005D5F29" w:rsidRDefault="002C27D3" w:rsidP="005D5F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Министърът на транспорта и съобщенията ще следва да адаптира към изискванията на закона условията и реда за предоставяне на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водноатракционните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услуги</w:t>
      </w:r>
      <w:r w:rsidR="00CC7CEA" w:rsidRPr="009C0987">
        <w:rPr>
          <w:rFonts w:ascii="Times New Roman" w:hAnsi="Times New Roman" w:cs="Times New Roman"/>
          <w:sz w:val="24"/>
          <w:szCs w:val="24"/>
        </w:rPr>
        <w:t xml:space="preserve"> </w:t>
      </w:r>
      <w:r w:rsidR="00CC7CEA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представляващи източник на повишена опасност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наредбата по чл. 5, ал. 4 и чл. 76а от Закона за морските пространства, вътрешните водни пътища и пристанищата на Република България. </w:t>
      </w:r>
    </w:p>
    <w:p w:rsidR="005D5F29" w:rsidRDefault="00CC7CEA" w:rsidP="005D5F29">
      <w:pPr>
        <w:pStyle w:val="NoSpacing"/>
        <w:ind w:firstLine="708"/>
        <w:jc w:val="both"/>
        <w:rPr>
          <w:rFonts w:ascii="Times New Roman" w:eastAsia="Aptos" w:hAnsi="Times New Roman" w:cs="Times New Roman"/>
          <w:bCs/>
          <w:kern w:val="3"/>
          <w:sz w:val="24"/>
          <w:szCs w:val="24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Предвижда се изискванията по отношение на предоставяне на 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въздушноатракционни</w:t>
      </w:r>
      <w:proofErr w:type="spellEnd"/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услуги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представляващи източник на повишена опасност, за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безопасност при предоставянето им и изискванията по отношение на съоръженията, оборудван</w:t>
      </w:r>
      <w:r w:rsidR="0013231C">
        <w:rPr>
          <w:rFonts w:ascii="Times New Roman" w:eastAsia="Times New Roman" w:hAnsi="Times New Roman" w:cs="Times New Roman"/>
          <w:sz w:val="24"/>
          <w:szCs w:val="24"/>
          <w:lang w:eastAsia="bg-BG"/>
        </w:rPr>
        <w:t>ет</w:t>
      </w:r>
      <w:r w:rsidR="005D5F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и екипировката да се </w:t>
      </w:r>
      <w:r w:rsidR="005D5F29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определят с наредбата по чл. 119е, ал. 1 от Закона за гражданското въздухоплаване. </w:t>
      </w:r>
    </w:p>
    <w:p w:rsidR="00C6648C" w:rsidRDefault="00C6648C" w:rsidP="005D5F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B92" w:rsidRDefault="002C27D3" w:rsidP="005D5F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Контролът на съоръженията, оборудването и </w:t>
      </w:r>
      <w:r w:rsidR="005B0B9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екипировката, включително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предпазните средства, използвани при предоставянето на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атракционни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услуги</w:t>
      </w:r>
      <w:r w:rsidR="005B0B9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0B9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представляващи източник на повишена опасност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се извършва от акредитирани</w:t>
      </w:r>
      <w:r w:rsidR="005D5F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 за про</w:t>
      </w:r>
      <w:r w:rsid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5D5F29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>рка</w:t>
      </w:r>
      <w:r w:rsidR="005A14ED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вида А (акред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итирани дружества) съгласно изискванията на БДС EN ISO/IEC 17020. </w:t>
      </w:r>
      <w:r w:rsidR="0093563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5D5F2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кредитираните органи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извършват първоначален и периодичен контрол на съоръженията, оборудването и </w:t>
      </w:r>
      <w:r w:rsidR="005B0B9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екипировката, включително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предпазните средства, използвани при предоставянето на </w:t>
      </w:r>
      <w:r w:rsidR="005B0B9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услугите. </w:t>
      </w:r>
    </w:p>
    <w:p w:rsidR="00C6648C" w:rsidRPr="009C0987" w:rsidRDefault="00C6648C" w:rsidP="005D5F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27D3" w:rsidRPr="009C0987" w:rsidRDefault="00C6648C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са </w:t>
      </w:r>
      <w:r w:rsidR="002C27D3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принудителни административни мерки, както и административно-наказателна отговорност за лицата, допуснали съответните нарушения. </w:t>
      </w:r>
    </w:p>
    <w:p w:rsidR="002C27D3" w:rsidRDefault="002C27D3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Посочени са контролните органи</w:t>
      </w:r>
      <w:r w:rsidR="005B0B9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контролните им функции по прилагането на закона</w:t>
      </w:r>
      <w:r w:rsidR="009000A1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кметът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общината </w:t>
      </w:r>
      <w:r w:rsidR="005D5F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на района, където има такъв, или оправомощени от тях длъжностни лица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местонахождение на предоставянето на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атракционната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услуга</w:t>
      </w:r>
      <w:r w:rsidR="005B0B9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представляваща източник на повишена опасност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; Главна дирекция „Гражданска въздухоплавателна администрация“;  Изпълнителна агенция „Морска администрация“</w:t>
      </w:r>
      <w:r w:rsidR="005B0B9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за защита на потребителите</w:t>
      </w:r>
      <w:r w:rsidR="005D5F29">
        <w:rPr>
          <w:rFonts w:ascii="Times New Roman" w:eastAsia="Times New Roman" w:hAnsi="Times New Roman" w:cs="Times New Roman"/>
          <w:sz w:val="24"/>
          <w:szCs w:val="24"/>
          <w:lang w:eastAsia="bg-BG"/>
        </w:rPr>
        <w:t>, или оправомощени от тях длъжностни лица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3231C" w:rsidRPr="009C0987" w:rsidRDefault="0013231C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27D3" w:rsidRDefault="002C27D3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Законопроектът прави и полезна </w:t>
      </w:r>
      <w:proofErr w:type="spellStart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привръзка</w:t>
      </w:r>
      <w:proofErr w:type="spellEnd"/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 услугите, предмет на неговата уредба, когато с действия или бездействия са нарушени изискванията за безопасност при тяхното предоставяне и текста на чл. 123 от НК, като ясно се посочва, че за да бъде приложен законът към съответната услуга, освен изброените други елементи, е необходимо последната да е източник на повишена опасност.</w:t>
      </w:r>
    </w:p>
    <w:p w:rsidR="00C6648C" w:rsidRDefault="00C6648C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648C" w:rsidRPr="005D5F29" w:rsidRDefault="00C6648C" w:rsidP="00C6648C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Проектът предвижда съответните срокове за издаване и приемане на подзаконовите нормативни актове по прилагане на закона, както и привеждането в съответствие с разпоредбите на закона на издадени или приети подзаконови нормативни актове. </w:t>
      </w:r>
      <w:r w:rsidRPr="00233099">
        <w:rPr>
          <w:rFonts w:ascii="Times New Roman" w:hAnsi="Times New Roman" w:cs="Times New Roman"/>
          <w:sz w:val="24"/>
          <w:szCs w:val="24"/>
        </w:rPr>
        <w:t>Лицата, които пре</w:t>
      </w:r>
      <w:r>
        <w:rPr>
          <w:rFonts w:ascii="Times New Roman" w:hAnsi="Times New Roman" w:cs="Times New Roman"/>
          <w:sz w:val="24"/>
          <w:szCs w:val="24"/>
        </w:rPr>
        <w:t>доставят услуги, посочени в</w:t>
      </w:r>
      <w:r w:rsidRPr="0023309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опроекта следва да приве</w:t>
      </w:r>
      <w:r w:rsidRPr="00233099">
        <w:rPr>
          <w:rFonts w:ascii="Times New Roman" w:hAnsi="Times New Roman" w:cs="Times New Roman"/>
          <w:sz w:val="24"/>
          <w:szCs w:val="24"/>
        </w:rPr>
        <w:t>дат дейността си в съответствие с неговите изисквания</w:t>
      </w:r>
      <w:r>
        <w:rPr>
          <w:rFonts w:ascii="Times New Roman" w:hAnsi="Times New Roman" w:cs="Times New Roman"/>
          <w:sz w:val="24"/>
          <w:szCs w:val="24"/>
        </w:rPr>
        <w:t xml:space="preserve"> в 6-месечен срок от влизане му в сила.</w:t>
      </w:r>
    </w:p>
    <w:p w:rsidR="0013231C" w:rsidRPr="009C0987" w:rsidRDefault="0013231C" w:rsidP="009C098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648C" w:rsidRDefault="002C27D3" w:rsidP="00C6648C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5B0B9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Преходните и 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заключи</w:t>
      </w:r>
      <w:r w:rsidR="00C6648C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телни разпоредби са предложени</w:t>
      </w:r>
      <w:r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промени, касаещи тази дейност, в други закони:</w:t>
      </w:r>
      <w:r w:rsidR="005B0B92" w:rsidRPr="009C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Кодекса за търговското корабоплаването, Кодекса за застраховането, Закона за автомобилните превози и Закона за гражданското въздухоплаване.</w:t>
      </w:r>
    </w:p>
    <w:p w:rsidR="00C6648C" w:rsidRDefault="00C6648C" w:rsidP="00C6648C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3304" w:rsidRPr="009C0987" w:rsidRDefault="005C3304" w:rsidP="009C098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C3304" w:rsidRPr="009C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2574"/>
    <w:multiLevelType w:val="hybridMultilevel"/>
    <w:tmpl w:val="A1F24D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D6F86"/>
    <w:multiLevelType w:val="multilevel"/>
    <w:tmpl w:val="86DE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01A33"/>
    <w:multiLevelType w:val="multilevel"/>
    <w:tmpl w:val="73DA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B4574"/>
    <w:multiLevelType w:val="multilevel"/>
    <w:tmpl w:val="640C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5A37DE"/>
    <w:multiLevelType w:val="multilevel"/>
    <w:tmpl w:val="E91E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B5"/>
    <w:rsid w:val="0003782C"/>
    <w:rsid w:val="00081DC0"/>
    <w:rsid w:val="0008561B"/>
    <w:rsid w:val="0013231C"/>
    <w:rsid w:val="001323CA"/>
    <w:rsid w:val="001334B6"/>
    <w:rsid w:val="0016039F"/>
    <w:rsid w:val="002117E2"/>
    <w:rsid w:val="00226FF9"/>
    <w:rsid w:val="00262532"/>
    <w:rsid w:val="002C27D3"/>
    <w:rsid w:val="002D1CA0"/>
    <w:rsid w:val="002E5DBE"/>
    <w:rsid w:val="00307D50"/>
    <w:rsid w:val="003218B9"/>
    <w:rsid w:val="003D4827"/>
    <w:rsid w:val="0048121D"/>
    <w:rsid w:val="004D028F"/>
    <w:rsid w:val="00571B9B"/>
    <w:rsid w:val="00573672"/>
    <w:rsid w:val="005A14ED"/>
    <w:rsid w:val="005B0B92"/>
    <w:rsid w:val="005C3304"/>
    <w:rsid w:val="005D5F29"/>
    <w:rsid w:val="005F4AB2"/>
    <w:rsid w:val="007D632E"/>
    <w:rsid w:val="00811ED6"/>
    <w:rsid w:val="00831821"/>
    <w:rsid w:val="008318D4"/>
    <w:rsid w:val="008A2EE5"/>
    <w:rsid w:val="009000A1"/>
    <w:rsid w:val="00935638"/>
    <w:rsid w:val="009B46B5"/>
    <w:rsid w:val="009C0987"/>
    <w:rsid w:val="00C6648C"/>
    <w:rsid w:val="00CC7CEA"/>
    <w:rsid w:val="00D06C8F"/>
    <w:rsid w:val="00DB277A"/>
    <w:rsid w:val="00E67223"/>
    <w:rsid w:val="00EF7520"/>
    <w:rsid w:val="00FA0C36"/>
    <w:rsid w:val="00FC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7603"/>
  <w15:chartTrackingRefBased/>
  <w15:docId w15:val="{B0B0B04F-7C81-4E77-943E-4A7FC793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31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672"/>
    <w:pPr>
      <w:ind w:left="720"/>
      <w:contextualSpacing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8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C09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5638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Krasimira Stoyanova</cp:lastModifiedBy>
  <cp:revision>4</cp:revision>
  <cp:lastPrinted>2025-10-21T06:05:00Z</cp:lastPrinted>
  <dcterms:created xsi:type="dcterms:W3CDTF">2025-10-21T06:13:00Z</dcterms:created>
  <dcterms:modified xsi:type="dcterms:W3CDTF">2025-10-22T08:40:00Z</dcterms:modified>
</cp:coreProperties>
</file>