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15061" w14:textId="77777777" w:rsidR="005E29A1" w:rsidRDefault="005E29A1" w:rsidP="005E29A1">
      <w:pPr>
        <w:rPr>
          <w:lang w:val="en-US"/>
        </w:rPr>
      </w:pPr>
    </w:p>
    <w:p w14:paraId="5B255D0C" w14:textId="77777777" w:rsidR="005E29A1" w:rsidRDefault="005E29A1" w:rsidP="005E29A1">
      <w:pPr>
        <w:ind w:firstLine="142"/>
        <w:rPr>
          <w:b/>
          <w:lang w:val="bg-BG"/>
        </w:rPr>
      </w:pPr>
      <w:r>
        <w:rPr>
          <w:b/>
          <w:lang w:val="bg-BG"/>
        </w:rPr>
        <w:t>ОДОБРЯВАМ:</w:t>
      </w:r>
    </w:p>
    <w:p w14:paraId="436F7DF6" w14:textId="77777777" w:rsidR="005E29A1" w:rsidRDefault="005E29A1" w:rsidP="005E29A1">
      <w:pPr>
        <w:rPr>
          <w:b/>
          <w:lang w:val="bg-BG"/>
        </w:rPr>
      </w:pPr>
    </w:p>
    <w:p w14:paraId="27400FB9" w14:textId="77777777" w:rsidR="005E29A1" w:rsidRDefault="005E6474" w:rsidP="005E29A1">
      <w:pPr>
        <w:rPr>
          <w:b/>
          <w:lang w:val="bg-BG"/>
        </w:rPr>
      </w:pPr>
      <w:r>
        <w:rPr>
          <w:b/>
          <w:lang w:val="bg-BG"/>
        </w:rPr>
        <w:pict w14:anchorId="3D5A3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263328F8-42A9-4EAE-83E4-2818ACC5A892}" provid="{00000000-0000-0000-0000-000000000000}" o:suggestedsigner="Гроздан Караджов" issignatureline="t"/>
          </v:shape>
        </w:pict>
      </w:r>
      <w:r w:rsidR="005E29A1">
        <w:rPr>
          <w:b/>
          <w:lang w:val="bg-BG"/>
        </w:rPr>
        <w:t xml:space="preserve">                               </w:t>
      </w:r>
      <w:r w:rsidR="009E7A8F">
        <w:rPr>
          <w:b/>
          <w:lang w:val="bg-BG"/>
        </w:rPr>
        <w:pict w14:anchorId="48246193">
          <v:shape id="_x0000_i1026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4F67E80D-3C8F-4A2E-9F20-725D91D939AF}" provid="{00000000-0000-0000-0000-000000000000}" o:suggestedsigner="Рег. №" issignatureline="t"/>
          </v:shape>
        </w:pict>
      </w:r>
    </w:p>
    <w:p w14:paraId="5FA7FF60" w14:textId="77777777" w:rsidR="005E29A1" w:rsidRPr="00001BA2" w:rsidRDefault="005E29A1" w:rsidP="005E29A1">
      <w:pPr>
        <w:jc w:val="both"/>
        <w:rPr>
          <w:bCs/>
          <w:i/>
          <w:iCs/>
          <w:lang w:val="bg-BG"/>
        </w:rPr>
      </w:pPr>
      <w:r w:rsidRPr="00001BA2">
        <w:rPr>
          <w:bCs/>
          <w:i/>
          <w:iCs/>
          <w:lang w:val="bg-BG"/>
        </w:rPr>
        <w:t xml:space="preserve">Заместник министър-председател и </w:t>
      </w:r>
    </w:p>
    <w:p w14:paraId="4AFCF78A" w14:textId="77777777" w:rsidR="005E29A1" w:rsidRPr="00001BA2" w:rsidRDefault="005E29A1" w:rsidP="005E29A1">
      <w:pPr>
        <w:jc w:val="both"/>
        <w:rPr>
          <w:bCs/>
          <w:i/>
          <w:iCs/>
          <w:lang w:val="ru-RU"/>
        </w:rPr>
      </w:pPr>
      <w:r w:rsidRPr="00001BA2">
        <w:rPr>
          <w:bCs/>
          <w:i/>
          <w:iCs/>
          <w:lang w:val="bg-BG"/>
        </w:rPr>
        <w:t>министър на транспорта и съобщенията</w:t>
      </w:r>
    </w:p>
    <w:p w14:paraId="65B15806" w14:textId="71A79895" w:rsidR="005E29A1" w:rsidRDefault="005E29A1" w:rsidP="005E29A1">
      <w:pPr>
        <w:rPr>
          <w:lang w:val="bg-BG"/>
        </w:rPr>
      </w:pPr>
    </w:p>
    <w:p w14:paraId="45959386" w14:textId="77777777" w:rsidR="00DC6DE3" w:rsidRPr="008911A7" w:rsidRDefault="00DC6DE3" w:rsidP="005E29A1">
      <w:pPr>
        <w:rPr>
          <w:lang w:val="bg-BG"/>
        </w:rPr>
      </w:pPr>
    </w:p>
    <w:p w14:paraId="5F8AD7C9" w14:textId="77777777" w:rsidR="005E29A1" w:rsidRPr="008911A7" w:rsidRDefault="005E29A1" w:rsidP="005E29A1">
      <w:pPr>
        <w:pStyle w:val="Heading1"/>
        <w:rPr>
          <w:lang w:val="bg-BG"/>
        </w:rPr>
      </w:pPr>
      <w:r w:rsidRPr="008911A7">
        <w:rPr>
          <w:lang w:val="bg-BG"/>
        </w:rPr>
        <w:t>ДОКЛАД</w:t>
      </w:r>
    </w:p>
    <w:p w14:paraId="6C8532A7" w14:textId="77777777" w:rsidR="005E29A1" w:rsidRPr="008911A7" w:rsidRDefault="005E29A1" w:rsidP="005E29A1">
      <w:pPr>
        <w:jc w:val="center"/>
        <w:rPr>
          <w:lang w:val="bg-BG"/>
        </w:rPr>
      </w:pPr>
    </w:p>
    <w:p w14:paraId="4CF51B71" w14:textId="77777777" w:rsidR="005E29A1" w:rsidRPr="000353D2" w:rsidRDefault="005E29A1" w:rsidP="005E29A1">
      <w:pPr>
        <w:jc w:val="center"/>
        <w:rPr>
          <w:lang w:val="bg-BG"/>
        </w:rPr>
      </w:pPr>
      <w:r>
        <w:t xml:space="preserve">от </w:t>
      </w:r>
      <w:r>
        <w:rPr>
          <w:b/>
          <w:lang w:val="bg-BG"/>
        </w:rPr>
        <w:t>Димитър Недялков</w:t>
      </w:r>
    </w:p>
    <w:p w14:paraId="722A91BE" w14:textId="1EBD4351" w:rsidR="005E29A1" w:rsidRPr="00B6546E" w:rsidRDefault="0018487E" w:rsidP="005E29A1">
      <w:pPr>
        <w:tabs>
          <w:tab w:val="left" w:pos="3119"/>
        </w:tabs>
        <w:ind w:firstLine="709"/>
        <w:jc w:val="center"/>
        <w:rPr>
          <w:i/>
        </w:rPr>
      </w:pPr>
      <w:r>
        <w:rPr>
          <w:i/>
          <w:lang w:val="bg-BG"/>
        </w:rPr>
        <w:t>з</w:t>
      </w:r>
      <w:r w:rsidR="005E29A1" w:rsidRPr="00B6546E">
        <w:rPr>
          <w:i/>
        </w:rPr>
        <w:t>аместник-министър на транспорта и съобщенията</w:t>
      </w:r>
    </w:p>
    <w:p w14:paraId="6626221A" w14:textId="77777777" w:rsidR="005E29A1" w:rsidRDefault="005E29A1" w:rsidP="005E29A1">
      <w:pPr>
        <w:rPr>
          <w:b/>
        </w:rPr>
      </w:pPr>
    </w:p>
    <w:p w14:paraId="5FF737DA" w14:textId="77777777" w:rsidR="005E29A1" w:rsidRDefault="005E29A1" w:rsidP="005E29A1">
      <w:pPr>
        <w:rPr>
          <w:b/>
        </w:rPr>
      </w:pPr>
    </w:p>
    <w:p w14:paraId="2A26A26E" w14:textId="6C52480F" w:rsidR="00673346" w:rsidRPr="002029AB" w:rsidRDefault="005E29A1" w:rsidP="00673346">
      <w:pPr>
        <w:jc w:val="both"/>
        <w:rPr>
          <w:i/>
          <w:color w:val="000000" w:themeColor="text1"/>
          <w:szCs w:val="24"/>
          <w:lang w:val="bg-BG"/>
        </w:rPr>
      </w:pPr>
      <w:r w:rsidRPr="002344CE">
        <w:rPr>
          <w:b/>
          <w:szCs w:val="24"/>
        </w:rPr>
        <w:t>Относно:</w:t>
      </w:r>
      <w:r w:rsidRPr="002344CE">
        <w:rPr>
          <w:b/>
          <w:sz w:val="28"/>
        </w:rPr>
        <w:t xml:space="preserve"> </w:t>
      </w:r>
      <w:r w:rsidR="00966830" w:rsidRPr="002029AB">
        <w:rPr>
          <w:i/>
          <w:szCs w:val="24"/>
          <w:lang w:val="bg-BG"/>
        </w:rPr>
        <w:t>п</w:t>
      </w:r>
      <w:r w:rsidR="00673346" w:rsidRPr="002029AB">
        <w:rPr>
          <w:i/>
          <w:szCs w:val="24"/>
          <w:lang w:val="bg-BG"/>
        </w:rPr>
        <w:t>убликуване за обществено обсъждане на проект на Постановление на Министерския съвет за изменение</w:t>
      </w:r>
      <w:r w:rsidR="00673346" w:rsidRPr="002029AB">
        <w:rPr>
          <w:i/>
          <w:color w:val="000000" w:themeColor="text1"/>
          <w:szCs w:val="24"/>
        </w:rPr>
        <w:t xml:space="preserve"> и допълнение на Методиката за изчисляване на нетните разходи от извършване на универсалната пощенска услуга и за определяне на критерии за наличие на несправедлива финансова тежест</w:t>
      </w:r>
      <w:r w:rsidR="00673346" w:rsidRPr="002029AB">
        <w:rPr>
          <w:i/>
          <w:color w:val="000000" w:themeColor="text1"/>
          <w:szCs w:val="24"/>
          <w:lang w:val="bg-BG"/>
        </w:rPr>
        <w:t xml:space="preserve">, приета </w:t>
      </w:r>
      <w:r w:rsidR="00673346" w:rsidRPr="002029AB">
        <w:rPr>
          <w:i/>
          <w:szCs w:val="24"/>
          <w:lang w:val="bg-BG"/>
        </w:rPr>
        <w:t>с Постановление № 131 на Министерския съвет от 2021 г. (обн. ДВ, бр. 28 от 2021 г.)</w:t>
      </w:r>
    </w:p>
    <w:p w14:paraId="27320F95" w14:textId="77777777" w:rsidR="005E29A1" w:rsidRPr="00673346" w:rsidRDefault="005E29A1" w:rsidP="005E29A1">
      <w:pPr>
        <w:shd w:val="clear" w:color="auto" w:fill="FFFFFF"/>
        <w:spacing w:line="360" w:lineRule="auto"/>
        <w:ind w:firstLine="720"/>
        <w:jc w:val="both"/>
        <w:rPr>
          <w:b/>
          <w:color w:val="000000"/>
          <w:lang w:val="en-US"/>
        </w:rPr>
      </w:pPr>
    </w:p>
    <w:p w14:paraId="468C94C1" w14:textId="77777777" w:rsidR="005E29A1" w:rsidRDefault="005E29A1" w:rsidP="005E29A1">
      <w:pPr>
        <w:shd w:val="clear" w:color="auto" w:fill="FFFFFF"/>
        <w:spacing w:line="360" w:lineRule="auto"/>
        <w:ind w:firstLine="720"/>
        <w:jc w:val="both"/>
        <w:rPr>
          <w:b/>
          <w:color w:val="000000"/>
        </w:rPr>
      </w:pPr>
      <w:r w:rsidRPr="002344CE">
        <w:rPr>
          <w:b/>
          <w:color w:val="000000"/>
        </w:rPr>
        <w:t>УВАЖАЕМ</w:t>
      </w:r>
      <w:r>
        <w:rPr>
          <w:b/>
          <w:color w:val="000000"/>
          <w:lang w:val="bg-BG"/>
        </w:rPr>
        <w:t>И</w:t>
      </w:r>
      <w:r w:rsidRPr="002344CE">
        <w:rPr>
          <w:b/>
          <w:color w:val="000000"/>
        </w:rPr>
        <w:t xml:space="preserve"> ГОСПО</w:t>
      </w:r>
      <w:r>
        <w:rPr>
          <w:b/>
          <w:color w:val="000000"/>
          <w:lang w:val="bg-BG"/>
        </w:rPr>
        <w:t>ДИН КАРАДЖОВ</w:t>
      </w:r>
      <w:r>
        <w:rPr>
          <w:b/>
          <w:color w:val="000000"/>
        </w:rPr>
        <w:t>,</w:t>
      </w:r>
    </w:p>
    <w:p w14:paraId="1A3390D9" w14:textId="326E15CC" w:rsidR="005E29A1" w:rsidRDefault="0018487E" w:rsidP="005E29A1">
      <w:pPr>
        <w:ind w:firstLine="709"/>
        <w:jc w:val="both"/>
        <w:rPr>
          <w:rFonts w:eastAsiaTheme="minorHAnsi"/>
          <w:szCs w:val="24"/>
          <w:lang w:val="bg-BG"/>
        </w:rPr>
      </w:pPr>
      <w:r>
        <w:rPr>
          <w:rFonts w:eastAsiaTheme="minorHAnsi"/>
          <w:szCs w:val="24"/>
          <w:lang w:val="bg-BG"/>
        </w:rPr>
        <w:t>П</w:t>
      </w:r>
      <w:r w:rsidRPr="00673346">
        <w:rPr>
          <w:rFonts w:eastAsiaTheme="minorHAnsi"/>
          <w:szCs w:val="24"/>
        </w:rPr>
        <w:t>редседателя</w:t>
      </w:r>
      <w:r>
        <w:rPr>
          <w:rFonts w:eastAsiaTheme="minorHAnsi"/>
          <w:szCs w:val="24"/>
          <w:lang w:val="bg-BG"/>
        </w:rPr>
        <w:t>т</w:t>
      </w:r>
      <w:r w:rsidRPr="00673346">
        <w:rPr>
          <w:rFonts w:eastAsiaTheme="minorHAnsi"/>
          <w:szCs w:val="24"/>
        </w:rPr>
        <w:t xml:space="preserve"> на Комисията за регулиране на съобщенията</w:t>
      </w:r>
      <w:r>
        <w:rPr>
          <w:rFonts w:eastAsiaTheme="minorHAnsi"/>
          <w:szCs w:val="24"/>
          <w:lang w:val="bg-BG"/>
        </w:rPr>
        <w:t xml:space="preserve"> с</w:t>
      </w:r>
      <w:r w:rsidR="00B42FE6">
        <w:rPr>
          <w:rFonts w:eastAsiaTheme="minorHAnsi"/>
          <w:szCs w:val="24"/>
          <w:lang w:val="bg-BG"/>
        </w:rPr>
        <w:t xml:space="preserve">ъс Заповед </w:t>
      </w:r>
      <w:r w:rsidR="00673346" w:rsidRPr="00673346">
        <w:rPr>
          <w:rFonts w:eastAsiaTheme="minorHAnsi"/>
          <w:szCs w:val="24"/>
        </w:rPr>
        <w:t xml:space="preserve">№ РД-07-242/16.05.2025 г. </w:t>
      </w:r>
      <w:r w:rsidR="00B42FE6">
        <w:rPr>
          <w:rFonts w:eastAsiaTheme="minorHAnsi"/>
          <w:szCs w:val="24"/>
          <w:lang w:val="bg-BG"/>
        </w:rPr>
        <w:t>сформира междуведомствена работна група с участието на представители на Министерството на транспорта и съобщенията, Министерство на финансите и Комисията за регулиране на съобщенията със задача да</w:t>
      </w:r>
      <w:r w:rsidR="00673346" w:rsidRPr="00673346">
        <w:rPr>
          <w:rFonts w:eastAsiaTheme="minorHAnsi"/>
          <w:szCs w:val="24"/>
        </w:rPr>
        <w:t xml:space="preserve"> изготв</w:t>
      </w:r>
      <w:r w:rsidR="00B42FE6">
        <w:rPr>
          <w:rFonts w:eastAsiaTheme="minorHAnsi"/>
          <w:szCs w:val="24"/>
          <w:lang w:val="bg-BG"/>
        </w:rPr>
        <w:t>и</w:t>
      </w:r>
      <w:r w:rsidR="00673346" w:rsidRPr="00673346">
        <w:rPr>
          <w:rFonts w:eastAsiaTheme="minorHAnsi"/>
          <w:szCs w:val="24"/>
        </w:rPr>
        <w:t xml:space="preserve"> проект за изменение </w:t>
      </w:r>
      <w:r w:rsidR="00B42FE6">
        <w:rPr>
          <w:rFonts w:eastAsiaTheme="minorHAnsi"/>
          <w:szCs w:val="24"/>
          <w:lang w:val="bg-BG"/>
        </w:rPr>
        <w:t xml:space="preserve">и допълнение </w:t>
      </w:r>
      <w:r w:rsidR="00673346" w:rsidRPr="00673346">
        <w:rPr>
          <w:rFonts w:eastAsiaTheme="minorHAnsi"/>
          <w:szCs w:val="24"/>
        </w:rPr>
        <w:t>на Методиката за изчисляване на нетните разходи от извършване на универсалната пощенска услуга и за определяне на критерии за наличие на несправедлива финансова тежест</w:t>
      </w:r>
      <w:r w:rsidR="00B42FE6">
        <w:rPr>
          <w:rFonts w:eastAsiaTheme="minorHAnsi"/>
          <w:szCs w:val="24"/>
          <w:lang w:val="bg-BG"/>
        </w:rPr>
        <w:t xml:space="preserve"> (Методиката). В работата по изготвянето на проекта участие взеха и представители на „Български пощи“ ЕАД.</w:t>
      </w:r>
    </w:p>
    <w:p w14:paraId="47489B6A" w14:textId="77777777" w:rsidR="0018487E" w:rsidRDefault="0018487E" w:rsidP="005E29A1">
      <w:pPr>
        <w:ind w:firstLine="709"/>
        <w:jc w:val="both"/>
        <w:rPr>
          <w:rFonts w:eastAsiaTheme="minorHAnsi"/>
          <w:szCs w:val="24"/>
          <w:lang w:val="bg-BG"/>
        </w:rPr>
      </w:pPr>
      <w:r>
        <w:rPr>
          <w:rFonts w:eastAsiaTheme="minorHAnsi"/>
          <w:szCs w:val="24"/>
          <w:lang w:val="bg-BG"/>
        </w:rPr>
        <w:t xml:space="preserve">Съгласно Закона за пощенските услуги Методиката </w:t>
      </w:r>
      <w:r w:rsidRPr="0018487E">
        <w:rPr>
          <w:rFonts w:eastAsiaTheme="minorHAnsi"/>
          <w:szCs w:val="24"/>
          <w:lang w:val="bg-BG"/>
        </w:rPr>
        <w:t>за изчисляване на нетните разходи от извършване на универсалната пощенска услуга и за определяне на критерии за наличие на несправедлива финансова тежест се приема от Министерския съвет по предложение на Комисията за регулиране на съобщенията</w:t>
      </w:r>
      <w:r>
        <w:rPr>
          <w:rFonts w:eastAsiaTheme="minorHAnsi"/>
          <w:szCs w:val="24"/>
          <w:lang w:val="bg-BG"/>
        </w:rPr>
        <w:t>.</w:t>
      </w:r>
    </w:p>
    <w:p w14:paraId="477F0F65" w14:textId="115CF7D0" w:rsidR="00B42FE6" w:rsidRDefault="00BF0CE2" w:rsidP="005E29A1">
      <w:pPr>
        <w:ind w:firstLine="709"/>
        <w:jc w:val="both"/>
        <w:rPr>
          <w:rFonts w:eastAsia="Aptos"/>
          <w:szCs w:val="24"/>
        </w:rPr>
      </w:pPr>
      <w:r>
        <w:rPr>
          <w:rFonts w:eastAsiaTheme="minorHAnsi"/>
          <w:szCs w:val="24"/>
          <w:lang w:val="bg-BG"/>
        </w:rPr>
        <w:t>Н</w:t>
      </w:r>
      <w:r w:rsidR="00B42FE6">
        <w:rPr>
          <w:rFonts w:eastAsiaTheme="minorHAnsi"/>
          <w:szCs w:val="24"/>
          <w:lang w:val="bg-BG"/>
        </w:rPr>
        <w:t xml:space="preserve">еобходимостта от </w:t>
      </w:r>
      <w:r>
        <w:rPr>
          <w:rFonts w:eastAsiaTheme="minorHAnsi"/>
          <w:szCs w:val="24"/>
          <w:lang w:val="bg-BG"/>
        </w:rPr>
        <w:t xml:space="preserve">изменение на Методиката </w:t>
      </w:r>
      <w:r w:rsidR="00B42FE6">
        <w:rPr>
          <w:rFonts w:eastAsiaTheme="minorHAnsi"/>
          <w:szCs w:val="24"/>
          <w:lang w:val="bg-BG"/>
        </w:rPr>
        <w:t xml:space="preserve">е обусловена от изпратеното до Европейската комисия </w:t>
      </w:r>
      <w:r w:rsidR="00AB3D1A">
        <w:rPr>
          <w:rFonts w:eastAsiaTheme="minorHAnsi"/>
          <w:szCs w:val="24"/>
          <w:lang w:val="bg-BG"/>
        </w:rPr>
        <w:t xml:space="preserve">от страна на Република България </w:t>
      </w:r>
      <w:r w:rsidR="00B42FE6">
        <w:rPr>
          <w:rFonts w:eastAsia="Aptos"/>
          <w:szCs w:val="24"/>
        </w:rPr>
        <w:t>уведомление за държавна помощ за универсалната пощенска услуга</w:t>
      </w:r>
      <w:r w:rsidR="00B42FE6">
        <w:rPr>
          <w:rStyle w:val="FootnoteReference"/>
          <w:rFonts w:eastAsia="Aptos"/>
          <w:szCs w:val="24"/>
        </w:rPr>
        <w:footnoteReference w:id="1"/>
      </w:r>
      <w:r w:rsidR="00B42FE6">
        <w:rPr>
          <w:rFonts w:eastAsia="Aptos"/>
          <w:szCs w:val="24"/>
        </w:rPr>
        <w:t xml:space="preserve"> </w:t>
      </w:r>
      <w:r>
        <w:rPr>
          <w:rFonts w:eastAsia="Aptos"/>
          <w:szCs w:val="24"/>
          <w:lang w:val="bg-BG"/>
        </w:rPr>
        <w:t>(УПУ) и с</w:t>
      </w:r>
      <w:r w:rsidR="00B42FE6">
        <w:rPr>
          <w:rFonts w:eastAsia="Aptos"/>
          <w:szCs w:val="24"/>
        </w:rPr>
        <w:t xml:space="preserve">тартиране на </w:t>
      </w:r>
      <w:r>
        <w:rPr>
          <w:rFonts w:eastAsia="Aptos"/>
          <w:szCs w:val="24"/>
          <w:lang w:val="bg-BG"/>
        </w:rPr>
        <w:t xml:space="preserve">неговото </w:t>
      </w:r>
      <w:r w:rsidR="00B42FE6">
        <w:rPr>
          <w:rFonts w:eastAsia="Aptos"/>
          <w:szCs w:val="24"/>
        </w:rPr>
        <w:t>разглеждане</w:t>
      </w:r>
      <w:r>
        <w:rPr>
          <w:rFonts w:eastAsia="Aptos"/>
          <w:szCs w:val="24"/>
          <w:lang w:val="bg-BG"/>
        </w:rPr>
        <w:t>.</w:t>
      </w:r>
      <w:r w:rsidR="00B42FE6">
        <w:rPr>
          <w:rFonts w:eastAsia="Aptos"/>
          <w:szCs w:val="24"/>
        </w:rPr>
        <w:t xml:space="preserve"> </w:t>
      </w:r>
    </w:p>
    <w:p w14:paraId="707E6005" w14:textId="2083F398" w:rsidR="00BF0CE2" w:rsidRDefault="0018487E" w:rsidP="00BF0CE2">
      <w:pPr>
        <w:ind w:firstLine="708"/>
        <w:jc w:val="both"/>
        <w:rPr>
          <w:rFonts w:eastAsiaTheme="minorHAnsi"/>
          <w:szCs w:val="24"/>
          <w:lang w:val="bg-BG"/>
        </w:rPr>
      </w:pPr>
      <w:r>
        <w:rPr>
          <w:rFonts w:eastAsiaTheme="minorHAnsi"/>
          <w:szCs w:val="24"/>
          <w:lang w:val="bg-BG"/>
        </w:rPr>
        <w:t>Задължението за предоставяне</w:t>
      </w:r>
      <w:r w:rsidR="00BF0CE2" w:rsidRPr="00CB78D7">
        <w:rPr>
          <w:rFonts w:eastAsiaTheme="minorHAnsi"/>
          <w:szCs w:val="24"/>
          <w:lang w:val="en-US"/>
        </w:rPr>
        <w:t xml:space="preserve"> на </w:t>
      </w:r>
      <w:r w:rsidR="00BF0CE2">
        <w:rPr>
          <w:rFonts w:eastAsiaTheme="minorHAnsi"/>
          <w:szCs w:val="24"/>
          <w:lang w:val="bg-BG"/>
        </w:rPr>
        <w:t>УПУ</w:t>
      </w:r>
      <w:r w:rsidR="00BF0CE2" w:rsidRPr="00CB78D7">
        <w:rPr>
          <w:rFonts w:eastAsiaTheme="minorHAnsi"/>
          <w:szCs w:val="24"/>
          <w:lang w:val="en-US"/>
        </w:rPr>
        <w:t xml:space="preserve"> води до нетни разходи и представлява несправедлива финансова тежест за „Български пощи“ ЕАД, за която дружеството има право да получава компенсация от държавата</w:t>
      </w:r>
      <w:r w:rsidR="002029AB">
        <w:rPr>
          <w:rFonts w:eastAsiaTheme="minorHAnsi"/>
          <w:szCs w:val="24"/>
          <w:lang w:val="bg-BG"/>
        </w:rPr>
        <w:t>,</w:t>
      </w:r>
      <w:r w:rsidR="00BF0CE2" w:rsidRPr="00CB78D7">
        <w:rPr>
          <w:rFonts w:eastAsiaTheme="minorHAnsi"/>
          <w:szCs w:val="24"/>
          <w:lang w:val="en-US"/>
        </w:rPr>
        <w:t xml:space="preserve"> при условия и по ред съгласно приложимата европейска и национална правна рамка. </w:t>
      </w:r>
      <w:r w:rsidR="00BF0CE2">
        <w:rPr>
          <w:rFonts w:eastAsiaTheme="minorHAnsi"/>
          <w:szCs w:val="24"/>
          <w:lang w:val="bg-BG"/>
        </w:rPr>
        <w:t>С оглед жизнеспособността на предприятието с възложено от държавата задължение за извършване на тази обществена услуга, е необходимо да се гарантира неговото справедливо финансиране.</w:t>
      </w:r>
    </w:p>
    <w:p w14:paraId="3B3680D9" w14:textId="77777777" w:rsidR="00C14589" w:rsidRDefault="00C14589" w:rsidP="00BF0CE2">
      <w:pPr>
        <w:ind w:firstLine="708"/>
        <w:jc w:val="both"/>
        <w:rPr>
          <w:rFonts w:eastAsiaTheme="minorHAnsi"/>
          <w:szCs w:val="24"/>
          <w:lang w:val="en-US"/>
        </w:rPr>
      </w:pPr>
    </w:p>
    <w:p w14:paraId="34F9E75D" w14:textId="0124E178" w:rsidR="00C14589" w:rsidRPr="00966830" w:rsidRDefault="00C14589" w:rsidP="00BF0CE2">
      <w:pPr>
        <w:ind w:firstLine="708"/>
        <w:jc w:val="both"/>
        <w:rPr>
          <w:rFonts w:eastAsiaTheme="minorHAnsi"/>
          <w:szCs w:val="24"/>
          <w:lang w:val="bg-BG"/>
        </w:rPr>
      </w:pPr>
      <w:r>
        <w:rPr>
          <w:rFonts w:eastAsiaTheme="minorHAnsi"/>
          <w:szCs w:val="24"/>
          <w:lang w:val="bg-BG"/>
        </w:rPr>
        <w:lastRenderedPageBreak/>
        <w:t xml:space="preserve">В Методиката се съдържа изискване </w:t>
      </w:r>
      <w:r w:rsidRPr="00C14589">
        <w:rPr>
          <w:rFonts w:eastAsiaTheme="minorHAnsi"/>
          <w:szCs w:val="24"/>
          <w:lang w:val="bg-BG"/>
        </w:rPr>
        <w:t xml:space="preserve">задълженият оператор </w:t>
      </w:r>
      <w:r>
        <w:rPr>
          <w:rFonts w:eastAsiaTheme="minorHAnsi"/>
          <w:szCs w:val="24"/>
          <w:lang w:val="bg-BG"/>
        </w:rPr>
        <w:t xml:space="preserve">да </w:t>
      </w:r>
      <w:r w:rsidRPr="00C14589">
        <w:rPr>
          <w:rFonts w:eastAsiaTheme="minorHAnsi"/>
          <w:szCs w:val="24"/>
          <w:lang w:val="bg-BG"/>
        </w:rPr>
        <w:t xml:space="preserve">разработва хипотетичен сценарий за работата си, когато не е задължен да извършва </w:t>
      </w:r>
      <w:r>
        <w:rPr>
          <w:rFonts w:eastAsiaTheme="minorHAnsi"/>
          <w:szCs w:val="24"/>
          <w:lang w:val="bg-BG"/>
        </w:rPr>
        <w:t>УПУ, като с</w:t>
      </w:r>
      <w:r w:rsidRPr="00C14589">
        <w:rPr>
          <w:rFonts w:eastAsiaTheme="minorHAnsi"/>
          <w:szCs w:val="24"/>
          <w:lang w:val="bg-BG"/>
        </w:rPr>
        <w:t>ценарият задължително съдържа</w:t>
      </w:r>
      <w:r w:rsidRPr="00C14589">
        <w:t xml:space="preserve"> </w:t>
      </w:r>
      <w:r w:rsidRPr="00C14589">
        <w:rPr>
          <w:rFonts w:eastAsiaTheme="minorHAnsi"/>
          <w:szCs w:val="24"/>
          <w:lang w:val="bg-BG"/>
        </w:rPr>
        <w:t>оценка на ефекта от преструктуриране на дейността върху необходимия брой персонал в условията на сценария</w:t>
      </w:r>
      <w:r w:rsidR="002029AB">
        <w:rPr>
          <w:rFonts w:eastAsiaTheme="minorHAnsi"/>
          <w:szCs w:val="24"/>
          <w:lang w:val="bg-BG"/>
        </w:rPr>
        <w:t>,</w:t>
      </w:r>
      <w:bookmarkStart w:id="0" w:name="_GoBack"/>
      <w:bookmarkEnd w:id="0"/>
      <w:r w:rsidRPr="00C14589">
        <w:rPr>
          <w:rFonts w:eastAsiaTheme="minorHAnsi"/>
          <w:szCs w:val="24"/>
          <w:lang w:val="bg-BG"/>
        </w:rPr>
        <w:t xml:space="preserve"> с оглед на гарантиране предоставянето на услугите и запазването на териториалното покритие в резултат от преструктурирането на дейността</w:t>
      </w:r>
      <w:r>
        <w:rPr>
          <w:rFonts w:eastAsiaTheme="minorHAnsi"/>
          <w:szCs w:val="24"/>
          <w:lang w:val="bg-BG"/>
        </w:rPr>
        <w:t>.</w:t>
      </w:r>
    </w:p>
    <w:p w14:paraId="722DAF27" w14:textId="43D93DDB" w:rsidR="00BF0CE2" w:rsidRPr="00CB78D7" w:rsidRDefault="00BF0CE2" w:rsidP="00BF0CE2">
      <w:pPr>
        <w:ind w:firstLine="708"/>
        <w:jc w:val="both"/>
        <w:rPr>
          <w:rFonts w:eastAsiaTheme="minorHAnsi"/>
          <w:szCs w:val="24"/>
        </w:rPr>
      </w:pPr>
      <w:r w:rsidRPr="00CB78D7">
        <w:rPr>
          <w:rFonts w:eastAsiaTheme="minorHAnsi"/>
          <w:szCs w:val="24"/>
          <w:lang w:val="en-US"/>
        </w:rPr>
        <w:t>В</w:t>
      </w:r>
      <w:r w:rsidR="00C14589">
        <w:rPr>
          <w:rFonts w:eastAsiaTheme="minorHAnsi"/>
          <w:szCs w:val="24"/>
          <w:lang w:val="bg-BG"/>
        </w:rPr>
        <w:t xml:space="preserve"> </w:t>
      </w:r>
      <w:r w:rsidR="00C14589" w:rsidRPr="00966830">
        <w:rPr>
          <w:rFonts w:eastAsiaTheme="minorHAnsi"/>
          <w:szCs w:val="24"/>
          <w:lang w:val="bg-BG"/>
        </w:rPr>
        <w:t>§ 3</w:t>
      </w:r>
      <w:r w:rsidRPr="00CB78D7">
        <w:rPr>
          <w:rFonts w:eastAsiaTheme="minorHAnsi"/>
          <w:szCs w:val="24"/>
          <w:lang w:val="en-US"/>
        </w:rPr>
        <w:t xml:space="preserve"> </w:t>
      </w:r>
      <w:r w:rsidR="00C14589">
        <w:rPr>
          <w:rFonts w:eastAsiaTheme="minorHAnsi"/>
          <w:szCs w:val="24"/>
          <w:lang w:val="bg-BG"/>
        </w:rPr>
        <w:t xml:space="preserve">от </w:t>
      </w:r>
      <w:r w:rsidRPr="00CB78D7">
        <w:rPr>
          <w:rFonts w:eastAsiaTheme="minorHAnsi"/>
          <w:szCs w:val="24"/>
          <w:lang w:val="en-US"/>
        </w:rPr>
        <w:t xml:space="preserve">изготвения проект за изменение и допълнение на Методиката се предлага </w:t>
      </w:r>
      <w:r w:rsidR="00C14589">
        <w:rPr>
          <w:rFonts w:eastAsiaTheme="minorHAnsi"/>
          <w:szCs w:val="24"/>
          <w:lang w:val="bg-BG"/>
        </w:rPr>
        <w:t xml:space="preserve">в чл. 7 да </w:t>
      </w:r>
      <w:r w:rsidRPr="00CB78D7">
        <w:rPr>
          <w:rFonts w:eastAsiaTheme="minorHAnsi"/>
          <w:szCs w:val="24"/>
          <w:lang w:val="en-US"/>
        </w:rPr>
        <w:t xml:space="preserve">отпадне  изискването </w:t>
      </w:r>
      <w:r w:rsidR="00C14589">
        <w:rPr>
          <w:rFonts w:eastAsiaTheme="minorHAnsi"/>
          <w:szCs w:val="24"/>
          <w:lang w:val="bg-BG"/>
        </w:rPr>
        <w:t>за</w:t>
      </w:r>
      <w:r w:rsidRPr="00CB78D7">
        <w:rPr>
          <w:rFonts w:eastAsiaTheme="minorHAnsi"/>
          <w:szCs w:val="24"/>
          <w:lang w:val="en-US"/>
        </w:rPr>
        <w:t xml:space="preserve"> задължително </w:t>
      </w:r>
      <w:r w:rsidR="00C14589" w:rsidRPr="00CB78D7">
        <w:rPr>
          <w:rFonts w:eastAsiaTheme="minorHAnsi"/>
          <w:szCs w:val="24"/>
          <w:lang w:val="en-US"/>
        </w:rPr>
        <w:t>отчита</w:t>
      </w:r>
      <w:r w:rsidR="00C14589">
        <w:rPr>
          <w:rFonts w:eastAsiaTheme="minorHAnsi"/>
          <w:szCs w:val="24"/>
          <w:lang w:val="bg-BG"/>
        </w:rPr>
        <w:t>не на</w:t>
      </w:r>
      <w:r w:rsidR="00C14589" w:rsidRPr="00CB78D7">
        <w:rPr>
          <w:rFonts w:eastAsiaTheme="minorHAnsi"/>
          <w:szCs w:val="24"/>
          <w:lang w:val="en-US"/>
        </w:rPr>
        <w:t xml:space="preserve"> </w:t>
      </w:r>
      <w:r w:rsidRPr="00CB78D7">
        <w:rPr>
          <w:rFonts w:eastAsiaTheme="minorHAnsi"/>
          <w:szCs w:val="24"/>
          <w:lang w:val="en-US"/>
        </w:rPr>
        <w:t>елемента териториално покритие при разработване на хипотетичния сценарий</w:t>
      </w:r>
      <w:r w:rsidR="00C14589">
        <w:rPr>
          <w:rFonts w:eastAsiaTheme="minorHAnsi"/>
          <w:szCs w:val="24"/>
          <w:lang w:val="bg-BG"/>
        </w:rPr>
        <w:t>.</w:t>
      </w:r>
      <w:r>
        <w:rPr>
          <w:rFonts w:eastAsiaTheme="minorHAnsi"/>
          <w:szCs w:val="24"/>
          <w:lang w:val="bg-BG"/>
        </w:rPr>
        <w:t xml:space="preserve"> По този начин </w:t>
      </w:r>
      <w:r w:rsidRPr="00CB78D7">
        <w:rPr>
          <w:rFonts w:eastAsiaTheme="minorHAnsi"/>
          <w:szCs w:val="24"/>
        </w:rPr>
        <w:t>ще се създадат условия за гъвкавост при разработване на различни варианти за хипотетичен сценарий, с възможност за избор на пощенския оператор от всички компоненти, предвидени в Пощенската директива, с оглед получаване на справедлива компенсация за понесената несправедлива финансова тежест от извършването на УПУ.</w:t>
      </w:r>
    </w:p>
    <w:p w14:paraId="0942DE92" w14:textId="77777777" w:rsidR="00966830" w:rsidRDefault="00BF0CE2" w:rsidP="00BF0CE2">
      <w:pPr>
        <w:ind w:firstLine="708"/>
        <w:jc w:val="both"/>
        <w:rPr>
          <w:rFonts w:eastAsiaTheme="minorHAnsi"/>
          <w:szCs w:val="24"/>
        </w:rPr>
      </w:pPr>
      <w:r w:rsidRPr="00CB78D7">
        <w:rPr>
          <w:rFonts w:eastAsiaTheme="minorHAnsi"/>
          <w:szCs w:val="24"/>
        </w:rPr>
        <w:t xml:space="preserve">В </w:t>
      </w:r>
      <w:r w:rsidR="00CF56EB" w:rsidRPr="00CF56EB">
        <w:rPr>
          <w:rFonts w:eastAsiaTheme="minorHAnsi"/>
          <w:szCs w:val="24"/>
        </w:rPr>
        <w:t>§</w:t>
      </w:r>
      <w:r w:rsidR="00CF56EB">
        <w:rPr>
          <w:rFonts w:eastAsiaTheme="minorHAnsi"/>
          <w:szCs w:val="24"/>
          <w:lang w:val="bg-BG"/>
        </w:rPr>
        <w:t xml:space="preserve"> 1 от </w:t>
      </w:r>
      <w:r>
        <w:rPr>
          <w:rFonts w:eastAsiaTheme="minorHAnsi"/>
          <w:szCs w:val="24"/>
          <w:lang w:val="bg-BG"/>
        </w:rPr>
        <w:t>из</w:t>
      </w:r>
      <w:r w:rsidRPr="00CB78D7">
        <w:rPr>
          <w:rFonts w:eastAsiaTheme="minorHAnsi"/>
          <w:szCs w:val="24"/>
        </w:rPr>
        <w:t xml:space="preserve">готвения проект </w:t>
      </w:r>
      <w:r w:rsidR="00CF56EB">
        <w:rPr>
          <w:rFonts w:eastAsiaTheme="minorHAnsi"/>
          <w:szCs w:val="24"/>
          <w:lang w:val="bg-BG"/>
        </w:rPr>
        <w:t>е</w:t>
      </w:r>
      <w:r w:rsidR="00CF56EB" w:rsidRPr="00CB78D7">
        <w:rPr>
          <w:rFonts w:eastAsiaTheme="minorHAnsi"/>
          <w:szCs w:val="24"/>
        </w:rPr>
        <w:t xml:space="preserve"> </w:t>
      </w:r>
      <w:r w:rsidRPr="00CB78D7">
        <w:rPr>
          <w:rFonts w:eastAsiaTheme="minorHAnsi"/>
          <w:szCs w:val="24"/>
        </w:rPr>
        <w:t>предложен</w:t>
      </w:r>
      <w:r w:rsidR="00CF56EB">
        <w:rPr>
          <w:rFonts w:eastAsiaTheme="minorHAnsi"/>
          <w:szCs w:val="24"/>
          <w:lang w:val="bg-BG"/>
        </w:rPr>
        <w:t>о</w:t>
      </w:r>
      <w:r w:rsidRPr="00CB78D7">
        <w:rPr>
          <w:rFonts w:eastAsiaTheme="minorHAnsi"/>
          <w:szCs w:val="24"/>
        </w:rPr>
        <w:t xml:space="preserve"> прецизиране на разпоредбите, включващи изчисляване на подходящ дял от неуниверсалните пощенски услуги и другите търговски дейности</w:t>
      </w:r>
      <w:r w:rsidR="00CF56EB">
        <w:rPr>
          <w:rFonts w:eastAsiaTheme="minorHAnsi"/>
          <w:szCs w:val="24"/>
          <w:lang w:val="bg-BG"/>
        </w:rPr>
        <w:t>, извършвани от дружеството</w:t>
      </w:r>
      <w:r w:rsidRPr="00CB78D7">
        <w:rPr>
          <w:rFonts w:eastAsiaTheme="minorHAnsi"/>
          <w:szCs w:val="24"/>
        </w:rPr>
        <w:t xml:space="preserve">. </w:t>
      </w:r>
    </w:p>
    <w:p w14:paraId="5DA5593C" w14:textId="2887A02E" w:rsidR="00BF0CE2" w:rsidRDefault="00966830" w:rsidP="00BF0CE2">
      <w:pPr>
        <w:ind w:firstLine="70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  <w:lang w:val="bg-BG"/>
        </w:rPr>
        <w:t xml:space="preserve">В </w:t>
      </w:r>
      <w:r w:rsidRPr="00CF56EB">
        <w:rPr>
          <w:rFonts w:eastAsiaTheme="minorHAnsi"/>
          <w:szCs w:val="24"/>
        </w:rPr>
        <w:t>§</w:t>
      </w:r>
      <w:r>
        <w:rPr>
          <w:rFonts w:eastAsiaTheme="minorHAnsi"/>
          <w:szCs w:val="24"/>
          <w:lang w:val="bg-BG"/>
        </w:rPr>
        <w:t xml:space="preserve"> </w:t>
      </w:r>
      <w:r>
        <w:rPr>
          <w:rFonts w:eastAsiaTheme="minorHAnsi"/>
          <w:szCs w:val="24"/>
          <w:lang w:val="bg-BG"/>
        </w:rPr>
        <w:t>2</w:t>
      </w:r>
      <w:r>
        <w:rPr>
          <w:rFonts w:eastAsiaTheme="minorHAnsi"/>
          <w:szCs w:val="24"/>
          <w:lang w:val="bg-BG"/>
        </w:rPr>
        <w:t xml:space="preserve"> от из</w:t>
      </w:r>
      <w:r w:rsidRPr="00CB78D7">
        <w:rPr>
          <w:rFonts w:eastAsiaTheme="minorHAnsi"/>
          <w:szCs w:val="24"/>
        </w:rPr>
        <w:t xml:space="preserve">готвения проект </w:t>
      </w:r>
      <w:r w:rsidR="00BF0CE2" w:rsidRPr="00CB78D7">
        <w:rPr>
          <w:rFonts w:eastAsiaTheme="minorHAnsi"/>
          <w:szCs w:val="24"/>
        </w:rPr>
        <w:t>са направени и изменения, произтичащи от натрупания през годините опит от прилагането на Методиката, както и предложения, свързани с прецизиране на съществуващи текстове.</w:t>
      </w:r>
    </w:p>
    <w:p w14:paraId="2B5D4C8F" w14:textId="2F9521A2" w:rsidR="00BF0CE2" w:rsidRPr="00966830" w:rsidRDefault="00966830" w:rsidP="00BF0CE2">
      <w:pPr>
        <w:ind w:firstLine="708"/>
        <w:jc w:val="both"/>
        <w:rPr>
          <w:rFonts w:eastAsiaTheme="minorHAnsi"/>
          <w:szCs w:val="24"/>
          <w:lang w:val="bg-BG"/>
        </w:rPr>
      </w:pPr>
      <w:r>
        <w:rPr>
          <w:rFonts w:eastAsiaTheme="minorHAnsi"/>
          <w:szCs w:val="24"/>
          <w:lang w:val="bg-BG"/>
        </w:rPr>
        <w:t xml:space="preserve">В </w:t>
      </w:r>
      <w:r w:rsidRPr="00CF56EB">
        <w:rPr>
          <w:rFonts w:eastAsiaTheme="minorHAnsi"/>
          <w:szCs w:val="24"/>
        </w:rPr>
        <w:t>§</w:t>
      </w:r>
      <w:r>
        <w:rPr>
          <w:rFonts w:eastAsiaTheme="minorHAnsi"/>
          <w:szCs w:val="24"/>
          <w:lang w:val="bg-BG"/>
        </w:rPr>
        <w:t xml:space="preserve"> </w:t>
      </w:r>
      <w:r>
        <w:rPr>
          <w:rFonts w:eastAsiaTheme="minorHAnsi"/>
          <w:szCs w:val="24"/>
          <w:lang w:val="bg-BG"/>
        </w:rPr>
        <w:t>4</w:t>
      </w:r>
      <w:r>
        <w:rPr>
          <w:rFonts w:eastAsiaTheme="minorHAnsi"/>
          <w:szCs w:val="24"/>
          <w:lang w:val="bg-BG"/>
        </w:rPr>
        <w:t xml:space="preserve"> от из</w:t>
      </w:r>
      <w:r w:rsidRPr="00CB78D7">
        <w:rPr>
          <w:rFonts w:eastAsiaTheme="minorHAnsi"/>
          <w:szCs w:val="24"/>
        </w:rPr>
        <w:t>готвения проект</w:t>
      </w:r>
      <w:r>
        <w:rPr>
          <w:rFonts w:eastAsiaTheme="minorHAnsi"/>
          <w:szCs w:val="24"/>
          <w:lang w:val="bg-BG"/>
        </w:rPr>
        <w:t xml:space="preserve"> се предлага прецизиране на текста относно изчисляване на разумна печалба, която се полага на пощенския оператор със задължение за извършване на УПУ.</w:t>
      </w:r>
    </w:p>
    <w:p w14:paraId="354EC3CB" w14:textId="77777777" w:rsidR="00BF0CE2" w:rsidRPr="00401DE8" w:rsidRDefault="00BF0CE2" w:rsidP="00BF0CE2">
      <w:pPr>
        <w:tabs>
          <w:tab w:val="left" w:pos="1134"/>
        </w:tabs>
        <w:ind w:firstLine="720"/>
        <w:jc w:val="both"/>
        <w:rPr>
          <w:szCs w:val="24"/>
          <w:lang w:val="bg-BG"/>
        </w:rPr>
      </w:pPr>
      <w:r w:rsidRPr="00401DE8">
        <w:rPr>
          <w:szCs w:val="24"/>
          <w:lang w:val="bg-BG"/>
        </w:rPr>
        <w:t xml:space="preserve">Министърът на транспорта и съобщенията като вносител на акта в Министерския съвет, преди внасянето му за разглеждане следва да публикува съобщение за изготвения проект, текста на проекта, мотивите и предварителната оценка на въздействието на страницата на Министерството на транспорта и съобщенията в интернет и на Портала за обществени консултации на Министерския съвет. </w:t>
      </w:r>
    </w:p>
    <w:p w14:paraId="29BA2547" w14:textId="77777777" w:rsidR="00BF0CE2" w:rsidRPr="00401DE8" w:rsidRDefault="00BF0CE2" w:rsidP="00BF0CE2">
      <w:pPr>
        <w:tabs>
          <w:tab w:val="left" w:pos="1134"/>
        </w:tabs>
        <w:ind w:firstLine="720"/>
        <w:jc w:val="both"/>
        <w:rPr>
          <w:szCs w:val="24"/>
          <w:lang w:val="bg-BG"/>
        </w:rPr>
      </w:pPr>
    </w:p>
    <w:p w14:paraId="6534E929" w14:textId="6AF5C51D" w:rsidR="00BF0CE2" w:rsidRPr="00401DE8" w:rsidRDefault="00BF0CE2" w:rsidP="00BF0CE2">
      <w:pPr>
        <w:tabs>
          <w:tab w:val="left" w:pos="1134"/>
        </w:tabs>
        <w:ind w:firstLine="720"/>
        <w:jc w:val="both"/>
        <w:rPr>
          <w:szCs w:val="24"/>
          <w:lang w:val="bg-BG"/>
        </w:rPr>
      </w:pPr>
      <w:r w:rsidRPr="00401DE8">
        <w:rPr>
          <w:szCs w:val="24"/>
          <w:lang w:val="bg-BG"/>
        </w:rPr>
        <w:t>Във връзка с изложеното по-горе, моля да разрешите публикуването на проект</w:t>
      </w:r>
      <w:r>
        <w:rPr>
          <w:szCs w:val="24"/>
          <w:lang w:val="bg-BG"/>
        </w:rPr>
        <w:t>а</w:t>
      </w:r>
      <w:r w:rsidRPr="00401DE8">
        <w:rPr>
          <w:szCs w:val="24"/>
          <w:lang w:val="bg-BG"/>
        </w:rPr>
        <w:t xml:space="preserve"> в електронен вид на </w:t>
      </w:r>
      <w:r>
        <w:rPr>
          <w:szCs w:val="24"/>
          <w:lang w:val="bg-BG"/>
        </w:rPr>
        <w:t xml:space="preserve">интернет </w:t>
      </w:r>
      <w:r w:rsidRPr="00401DE8">
        <w:rPr>
          <w:szCs w:val="24"/>
          <w:lang w:val="bg-BG"/>
        </w:rPr>
        <w:t xml:space="preserve">страницата на МТС и на Портала за обществени консултации </w:t>
      </w:r>
      <w:r>
        <w:rPr>
          <w:szCs w:val="24"/>
          <w:lang w:val="bg-BG"/>
        </w:rPr>
        <w:t xml:space="preserve">на Министерския съвет </w:t>
      </w:r>
      <w:r w:rsidRPr="00401DE8">
        <w:rPr>
          <w:szCs w:val="24"/>
          <w:lang w:val="bg-BG"/>
        </w:rPr>
        <w:t xml:space="preserve">за обществено обсъждане </w:t>
      </w:r>
      <w:r w:rsidR="00F27BA9">
        <w:rPr>
          <w:szCs w:val="24"/>
          <w:lang w:val="bg-BG"/>
        </w:rPr>
        <w:t>за</w:t>
      </w:r>
      <w:r w:rsidRPr="00401DE8">
        <w:rPr>
          <w:szCs w:val="24"/>
          <w:lang w:val="bg-BG"/>
        </w:rPr>
        <w:t xml:space="preserve"> срок от </w:t>
      </w:r>
      <w:r w:rsidR="00CF56EB">
        <w:rPr>
          <w:szCs w:val="24"/>
          <w:lang w:val="bg-BG"/>
        </w:rPr>
        <w:t>30</w:t>
      </w:r>
      <w:r w:rsidRPr="00401DE8">
        <w:rPr>
          <w:szCs w:val="24"/>
          <w:lang w:val="bg-BG"/>
        </w:rPr>
        <w:t xml:space="preserve"> дни.</w:t>
      </w:r>
      <w:r w:rsidR="00AB3D1A">
        <w:rPr>
          <w:szCs w:val="24"/>
          <w:lang w:val="bg-BG"/>
        </w:rPr>
        <w:t xml:space="preserve"> </w:t>
      </w:r>
    </w:p>
    <w:p w14:paraId="39E1B7F7" w14:textId="77777777" w:rsidR="00B42FE6" w:rsidRPr="00B42FE6" w:rsidRDefault="00B42FE6" w:rsidP="005E29A1">
      <w:pPr>
        <w:ind w:firstLine="709"/>
        <w:jc w:val="both"/>
        <w:rPr>
          <w:szCs w:val="24"/>
          <w:lang w:val="bg-BG"/>
        </w:rPr>
      </w:pPr>
    </w:p>
    <w:p w14:paraId="235B520E" w14:textId="77777777" w:rsidR="005E29A1" w:rsidRDefault="005E29A1" w:rsidP="00442467">
      <w:pPr>
        <w:ind w:firstLine="709"/>
        <w:jc w:val="both"/>
        <w:rPr>
          <w:b/>
          <w:szCs w:val="24"/>
        </w:rPr>
      </w:pPr>
      <w:r w:rsidRPr="00442467">
        <w:rPr>
          <w:b/>
          <w:szCs w:val="24"/>
        </w:rPr>
        <w:t xml:space="preserve">Приложения: </w:t>
      </w:r>
    </w:p>
    <w:p w14:paraId="016795F7" w14:textId="77777777" w:rsidR="006E45EB" w:rsidRPr="00442467" w:rsidRDefault="006E45EB" w:rsidP="00442467">
      <w:pPr>
        <w:ind w:firstLine="709"/>
        <w:jc w:val="both"/>
        <w:rPr>
          <w:b/>
          <w:szCs w:val="24"/>
        </w:rPr>
      </w:pPr>
    </w:p>
    <w:p w14:paraId="7DF0E504" w14:textId="77777777" w:rsidR="00442467" w:rsidRPr="00442467" w:rsidRDefault="006E45EB" w:rsidP="00442467">
      <w:pPr>
        <w:pStyle w:val="ListParagraph"/>
        <w:numPr>
          <w:ilvl w:val="0"/>
          <w:numId w:val="2"/>
        </w:numPr>
        <w:tabs>
          <w:tab w:val="clear" w:pos="1440"/>
        </w:tabs>
        <w:ind w:left="993" w:hanging="284"/>
        <w:jc w:val="both"/>
        <w:rPr>
          <w:rFonts w:ascii="Times New Roman" w:hAnsi="Times New Roman" w:cs="Times New Roman"/>
          <w:color w:val="000000" w:themeColor="text1"/>
          <w:lang w:val="bg-BG"/>
        </w:rPr>
      </w:pPr>
      <w:r>
        <w:rPr>
          <w:rFonts w:ascii="Times New Roman" w:hAnsi="Times New Roman" w:cs="Times New Roman"/>
          <w:lang w:val="bg-BG"/>
        </w:rPr>
        <w:t>П</w:t>
      </w:r>
      <w:r w:rsidR="00442467" w:rsidRPr="00442467">
        <w:rPr>
          <w:rFonts w:ascii="Times New Roman" w:hAnsi="Times New Roman" w:cs="Times New Roman"/>
          <w:lang w:val="bg-BG"/>
        </w:rPr>
        <w:t>роект на Постановление на Министерския съвет за изменение</w:t>
      </w:r>
      <w:r w:rsidR="00442467" w:rsidRPr="00442467">
        <w:rPr>
          <w:rFonts w:ascii="Times New Roman" w:hAnsi="Times New Roman" w:cs="Times New Roman"/>
          <w:color w:val="000000" w:themeColor="text1"/>
        </w:rPr>
        <w:t xml:space="preserve"> и допълнение на</w:t>
      </w:r>
    </w:p>
    <w:p w14:paraId="1D8EC4D1" w14:textId="77777777" w:rsidR="00442467" w:rsidRPr="00442467" w:rsidRDefault="00442467" w:rsidP="00442467">
      <w:pPr>
        <w:jc w:val="both"/>
        <w:rPr>
          <w:color w:val="000000" w:themeColor="text1"/>
          <w:szCs w:val="24"/>
          <w:lang w:val="bg-BG"/>
        </w:rPr>
      </w:pPr>
      <w:r w:rsidRPr="00442467">
        <w:rPr>
          <w:color w:val="000000" w:themeColor="text1"/>
          <w:szCs w:val="24"/>
        </w:rPr>
        <w:t>Методиката за изчисляване на нетните разходи от извършване на универсалната пощенска услуга и за определяне на критерии за наличие на несправедлива финансова тежест</w:t>
      </w:r>
      <w:r w:rsidRPr="00442467">
        <w:rPr>
          <w:color w:val="000000" w:themeColor="text1"/>
          <w:szCs w:val="24"/>
          <w:lang w:val="bg-BG"/>
        </w:rPr>
        <w:t xml:space="preserve">, приета с </w:t>
      </w:r>
      <w:r w:rsidRPr="00442467">
        <w:rPr>
          <w:szCs w:val="24"/>
          <w:lang w:val="bg-BG"/>
        </w:rPr>
        <w:t>приета с Постановление № 131 на Министерския съвет от 2021 г. (обн. ДВ, бр. 28 от 2021 г.)</w:t>
      </w:r>
    </w:p>
    <w:p w14:paraId="09213668" w14:textId="77777777" w:rsidR="00442467" w:rsidRPr="00442467" w:rsidRDefault="006E45EB" w:rsidP="00442467">
      <w:pPr>
        <w:pStyle w:val="ListParagraph"/>
        <w:numPr>
          <w:ilvl w:val="0"/>
          <w:numId w:val="2"/>
        </w:numPr>
        <w:tabs>
          <w:tab w:val="clear" w:pos="1440"/>
          <w:tab w:val="left" w:pos="567"/>
          <w:tab w:val="num" w:pos="993"/>
        </w:tabs>
        <w:ind w:left="0"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М</w:t>
      </w:r>
      <w:r w:rsidR="00442467" w:rsidRPr="00442467">
        <w:rPr>
          <w:rFonts w:ascii="Times New Roman" w:hAnsi="Times New Roman" w:cs="Times New Roman"/>
          <w:lang w:val="bg-BG"/>
        </w:rPr>
        <w:t>отиви към проект</w:t>
      </w:r>
      <w:r w:rsidR="00442467">
        <w:rPr>
          <w:rFonts w:ascii="Times New Roman" w:hAnsi="Times New Roman" w:cs="Times New Roman"/>
          <w:lang w:val="bg-BG"/>
        </w:rPr>
        <w:t>а</w:t>
      </w:r>
      <w:r w:rsidR="00442467" w:rsidRPr="00442467">
        <w:rPr>
          <w:rFonts w:ascii="Times New Roman" w:hAnsi="Times New Roman" w:cs="Times New Roman"/>
          <w:lang w:val="bg-BG"/>
        </w:rPr>
        <w:t>;</w:t>
      </w:r>
    </w:p>
    <w:p w14:paraId="5A30FB43" w14:textId="77777777" w:rsidR="00442467" w:rsidRPr="00442467" w:rsidRDefault="006E45EB" w:rsidP="00442467">
      <w:pPr>
        <w:pStyle w:val="ListParagraph"/>
        <w:numPr>
          <w:ilvl w:val="0"/>
          <w:numId w:val="2"/>
        </w:numPr>
        <w:tabs>
          <w:tab w:val="clear" w:pos="1440"/>
          <w:tab w:val="left" w:pos="567"/>
          <w:tab w:val="num" w:pos="993"/>
        </w:tabs>
        <w:ind w:left="0"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Ч</w:t>
      </w:r>
      <w:r w:rsidR="00442467" w:rsidRPr="00442467">
        <w:rPr>
          <w:rFonts w:ascii="Times New Roman" w:hAnsi="Times New Roman" w:cs="Times New Roman"/>
          <w:lang w:val="bg-BG"/>
        </w:rPr>
        <w:t>астичн</w:t>
      </w:r>
      <w:r w:rsidR="00442467">
        <w:rPr>
          <w:rFonts w:ascii="Times New Roman" w:hAnsi="Times New Roman" w:cs="Times New Roman"/>
          <w:lang w:val="bg-BG"/>
        </w:rPr>
        <w:t>а</w:t>
      </w:r>
      <w:r w:rsidR="00442467" w:rsidRPr="00442467">
        <w:rPr>
          <w:rFonts w:ascii="Times New Roman" w:hAnsi="Times New Roman" w:cs="Times New Roman"/>
          <w:lang w:val="bg-BG"/>
        </w:rPr>
        <w:t xml:space="preserve"> предварителн</w:t>
      </w:r>
      <w:r w:rsidR="00442467">
        <w:rPr>
          <w:rFonts w:ascii="Times New Roman" w:hAnsi="Times New Roman" w:cs="Times New Roman"/>
          <w:lang w:val="bg-BG"/>
        </w:rPr>
        <w:t>а</w:t>
      </w:r>
      <w:r w:rsidR="00442467" w:rsidRPr="00442467">
        <w:rPr>
          <w:rFonts w:ascii="Times New Roman" w:hAnsi="Times New Roman" w:cs="Times New Roman"/>
          <w:lang w:val="bg-BG"/>
        </w:rPr>
        <w:t xml:space="preserve"> оценка на въздействието и становищ</w:t>
      </w:r>
      <w:r w:rsidR="00442467">
        <w:rPr>
          <w:rFonts w:ascii="Times New Roman" w:hAnsi="Times New Roman" w:cs="Times New Roman"/>
          <w:lang w:val="bg-BG"/>
        </w:rPr>
        <w:t>е</w:t>
      </w:r>
      <w:r w:rsidR="00442467" w:rsidRPr="00442467">
        <w:rPr>
          <w:rFonts w:ascii="Times New Roman" w:hAnsi="Times New Roman" w:cs="Times New Roman"/>
          <w:lang w:val="bg-BG"/>
        </w:rPr>
        <w:t xml:space="preserve"> на дирекция „Модернизация на администрацията“ в Администрация на Министерския съвет;</w:t>
      </w:r>
    </w:p>
    <w:p w14:paraId="24241E1F" w14:textId="77777777" w:rsidR="00442467" w:rsidRPr="00442467" w:rsidRDefault="006E45EB" w:rsidP="00442467">
      <w:pPr>
        <w:pStyle w:val="ListParagraph"/>
        <w:numPr>
          <w:ilvl w:val="0"/>
          <w:numId w:val="2"/>
        </w:numPr>
        <w:tabs>
          <w:tab w:val="clear" w:pos="1440"/>
          <w:tab w:val="left" w:pos="567"/>
          <w:tab w:val="num" w:pos="993"/>
        </w:tabs>
        <w:ind w:left="0"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С</w:t>
      </w:r>
      <w:r w:rsidR="00442467" w:rsidRPr="00442467">
        <w:rPr>
          <w:rFonts w:ascii="Times New Roman" w:hAnsi="Times New Roman" w:cs="Times New Roman"/>
          <w:lang w:val="bg-BG"/>
        </w:rPr>
        <w:t>ъобщение за публикуване на проект</w:t>
      </w:r>
      <w:r w:rsidR="00442467">
        <w:rPr>
          <w:rFonts w:ascii="Times New Roman" w:hAnsi="Times New Roman" w:cs="Times New Roman"/>
          <w:lang w:val="bg-BG"/>
        </w:rPr>
        <w:t>а</w:t>
      </w:r>
      <w:r w:rsidR="00442467" w:rsidRPr="00442467">
        <w:rPr>
          <w:rFonts w:ascii="Times New Roman" w:hAnsi="Times New Roman" w:cs="Times New Roman"/>
          <w:lang w:val="bg-BG"/>
        </w:rPr>
        <w:t xml:space="preserve"> на страницата на Министерството на транспорта и съобщенията, както и на Портала за обществени консултации.</w:t>
      </w:r>
    </w:p>
    <w:p w14:paraId="18A44A81" w14:textId="77777777" w:rsidR="00442467" w:rsidRPr="00BB5001" w:rsidRDefault="00442467" w:rsidP="005E29A1">
      <w:pPr>
        <w:ind w:firstLine="709"/>
        <w:jc w:val="both"/>
        <w:rPr>
          <w:b/>
        </w:rPr>
      </w:pPr>
    </w:p>
    <w:p w14:paraId="71CAF606" w14:textId="77777777" w:rsidR="005E29A1" w:rsidRPr="00673346" w:rsidRDefault="005E29A1" w:rsidP="005E29A1">
      <w:pPr>
        <w:shd w:val="clear" w:color="auto" w:fill="FFFFFF"/>
        <w:tabs>
          <w:tab w:val="left" w:pos="2544"/>
          <w:tab w:val="left" w:pos="4882"/>
        </w:tabs>
        <w:jc w:val="both"/>
        <w:rPr>
          <w:b/>
          <w:color w:val="000000"/>
          <w:lang w:val="en-US"/>
        </w:rPr>
      </w:pPr>
    </w:p>
    <w:p w14:paraId="124D491B" w14:textId="77777777" w:rsidR="005E29A1" w:rsidRDefault="005E29A1" w:rsidP="005E29A1">
      <w:pPr>
        <w:rPr>
          <w:b/>
          <w:lang w:val="bg-BG"/>
        </w:rPr>
      </w:pPr>
      <w:r w:rsidRPr="008911A7">
        <w:rPr>
          <w:b/>
          <w:lang w:val="bg-BG"/>
        </w:rPr>
        <w:t>С уважение,</w:t>
      </w:r>
    </w:p>
    <w:p w14:paraId="39FA4D47" w14:textId="77777777" w:rsidR="005E29A1" w:rsidRPr="008911A7" w:rsidRDefault="005E29A1" w:rsidP="005E29A1">
      <w:pPr>
        <w:ind w:firstLine="720"/>
        <w:rPr>
          <w:b/>
          <w:lang w:val="bg-BG"/>
        </w:rPr>
      </w:pPr>
    </w:p>
    <w:p w14:paraId="527366AC" w14:textId="77777777" w:rsidR="005E29A1" w:rsidRDefault="009E7A8F" w:rsidP="005E29A1">
      <w:r>
        <w:rPr>
          <w:b/>
          <w:lang w:val="bg-BG"/>
        </w:rPr>
        <w:pict w14:anchorId="36C0255C">
          <v:shape id="_x0000_i1027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B8508270-273E-467D-B66C-2B00805DAC4E}" provid="{00000000-0000-0000-0000-000000000000}" o:suggestedsigner="Димитър Недялков" o:suggestedsigner2="Заместник-министър" issignatureline="t"/>
          </v:shape>
        </w:pict>
      </w:r>
    </w:p>
    <w:p w14:paraId="3036B212" w14:textId="77777777" w:rsidR="001C7C84" w:rsidRDefault="009E7A8F"/>
    <w:sectPr w:rsidR="001C7C84" w:rsidSect="001D1A93">
      <w:footerReference w:type="default" r:id="rId11"/>
      <w:pgSz w:w="11906" w:h="16838"/>
      <w:pgMar w:top="709" w:right="992" w:bottom="680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9ACDD" w14:textId="77777777" w:rsidR="009E7A8F" w:rsidRDefault="009E7A8F" w:rsidP="00B42FE6">
      <w:r>
        <w:separator/>
      </w:r>
    </w:p>
  </w:endnote>
  <w:endnote w:type="continuationSeparator" w:id="0">
    <w:p w14:paraId="3BCC8B46" w14:textId="77777777" w:rsidR="009E7A8F" w:rsidRDefault="009E7A8F" w:rsidP="00B4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90705" w14:textId="77777777" w:rsidR="0009069A" w:rsidRPr="007E0550" w:rsidRDefault="004D38D5">
    <w:pPr>
      <w:pStyle w:val="Footer"/>
      <w:rPr>
        <w:sz w:val="16"/>
        <w:lang w:val="bg-BG"/>
      </w:rPr>
    </w:pPr>
    <w:r>
      <w:rPr>
        <w:snapToGrid w:val="0"/>
        <w:sz w:val="16"/>
        <w:lang w:val="bg-BG"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B4ADB" w14:textId="77777777" w:rsidR="009E7A8F" w:rsidRDefault="009E7A8F" w:rsidP="00B42FE6">
      <w:r>
        <w:separator/>
      </w:r>
    </w:p>
  </w:footnote>
  <w:footnote w:type="continuationSeparator" w:id="0">
    <w:p w14:paraId="646AD20F" w14:textId="77777777" w:rsidR="009E7A8F" w:rsidRDefault="009E7A8F" w:rsidP="00B42FE6">
      <w:r>
        <w:continuationSeparator/>
      </w:r>
    </w:p>
  </w:footnote>
  <w:footnote w:id="1">
    <w:p w14:paraId="583F46CE" w14:textId="77777777" w:rsidR="00B42FE6" w:rsidRPr="00B42FE6" w:rsidRDefault="00B42FE6" w:rsidP="00B42FE6">
      <w:pPr>
        <w:pStyle w:val="FootnoteText"/>
        <w:jc w:val="both"/>
        <w:rPr>
          <w:sz w:val="18"/>
          <w:szCs w:val="18"/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B42FE6">
        <w:rPr>
          <w:sz w:val="18"/>
          <w:szCs w:val="18"/>
          <w:lang w:val="bg-BG"/>
        </w:rPr>
        <w:t>Предварително уведомление за п</w:t>
      </w:r>
      <w:r w:rsidRPr="00B42FE6">
        <w:rPr>
          <w:color w:val="000000"/>
          <w:sz w:val="18"/>
          <w:szCs w:val="18"/>
          <w:lang w:bidi="bg-BG"/>
        </w:rPr>
        <w:t>редоставяне на индивидуална държавна помощ под формата на компенсация за предоставяне на услуга от общ икономически интерес - за предоставяне на универсална пощенска услуга от „Български пощи“ ЕАД</w:t>
      </w:r>
      <w:r w:rsidRPr="00B42FE6">
        <w:rPr>
          <w:sz w:val="18"/>
          <w:szCs w:val="18"/>
        </w:rPr>
        <w:t xml:space="preserve"> </w:t>
      </w:r>
      <w:r w:rsidRPr="00B42FE6">
        <w:rPr>
          <w:i/>
          <w:iCs/>
          <w:sz w:val="18"/>
          <w:szCs w:val="18"/>
        </w:rPr>
        <w:t>(SA.116470 от 2024 г.)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FA0"/>
    <w:multiLevelType w:val="hybridMultilevel"/>
    <w:tmpl w:val="728A7BE6"/>
    <w:lvl w:ilvl="0" w:tplc="CDC0FB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0940B08"/>
    <w:multiLevelType w:val="hybridMultilevel"/>
    <w:tmpl w:val="C83881FA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A1"/>
    <w:rsid w:val="0018487E"/>
    <w:rsid w:val="002029AB"/>
    <w:rsid w:val="00442467"/>
    <w:rsid w:val="004D38D5"/>
    <w:rsid w:val="00517D68"/>
    <w:rsid w:val="005E29A1"/>
    <w:rsid w:val="005E6474"/>
    <w:rsid w:val="00604351"/>
    <w:rsid w:val="00673346"/>
    <w:rsid w:val="006C23D5"/>
    <w:rsid w:val="006E45EB"/>
    <w:rsid w:val="007B7E4C"/>
    <w:rsid w:val="00966830"/>
    <w:rsid w:val="009E7A8F"/>
    <w:rsid w:val="00A81241"/>
    <w:rsid w:val="00AB3D1A"/>
    <w:rsid w:val="00AC55B7"/>
    <w:rsid w:val="00B42FE6"/>
    <w:rsid w:val="00BF0CE2"/>
    <w:rsid w:val="00C14589"/>
    <w:rsid w:val="00CF56EB"/>
    <w:rsid w:val="00DC6DE3"/>
    <w:rsid w:val="00EF305F"/>
    <w:rsid w:val="00F2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C8E7"/>
  <w15:chartTrackingRefBased/>
  <w15:docId w15:val="{C46BEAEE-2420-4234-811D-A92FBEF4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9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bg-BG"/>
    </w:rPr>
  </w:style>
  <w:style w:type="paragraph" w:styleId="Heading1">
    <w:name w:val="heading 1"/>
    <w:basedOn w:val="Normal"/>
    <w:next w:val="Normal"/>
    <w:link w:val="Heading1Char"/>
    <w:qFormat/>
    <w:rsid w:val="005E29A1"/>
    <w:pPr>
      <w:keepNext/>
      <w:jc w:val="center"/>
      <w:outlineLvl w:val="0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29A1"/>
    <w:rPr>
      <w:rFonts w:ascii="Times New Roman" w:eastAsia="Times New Roman" w:hAnsi="Times New Roman" w:cs="Times New Roman"/>
      <w:b/>
      <w:sz w:val="24"/>
      <w:szCs w:val="20"/>
      <w:lang w:val="en-US" w:eastAsia="bg-BG"/>
    </w:rPr>
  </w:style>
  <w:style w:type="paragraph" w:styleId="Footer">
    <w:name w:val="footer"/>
    <w:basedOn w:val="Normal"/>
    <w:link w:val="FooterChar"/>
    <w:rsid w:val="005E29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E29A1"/>
    <w:rPr>
      <w:rFonts w:ascii="Times New Roman" w:eastAsia="Times New Roman" w:hAnsi="Times New Roman" w:cs="Times New Roman"/>
      <w:sz w:val="24"/>
      <w:szCs w:val="20"/>
      <w:lang w:val="en-AU" w:eastAsia="bg-BG"/>
    </w:rPr>
  </w:style>
  <w:style w:type="paragraph" w:styleId="BodyText2">
    <w:name w:val="Body Text 2"/>
    <w:basedOn w:val="Normal"/>
    <w:link w:val="BodyText2Char"/>
    <w:uiPriority w:val="99"/>
    <w:unhideWhenUsed/>
    <w:rsid w:val="005E29A1"/>
    <w:pPr>
      <w:spacing w:after="120" w:line="480" w:lineRule="auto"/>
    </w:pPr>
    <w:rPr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rsid w:val="005E29A1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paragraph1">
    <w:name w:val="paragraph1"/>
    <w:basedOn w:val="Normal"/>
    <w:rsid w:val="005E29A1"/>
    <w:pPr>
      <w:spacing w:line="288" w:lineRule="atLeast"/>
      <w:jc w:val="both"/>
    </w:pPr>
    <w:rPr>
      <w:color w:val="666666"/>
      <w:szCs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2FE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FE6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B42FE6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442467"/>
    <w:rPr>
      <w:sz w:val="24"/>
      <w:szCs w:val="24"/>
      <w:lang w:val="en-AU"/>
    </w:rPr>
  </w:style>
  <w:style w:type="paragraph" w:styleId="ListParagraph">
    <w:name w:val="List Paragraph"/>
    <w:basedOn w:val="Normal"/>
    <w:link w:val="ListParagraphChar"/>
    <w:uiPriority w:val="99"/>
    <w:qFormat/>
    <w:rsid w:val="00442467"/>
    <w:pPr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589"/>
    <w:rPr>
      <w:rFonts w:ascii="Segoe UI" w:eastAsia="Times New Roman" w:hAnsi="Segoe UI" w:cs="Segoe UI"/>
      <w:sz w:val="18"/>
      <w:szCs w:val="18"/>
      <w:lang w:val="en-AU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CF5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6E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6EB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6EB"/>
    <w:rPr>
      <w:rFonts w:ascii="Times New Roman" w:eastAsia="Times New Roman" w:hAnsi="Times New Roman" w:cs="Times New Roman"/>
      <w:b/>
      <w:bCs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31F32-062E-490C-8CCE-B71BC25F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Iliyana Karafizieva</dc:creator>
  <cp:keywords/>
  <dc:description/>
  <cp:lastModifiedBy>Iliyana Karafizieva</cp:lastModifiedBy>
  <cp:revision>5</cp:revision>
  <dcterms:created xsi:type="dcterms:W3CDTF">2025-12-01T09:06:00Z</dcterms:created>
  <dcterms:modified xsi:type="dcterms:W3CDTF">2025-12-01T09:21:00Z</dcterms:modified>
</cp:coreProperties>
</file>