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043"/>
        <w:gridCol w:w="5216"/>
        <w:gridCol w:w="7"/>
      </w:tblGrid>
      <w:tr w:rsidR="006C14B1" w:rsidRPr="006C14B1" w:rsidTr="00AA077D">
        <w:tc>
          <w:tcPr>
            <w:tcW w:w="10266" w:type="dxa"/>
            <w:gridSpan w:val="3"/>
            <w:shd w:val="clear" w:color="auto" w:fill="D9D9D9"/>
          </w:tcPr>
          <w:p w:rsidR="006C14B1" w:rsidRPr="006C14B1" w:rsidRDefault="006C14B1" w:rsidP="006C14B1">
            <w:pPr>
              <w:spacing w:before="240" w:after="240"/>
              <w:jc w:val="center"/>
              <w:rPr>
                <w:b/>
                <w:color w:val="000000" w:themeColor="text1"/>
                <w:sz w:val="24"/>
                <w:szCs w:val="24"/>
              </w:rPr>
            </w:pPr>
            <w:r w:rsidRPr="006C14B1">
              <w:rPr>
                <w:b/>
                <w:color w:val="000000" w:themeColor="text1"/>
                <w:sz w:val="24"/>
                <w:szCs w:val="24"/>
              </w:rPr>
              <w:t>Частична предварителна оценка на въздействието</w:t>
            </w:r>
          </w:p>
        </w:tc>
      </w:tr>
      <w:tr w:rsidR="006C14B1" w:rsidRPr="006C14B1" w:rsidTr="00AA077D">
        <w:trPr>
          <w:gridAfter w:val="1"/>
          <w:wAfter w:w="7" w:type="dxa"/>
        </w:trPr>
        <w:tc>
          <w:tcPr>
            <w:tcW w:w="5043" w:type="dxa"/>
          </w:tcPr>
          <w:p w:rsidR="006C14B1" w:rsidRPr="006C14B1" w:rsidRDefault="006C14B1" w:rsidP="006C14B1">
            <w:pPr>
              <w:spacing w:before="120" w:after="120"/>
              <w:jc w:val="both"/>
              <w:rPr>
                <w:b/>
                <w:color w:val="000000" w:themeColor="text1"/>
                <w:sz w:val="24"/>
                <w:szCs w:val="24"/>
              </w:rPr>
            </w:pPr>
            <w:r w:rsidRPr="006C14B1">
              <w:rPr>
                <w:b/>
                <w:color w:val="000000" w:themeColor="text1"/>
                <w:sz w:val="24"/>
                <w:szCs w:val="24"/>
              </w:rPr>
              <w:t>Институция:</w:t>
            </w:r>
          </w:p>
          <w:p w:rsidR="006C14B1" w:rsidRPr="006C14B1" w:rsidRDefault="006C14B1" w:rsidP="006C14B1">
            <w:pPr>
              <w:spacing w:before="120" w:after="120"/>
              <w:jc w:val="both"/>
              <w:rPr>
                <w:b/>
                <w:color w:val="000000" w:themeColor="text1"/>
                <w:sz w:val="24"/>
                <w:szCs w:val="24"/>
              </w:rPr>
            </w:pPr>
            <w:r>
              <w:rPr>
                <w:b/>
                <w:color w:val="000000" w:themeColor="text1"/>
                <w:sz w:val="24"/>
                <w:szCs w:val="24"/>
              </w:rPr>
              <w:t>Комисия за регулиране на съобщенията</w:t>
            </w:r>
          </w:p>
        </w:tc>
        <w:tc>
          <w:tcPr>
            <w:tcW w:w="5216" w:type="dxa"/>
          </w:tcPr>
          <w:p w:rsidR="006C14B1" w:rsidRPr="006C14B1" w:rsidRDefault="006C14B1" w:rsidP="006C14B1">
            <w:pPr>
              <w:spacing w:before="120" w:after="120"/>
              <w:jc w:val="both"/>
              <w:rPr>
                <w:b/>
                <w:color w:val="000000" w:themeColor="text1"/>
                <w:sz w:val="24"/>
                <w:szCs w:val="24"/>
              </w:rPr>
            </w:pPr>
            <w:r w:rsidRPr="006C14B1">
              <w:rPr>
                <w:b/>
                <w:color w:val="000000" w:themeColor="text1"/>
                <w:sz w:val="24"/>
                <w:szCs w:val="24"/>
              </w:rPr>
              <w:t>Нормативен акт:</w:t>
            </w:r>
          </w:p>
          <w:p w:rsidR="006C14B1" w:rsidRPr="006C14B1" w:rsidRDefault="006C14B1" w:rsidP="006C14B1">
            <w:pPr>
              <w:spacing w:before="120" w:after="120"/>
              <w:jc w:val="both"/>
              <w:rPr>
                <w:b/>
                <w:color w:val="000000" w:themeColor="text1"/>
                <w:sz w:val="24"/>
                <w:szCs w:val="24"/>
              </w:rPr>
            </w:pPr>
            <w:r w:rsidRPr="006C14B1">
              <w:rPr>
                <w:b/>
                <w:color w:val="000000" w:themeColor="text1"/>
                <w:sz w:val="24"/>
                <w:szCs w:val="24"/>
              </w:rPr>
              <w:t xml:space="preserve">Проект на Постановление на Министерския съвет за изменение </w:t>
            </w:r>
            <w:r w:rsidR="00527B02">
              <w:rPr>
                <w:b/>
                <w:color w:val="000000" w:themeColor="text1"/>
                <w:sz w:val="24"/>
                <w:szCs w:val="24"/>
              </w:rPr>
              <w:t xml:space="preserve">и допълнение </w:t>
            </w:r>
            <w:r w:rsidRPr="006C14B1">
              <w:rPr>
                <w:b/>
                <w:color w:val="000000" w:themeColor="text1"/>
                <w:sz w:val="24"/>
                <w:szCs w:val="24"/>
              </w:rPr>
              <w:t>на Методика</w:t>
            </w:r>
            <w:r w:rsidR="00527B02">
              <w:rPr>
                <w:b/>
                <w:color w:val="000000" w:themeColor="text1"/>
                <w:sz w:val="24"/>
                <w:szCs w:val="24"/>
              </w:rPr>
              <w:t>та</w:t>
            </w:r>
            <w:r w:rsidRPr="006C14B1">
              <w:rPr>
                <w:b/>
                <w:color w:val="000000" w:themeColor="text1"/>
                <w:sz w:val="24"/>
                <w:szCs w:val="24"/>
              </w:rPr>
              <w:t xml:space="preserve"> за изчисляване на нетните разходи от извършване на универсалната пощенска услуга и за определяне на критерии за наличие на несправедлива финансова тежест</w:t>
            </w:r>
          </w:p>
        </w:tc>
      </w:tr>
      <w:tr w:rsidR="006C14B1" w:rsidRPr="006C14B1" w:rsidTr="00AA077D">
        <w:trPr>
          <w:gridAfter w:val="1"/>
          <w:wAfter w:w="7" w:type="dxa"/>
        </w:trPr>
        <w:tc>
          <w:tcPr>
            <w:tcW w:w="5043" w:type="dxa"/>
          </w:tcPr>
          <w:p w:rsidR="006C14B1" w:rsidRPr="006C14B1" w:rsidRDefault="006C14B1" w:rsidP="006C14B1">
            <w:pPr>
              <w:rPr>
                <w:b/>
                <w:color w:val="000000" w:themeColor="text1"/>
                <w:sz w:val="24"/>
                <w:szCs w:val="24"/>
              </w:rPr>
            </w:pPr>
            <w:r w:rsidRPr="006C14B1">
              <w:rPr>
                <w:b/>
                <w:color w:val="000000" w:themeColor="text1"/>
                <w:sz w:val="24"/>
                <w:szCs w:val="24"/>
                <w:lang w:val="en-GB"/>
              </w:rPr>
              <w:object w:dxaOrig="225" w:dyaOrig="225" w14:anchorId="20279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202.5pt;height:39.75pt" o:ole="">
                  <v:imagedata r:id="rId6" o:title=""/>
                </v:shape>
                <w:control r:id="rId7" w:name="OptionButton2" w:shapeid="_x0000_i1059"/>
              </w:object>
            </w:r>
          </w:p>
        </w:tc>
        <w:tc>
          <w:tcPr>
            <w:tcW w:w="5216" w:type="dxa"/>
          </w:tcPr>
          <w:p w:rsidR="006C14B1" w:rsidRPr="006C14B1" w:rsidRDefault="006C14B1" w:rsidP="006C14B1">
            <w:pPr>
              <w:rPr>
                <w:b/>
                <w:color w:val="000000" w:themeColor="text1"/>
                <w:sz w:val="24"/>
                <w:lang w:val="en-GB"/>
              </w:rPr>
            </w:pPr>
            <w:r w:rsidRPr="006C14B1">
              <w:rPr>
                <w:b/>
                <w:color w:val="000000" w:themeColor="text1"/>
                <w:sz w:val="24"/>
                <w:lang w:val="en-GB"/>
              </w:rPr>
              <w:object w:dxaOrig="225" w:dyaOrig="225" w14:anchorId="2A0A536F">
                <v:shape id="_x0000_i1061" type="#_x0000_t75" style="width:202.5pt;height:39pt" o:ole="">
                  <v:imagedata r:id="rId8" o:title=""/>
                </v:shape>
                <w:control r:id="rId9" w:name="OptionButton1" w:shapeid="_x0000_i1061"/>
              </w:object>
            </w:r>
          </w:p>
          <w:p w:rsidR="006C14B1" w:rsidRPr="006C14B1" w:rsidRDefault="006C14B1" w:rsidP="006C14B1">
            <w:pPr>
              <w:jc w:val="center"/>
              <w:rPr>
                <w:b/>
                <w:color w:val="000000" w:themeColor="text1"/>
                <w:sz w:val="22"/>
                <w:szCs w:val="22"/>
              </w:rPr>
            </w:pPr>
            <w:r w:rsidRPr="006C14B1">
              <w:rPr>
                <w:b/>
                <w:color w:val="000000" w:themeColor="text1"/>
                <w:sz w:val="24"/>
              </w:rPr>
              <w:t>2025 г.</w:t>
            </w:r>
          </w:p>
        </w:tc>
      </w:tr>
      <w:tr w:rsidR="006C14B1" w:rsidRPr="006C14B1" w:rsidTr="00AA077D">
        <w:trPr>
          <w:gridAfter w:val="1"/>
          <w:wAfter w:w="7" w:type="dxa"/>
        </w:trPr>
        <w:tc>
          <w:tcPr>
            <w:tcW w:w="5043" w:type="dxa"/>
          </w:tcPr>
          <w:p w:rsidR="006C14B1" w:rsidRPr="006C14B1" w:rsidRDefault="006C14B1" w:rsidP="006C14B1">
            <w:pPr>
              <w:spacing w:before="120" w:after="120"/>
              <w:jc w:val="both"/>
              <w:rPr>
                <w:b/>
                <w:color w:val="000000" w:themeColor="text1"/>
                <w:sz w:val="24"/>
                <w:szCs w:val="24"/>
              </w:rPr>
            </w:pPr>
            <w:r w:rsidRPr="006C14B1">
              <w:rPr>
                <w:b/>
                <w:color w:val="000000" w:themeColor="text1"/>
                <w:sz w:val="24"/>
                <w:szCs w:val="24"/>
              </w:rPr>
              <w:t>Лице за контакт:</w:t>
            </w:r>
          </w:p>
          <w:p w:rsidR="006C14B1" w:rsidRPr="006C14B1" w:rsidRDefault="006C14B1" w:rsidP="006C14B1">
            <w:pPr>
              <w:tabs>
                <w:tab w:val="left" w:pos="1180"/>
                <w:tab w:val="left" w:pos="2300"/>
                <w:tab w:val="left" w:pos="2740"/>
                <w:tab w:val="left" w:pos="4480"/>
              </w:tabs>
              <w:spacing w:line="287" w:lineRule="auto"/>
              <w:jc w:val="both"/>
              <w:rPr>
                <w:color w:val="000000" w:themeColor="text1"/>
                <w:sz w:val="24"/>
                <w:szCs w:val="24"/>
              </w:rPr>
            </w:pPr>
            <w:r>
              <w:rPr>
                <w:color w:val="000000" w:themeColor="text1"/>
                <w:sz w:val="24"/>
                <w:szCs w:val="24"/>
              </w:rPr>
              <w:t>Боряна Стоева</w:t>
            </w:r>
            <w:r w:rsidRPr="006C14B1">
              <w:rPr>
                <w:color w:val="000000" w:themeColor="text1"/>
                <w:sz w:val="24"/>
                <w:szCs w:val="24"/>
              </w:rPr>
              <w:t xml:space="preserve"> – директор на</w:t>
            </w:r>
            <w:r>
              <w:rPr>
                <w:color w:val="000000" w:themeColor="text1"/>
                <w:sz w:val="24"/>
                <w:szCs w:val="24"/>
              </w:rPr>
              <w:t xml:space="preserve"> дирекция „Регулиране</w:t>
            </w:r>
            <w:r w:rsidRPr="006C14B1">
              <w:rPr>
                <w:color w:val="000000" w:themeColor="text1"/>
                <w:sz w:val="24"/>
                <w:szCs w:val="24"/>
              </w:rPr>
              <w:t>“</w:t>
            </w:r>
          </w:p>
        </w:tc>
        <w:tc>
          <w:tcPr>
            <w:tcW w:w="5216" w:type="dxa"/>
          </w:tcPr>
          <w:p w:rsidR="006C14B1" w:rsidRPr="006C14B1" w:rsidRDefault="006C14B1" w:rsidP="006C14B1">
            <w:pPr>
              <w:spacing w:before="120" w:after="120"/>
              <w:jc w:val="both"/>
              <w:rPr>
                <w:b/>
                <w:color w:val="000000" w:themeColor="text1"/>
                <w:sz w:val="24"/>
                <w:szCs w:val="24"/>
              </w:rPr>
            </w:pPr>
            <w:r w:rsidRPr="006C14B1">
              <w:rPr>
                <w:b/>
                <w:color w:val="000000" w:themeColor="text1"/>
                <w:sz w:val="24"/>
                <w:szCs w:val="24"/>
              </w:rPr>
              <w:t>Телефон и ел. поща:</w:t>
            </w:r>
          </w:p>
          <w:p w:rsidR="006C14B1" w:rsidRPr="006C14B1" w:rsidRDefault="006C14B1" w:rsidP="006C14B1">
            <w:pPr>
              <w:jc w:val="both"/>
              <w:rPr>
                <w:color w:val="000000" w:themeColor="text1"/>
                <w:sz w:val="24"/>
                <w:szCs w:val="24"/>
              </w:rPr>
            </w:pPr>
            <w:r w:rsidRPr="006C14B1">
              <w:rPr>
                <w:color w:val="000000" w:themeColor="text1"/>
                <w:sz w:val="24"/>
                <w:szCs w:val="24"/>
              </w:rPr>
              <w:t>02/949</w:t>
            </w:r>
            <w:r>
              <w:rPr>
                <w:color w:val="000000" w:themeColor="text1"/>
                <w:sz w:val="24"/>
                <w:szCs w:val="24"/>
              </w:rPr>
              <w:t xml:space="preserve"> 2928</w:t>
            </w:r>
          </w:p>
          <w:p w:rsidR="006C14B1" w:rsidRPr="00F0693C" w:rsidRDefault="006C14B1" w:rsidP="006C14B1">
            <w:pPr>
              <w:jc w:val="both"/>
              <w:rPr>
                <w:b/>
                <w:color w:val="000000" w:themeColor="text1"/>
                <w:sz w:val="24"/>
                <w:szCs w:val="24"/>
              </w:rPr>
            </w:pPr>
            <w:r>
              <w:rPr>
                <w:color w:val="000000" w:themeColor="text1"/>
                <w:sz w:val="24"/>
                <w:szCs w:val="24"/>
                <w:lang w:val="en-US"/>
              </w:rPr>
              <w:t>bstoeva</w:t>
            </w:r>
            <w:r w:rsidRPr="00F0693C">
              <w:rPr>
                <w:color w:val="000000" w:themeColor="text1"/>
                <w:sz w:val="24"/>
                <w:szCs w:val="24"/>
              </w:rPr>
              <w:t>@</w:t>
            </w:r>
            <w:r>
              <w:rPr>
                <w:color w:val="000000" w:themeColor="text1"/>
                <w:sz w:val="24"/>
                <w:szCs w:val="24"/>
                <w:lang w:val="en-US"/>
              </w:rPr>
              <w:t>crc</w:t>
            </w:r>
            <w:r w:rsidRPr="00F0693C">
              <w:rPr>
                <w:color w:val="000000" w:themeColor="text1"/>
                <w:sz w:val="24"/>
                <w:szCs w:val="24"/>
              </w:rPr>
              <w:t>.</w:t>
            </w:r>
            <w:r>
              <w:rPr>
                <w:color w:val="000000" w:themeColor="text1"/>
                <w:sz w:val="24"/>
                <w:szCs w:val="24"/>
                <w:lang w:val="en-US"/>
              </w:rPr>
              <w:t>bg</w:t>
            </w:r>
          </w:p>
        </w:tc>
      </w:tr>
      <w:tr w:rsidR="006C14B1" w:rsidRPr="006C14B1" w:rsidTr="00AA077D">
        <w:tc>
          <w:tcPr>
            <w:tcW w:w="10266" w:type="dxa"/>
            <w:gridSpan w:val="3"/>
          </w:tcPr>
          <w:p w:rsidR="006C14B1" w:rsidRPr="006C14B1" w:rsidRDefault="006C14B1" w:rsidP="006C14B1">
            <w:pPr>
              <w:numPr>
                <w:ilvl w:val="0"/>
                <w:numId w:val="1"/>
              </w:numPr>
              <w:spacing w:before="120" w:after="120" w:line="259" w:lineRule="auto"/>
              <w:contextualSpacing/>
              <w:jc w:val="both"/>
              <w:rPr>
                <w:b/>
                <w:color w:val="000000" w:themeColor="text1"/>
                <w:sz w:val="24"/>
                <w:szCs w:val="24"/>
              </w:rPr>
            </w:pPr>
            <w:r w:rsidRPr="006C14B1">
              <w:rPr>
                <w:b/>
                <w:color w:val="000000" w:themeColor="text1"/>
                <w:sz w:val="24"/>
                <w:szCs w:val="24"/>
              </w:rPr>
              <w:t xml:space="preserve">Проблем/проблеми за решаване: </w:t>
            </w:r>
          </w:p>
          <w:p w:rsidR="006C14B1" w:rsidRPr="006C14B1" w:rsidRDefault="006C14B1" w:rsidP="006C14B1">
            <w:pPr>
              <w:spacing w:after="120"/>
              <w:jc w:val="both"/>
              <w:rPr>
                <w:i/>
                <w:color w:val="000000" w:themeColor="text1"/>
                <w:sz w:val="24"/>
                <w:szCs w:val="24"/>
              </w:rPr>
            </w:pPr>
            <w:r w:rsidRPr="006C14B1">
              <w:rPr>
                <w:i/>
                <w:color w:val="000000" w:themeColor="text1"/>
                <w:sz w:val="24"/>
                <w:szCs w:val="24"/>
              </w:rPr>
              <w:t>1.1. Кратко опишете проблема/проблемите и причините за неговото/тяхното възникване. По възможност посочете числови стойности.</w:t>
            </w:r>
          </w:p>
          <w:p w:rsidR="006C14B1" w:rsidRPr="006C14B1" w:rsidRDefault="006C14B1" w:rsidP="006C14B1">
            <w:pPr>
              <w:ind w:firstLine="567"/>
              <w:jc w:val="both"/>
              <w:rPr>
                <w:b/>
                <w:color w:val="000000" w:themeColor="text1"/>
                <w:sz w:val="24"/>
                <w:szCs w:val="24"/>
                <w:lang w:eastAsia="bg-BG"/>
              </w:rPr>
            </w:pPr>
            <w:r w:rsidRPr="006C14B1">
              <w:rPr>
                <w:b/>
                <w:color w:val="000000" w:themeColor="text1"/>
                <w:sz w:val="24"/>
                <w:szCs w:val="24"/>
                <w:lang w:eastAsia="bg-BG"/>
              </w:rPr>
              <w:t>Проблем 1 Необходимо е да се извършат промени в подзаконовата нормативна уредба по Закона за пощенските услуги,</w:t>
            </w:r>
            <w:r w:rsidRPr="006C14B1">
              <w:rPr>
                <w:rFonts w:ascii="Arial" w:hAnsi="Arial"/>
                <w:b/>
                <w:color w:val="000000" w:themeColor="text1"/>
                <w:sz w:val="24"/>
                <w:szCs w:val="24"/>
                <w:lang w:eastAsia="bg-BG"/>
              </w:rPr>
              <w:t xml:space="preserve"> </w:t>
            </w:r>
            <w:r w:rsidRPr="006C14B1">
              <w:rPr>
                <w:b/>
                <w:color w:val="000000" w:themeColor="text1"/>
                <w:sz w:val="24"/>
                <w:szCs w:val="24"/>
                <w:lang w:eastAsia="bg-BG"/>
              </w:rPr>
              <w:t>с оглед</w:t>
            </w:r>
            <w:r w:rsidRPr="0020326F">
              <w:rPr>
                <w:b/>
                <w:color w:val="000000" w:themeColor="text1"/>
                <w:sz w:val="24"/>
                <w:szCs w:val="24"/>
                <w:lang w:eastAsia="bg-BG"/>
              </w:rPr>
              <w:t xml:space="preserve"> </w:t>
            </w:r>
            <w:r w:rsidR="00FD34B8" w:rsidRPr="0020326F">
              <w:rPr>
                <w:b/>
                <w:color w:val="000000" w:themeColor="text1"/>
                <w:sz w:val="24"/>
                <w:szCs w:val="24"/>
                <w:lang w:eastAsia="bg-BG"/>
              </w:rPr>
              <w:t xml:space="preserve">извършеното </w:t>
            </w:r>
            <w:r w:rsidRPr="006C14B1">
              <w:rPr>
                <w:b/>
                <w:color w:val="000000" w:themeColor="text1"/>
                <w:sz w:val="24"/>
                <w:szCs w:val="24"/>
                <w:lang w:eastAsia="bg-BG"/>
              </w:rPr>
              <w:t>прецизиране на механизма за изчисляване на размера на нетните разходи и определяне на несправедливата финансова тежест от предоставянето на универсалната пощенска услуга</w:t>
            </w:r>
            <w:r w:rsidR="00FD34B8">
              <w:rPr>
                <w:b/>
                <w:color w:val="000000" w:themeColor="text1"/>
                <w:sz w:val="24"/>
                <w:szCs w:val="24"/>
                <w:lang w:eastAsia="bg-BG"/>
              </w:rPr>
              <w:t xml:space="preserve"> в Закона за пощенските услуги</w:t>
            </w:r>
            <w:r w:rsidRPr="006C14B1">
              <w:rPr>
                <w:b/>
                <w:color w:val="000000" w:themeColor="text1"/>
                <w:sz w:val="24"/>
                <w:szCs w:val="24"/>
                <w:lang w:eastAsia="bg-BG"/>
              </w:rPr>
              <w:t>.</w:t>
            </w:r>
            <w:r w:rsidR="00FD34B8">
              <w:t xml:space="preserve"> </w:t>
            </w:r>
            <w:r w:rsidR="00FD34B8" w:rsidRPr="00FD34B8">
              <w:rPr>
                <w:b/>
                <w:color w:val="000000" w:themeColor="text1"/>
                <w:sz w:val="24"/>
                <w:szCs w:val="24"/>
                <w:lang w:eastAsia="bg-BG"/>
              </w:rPr>
              <w:t>(ДВ. бр. 81 от 3 Октомври 2025 г.)</w:t>
            </w:r>
            <w:r w:rsidR="00527B02">
              <w:rPr>
                <w:b/>
                <w:color w:val="000000" w:themeColor="text1"/>
                <w:sz w:val="24"/>
                <w:szCs w:val="24"/>
                <w:lang w:eastAsia="bg-BG"/>
              </w:rPr>
              <w:t>.</w:t>
            </w:r>
          </w:p>
          <w:p w:rsidR="00093976" w:rsidRDefault="00093976" w:rsidP="00093976">
            <w:pPr>
              <w:ind w:firstLine="720"/>
              <w:jc w:val="both"/>
              <w:rPr>
                <w:color w:val="000000" w:themeColor="text1"/>
                <w:sz w:val="24"/>
                <w:szCs w:val="24"/>
                <w:lang w:eastAsia="bg-BG"/>
              </w:rPr>
            </w:pPr>
            <w:r w:rsidRPr="00093976">
              <w:rPr>
                <w:color w:val="000000" w:themeColor="text1"/>
                <w:sz w:val="24"/>
                <w:szCs w:val="24"/>
                <w:lang w:eastAsia="bg-BG"/>
              </w:rPr>
              <w:t xml:space="preserve">Универсалната пощенска услуга (УПУ) е услуга от общ икономически интерес. Тя се предоставя от „Български пощи” ЕАД (БП/задължен оператор) въз основа на наложено </w:t>
            </w:r>
            <w:r w:rsidR="00527B02">
              <w:rPr>
                <w:color w:val="000000" w:themeColor="text1"/>
                <w:sz w:val="24"/>
                <w:szCs w:val="24"/>
                <w:lang w:eastAsia="bg-BG"/>
              </w:rPr>
              <w:t>по</w:t>
            </w:r>
            <w:r w:rsidR="00527B02" w:rsidRPr="00093976">
              <w:rPr>
                <w:color w:val="000000" w:themeColor="text1"/>
                <w:sz w:val="24"/>
                <w:szCs w:val="24"/>
                <w:lang w:eastAsia="bg-BG"/>
              </w:rPr>
              <w:t xml:space="preserve"> </w:t>
            </w:r>
            <w:r w:rsidRPr="00093976">
              <w:rPr>
                <w:color w:val="000000" w:themeColor="text1"/>
                <w:sz w:val="24"/>
                <w:szCs w:val="24"/>
                <w:lang w:eastAsia="bg-BG"/>
              </w:rPr>
              <w:t>чл. 2</w:t>
            </w:r>
            <w:r w:rsidR="00B3413C">
              <w:rPr>
                <w:color w:val="000000" w:themeColor="text1"/>
                <w:sz w:val="24"/>
                <w:szCs w:val="24"/>
                <w:lang w:eastAsia="bg-BG"/>
              </w:rPr>
              <w:t>4</w:t>
            </w:r>
            <w:r w:rsidRPr="00093976">
              <w:rPr>
                <w:color w:val="000000" w:themeColor="text1"/>
                <w:sz w:val="24"/>
                <w:szCs w:val="24"/>
                <w:lang w:eastAsia="bg-BG"/>
              </w:rPr>
              <w:t xml:space="preserve"> </w:t>
            </w:r>
            <w:r w:rsidR="00B3413C">
              <w:rPr>
                <w:color w:val="000000" w:themeColor="text1"/>
                <w:sz w:val="24"/>
                <w:szCs w:val="24"/>
                <w:lang w:eastAsia="bg-BG"/>
              </w:rPr>
              <w:t>от</w:t>
            </w:r>
            <w:r w:rsidR="00B3413C" w:rsidRPr="00093976">
              <w:rPr>
                <w:color w:val="000000" w:themeColor="text1"/>
                <w:sz w:val="24"/>
                <w:szCs w:val="24"/>
                <w:lang w:eastAsia="bg-BG"/>
              </w:rPr>
              <w:t xml:space="preserve"> </w:t>
            </w:r>
            <w:r w:rsidRPr="00093976">
              <w:rPr>
                <w:color w:val="000000" w:themeColor="text1"/>
                <w:sz w:val="24"/>
                <w:szCs w:val="24"/>
                <w:lang w:eastAsia="bg-BG"/>
              </w:rPr>
              <w:t xml:space="preserve">Закона за пощенските услуги (ЗПУ), във връзка с § 70 от ПЗР на ЗПУ, задължение и при условия, различни от обичайните търговски. Поради това, в чл. 29 и чл. 29а от ЗПУ е предвидено БП да получава компенсация от държавния бюджет, когато задължението за предоставяне на УПУ води до нетни разходи и представлява несправедлива финансова тежест за дружеството. Компенсацията, която БП получава, се предоставя от държавния бюджет, поради което попада в обхвата на чл. 107-109 от Договора за функциониране на Европейския съюз (ДФЕС). </w:t>
            </w:r>
            <w:r w:rsidRPr="008B0774">
              <w:rPr>
                <w:color w:val="000000" w:themeColor="text1"/>
                <w:sz w:val="24"/>
                <w:szCs w:val="24"/>
                <w:lang w:eastAsia="bg-BG"/>
              </w:rPr>
              <w:t>Компенсацията, предоставяна на БП, представлява държавна помощ, тъй като не изпълнява четирите кумулативни критерия, при които компенсацията за услуги от общ икономически интерес не представлява държавна помощ по смисъла на член 107 от ДФЕС.</w:t>
            </w:r>
            <w:r w:rsidRPr="00093976">
              <w:rPr>
                <w:color w:val="000000" w:themeColor="text1"/>
                <w:sz w:val="24"/>
                <w:szCs w:val="24"/>
                <w:lang w:eastAsia="bg-BG"/>
              </w:rPr>
              <w:t xml:space="preserve"> </w:t>
            </w:r>
          </w:p>
          <w:p w:rsidR="00093976" w:rsidRPr="00093976" w:rsidRDefault="00093976" w:rsidP="00093976">
            <w:pPr>
              <w:ind w:firstLine="720"/>
              <w:jc w:val="both"/>
              <w:rPr>
                <w:color w:val="000000" w:themeColor="text1"/>
                <w:sz w:val="24"/>
                <w:szCs w:val="24"/>
                <w:lang w:eastAsia="bg-BG"/>
              </w:rPr>
            </w:pPr>
            <w:r w:rsidRPr="00093976">
              <w:rPr>
                <w:color w:val="000000" w:themeColor="text1"/>
                <w:sz w:val="24"/>
                <w:szCs w:val="24"/>
                <w:lang w:eastAsia="bg-BG"/>
              </w:rPr>
              <w:t xml:space="preserve">Правилата за компенсиране на нетните разходи от предоставяне на УПУ са регламентирани от специалните изисквания на Директива 97/67/ЕО. Оценката на компенсацията за съответствие с чл. 107 от ДФЕС се прави от Европейската комисия в съответствие с Европейска рамка за компенсиране на услуги от общ икономически интерес, в сила от началото на 2012 г., която се състои от следните актове: </w:t>
            </w:r>
          </w:p>
          <w:p w:rsidR="00093976" w:rsidRPr="00093976" w:rsidRDefault="00093976" w:rsidP="00F86F50">
            <w:pPr>
              <w:tabs>
                <w:tab w:val="left" w:pos="975"/>
              </w:tabs>
              <w:ind w:firstLine="720"/>
              <w:jc w:val="both"/>
              <w:rPr>
                <w:color w:val="000000" w:themeColor="text1"/>
                <w:sz w:val="24"/>
                <w:szCs w:val="24"/>
                <w:lang w:eastAsia="bg-BG"/>
              </w:rPr>
            </w:pPr>
            <w:r w:rsidRPr="00093976">
              <w:rPr>
                <w:color w:val="000000" w:themeColor="text1"/>
                <w:sz w:val="24"/>
                <w:szCs w:val="24"/>
                <w:lang w:eastAsia="bg-BG"/>
              </w:rPr>
              <w:lastRenderedPageBreak/>
              <w:t>•</w:t>
            </w:r>
            <w:r w:rsidRPr="00093976">
              <w:rPr>
                <w:color w:val="000000" w:themeColor="text1"/>
                <w:sz w:val="24"/>
                <w:szCs w:val="24"/>
                <w:lang w:eastAsia="bg-BG"/>
              </w:rPr>
              <w:tab/>
              <w:t>Съобщение на Комисията за прилагането на правилата на Европейския съюз към компенсацията, предоставена за предоставянето на услуги от общ икономически интерес 2012/C 8/02;</w:t>
            </w:r>
          </w:p>
          <w:p w:rsidR="00093976" w:rsidRPr="00093976" w:rsidRDefault="00093976" w:rsidP="00F86F50">
            <w:pPr>
              <w:tabs>
                <w:tab w:val="left" w:pos="999"/>
              </w:tabs>
              <w:ind w:firstLine="720"/>
              <w:jc w:val="both"/>
              <w:rPr>
                <w:color w:val="000000" w:themeColor="text1"/>
                <w:sz w:val="24"/>
                <w:szCs w:val="24"/>
                <w:lang w:eastAsia="bg-BG"/>
              </w:rPr>
            </w:pPr>
            <w:r w:rsidRPr="00093976">
              <w:rPr>
                <w:color w:val="000000" w:themeColor="text1"/>
                <w:sz w:val="24"/>
                <w:szCs w:val="24"/>
                <w:lang w:eastAsia="bg-BG"/>
              </w:rPr>
              <w:t>•</w:t>
            </w:r>
            <w:r w:rsidRPr="00093976">
              <w:rPr>
                <w:color w:val="000000" w:themeColor="text1"/>
                <w:sz w:val="24"/>
                <w:szCs w:val="24"/>
                <w:lang w:eastAsia="bg-BG"/>
              </w:rPr>
              <w:tab/>
              <w:t>Съобщение на Комисията, Рамка на Европейския съюз за държавна помощ под формата на компенсации за обществени услуги (2011 г.) 2012/C 8/03;</w:t>
            </w:r>
          </w:p>
          <w:p w:rsidR="00093976" w:rsidRPr="00093976" w:rsidRDefault="00093976" w:rsidP="00F86F50">
            <w:pPr>
              <w:tabs>
                <w:tab w:val="left" w:pos="990"/>
              </w:tabs>
              <w:ind w:firstLine="720"/>
              <w:jc w:val="both"/>
              <w:rPr>
                <w:color w:val="000000" w:themeColor="text1"/>
                <w:sz w:val="24"/>
                <w:szCs w:val="24"/>
                <w:lang w:eastAsia="bg-BG"/>
              </w:rPr>
            </w:pPr>
            <w:r w:rsidRPr="00093976">
              <w:rPr>
                <w:color w:val="000000" w:themeColor="text1"/>
                <w:sz w:val="24"/>
                <w:szCs w:val="24"/>
                <w:lang w:eastAsia="bg-BG"/>
              </w:rPr>
              <w:t>•</w:t>
            </w:r>
            <w:r w:rsidRPr="00093976">
              <w:rPr>
                <w:color w:val="000000" w:themeColor="text1"/>
                <w:sz w:val="24"/>
                <w:szCs w:val="24"/>
                <w:lang w:eastAsia="bg-BG"/>
              </w:rPr>
              <w:tab/>
            </w:r>
            <w:r w:rsidR="00F86F50">
              <w:rPr>
                <w:color w:val="000000" w:themeColor="text1"/>
                <w:sz w:val="24"/>
                <w:szCs w:val="24"/>
                <w:lang w:eastAsia="bg-BG"/>
              </w:rPr>
              <w:t xml:space="preserve"> </w:t>
            </w:r>
            <w:r w:rsidRPr="00093976">
              <w:rPr>
                <w:color w:val="000000" w:themeColor="text1"/>
                <w:sz w:val="24"/>
                <w:szCs w:val="24"/>
                <w:lang w:eastAsia="bg-BG"/>
              </w:rPr>
              <w:t>Решение на Комисията от 20 декември 2011 г. относно прилагането на член 106, параграф 2 от ДФЕС за държавната помощ под формата на компенсация за обществена услуга, предоставена на определени предприятия, натоварени с извършването на услуги от общ икономически интерес (нотифицирано под номер C(2011) 9380) (2012/21/ЕС) (Решение 2012/21/ЕС на Европейската комисия);</w:t>
            </w:r>
          </w:p>
          <w:p w:rsidR="00093976" w:rsidRPr="00093976" w:rsidRDefault="00093976" w:rsidP="00F86F50">
            <w:pPr>
              <w:tabs>
                <w:tab w:val="left" w:pos="975"/>
              </w:tabs>
              <w:ind w:firstLine="720"/>
              <w:jc w:val="both"/>
              <w:rPr>
                <w:color w:val="000000" w:themeColor="text1"/>
                <w:sz w:val="24"/>
                <w:szCs w:val="24"/>
                <w:lang w:eastAsia="bg-BG"/>
              </w:rPr>
            </w:pPr>
            <w:r w:rsidRPr="00093976">
              <w:rPr>
                <w:color w:val="000000" w:themeColor="text1"/>
                <w:sz w:val="24"/>
                <w:szCs w:val="24"/>
                <w:lang w:eastAsia="bg-BG"/>
              </w:rPr>
              <w:t>•</w:t>
            </w:r>
            <w:r w:rsidRPr="00093976">
              <w:rPr>
                <w:color w:val="000000" w:themeColor="text1"/>
                <w:sz w:val="24"/>
                <w:szCs w:val="24"/>
                <w:lang w:eastAsia="bg-BG"/>
              </w:rPr>
              <w:tab/>
              <w:t>Регламент (ЕС) № 360/2012 на Комисията от 25 април 2012 г. относно прилагането на членове 107 и 108 от ДФЕС към минималната помощ (de minimis) за предприятия, предоставящи услуги от общ икономически интерес.</w:t>
            </w:r>
          </w:p>
          <w:p w:rsidR="00093976" w:rsidRPr="00093976" w:rsidRDefault="00093976" w:rsidP="00093976">
            <w:pPr>
              <w:ind w:firstLine="720"/>
              <w:jc w:val="both"/>
              <w:rPr>
                <w:color w:val="000000" w:themeColor="text1"/>
                <w:sz w:val="24"/>
                <w:szCs w:val="24"/>
                <w:lang w:eastAsia="bg-BG"/>
              </w:rPr>
            </w:pPr>
            <w:r w:rsidRPr="00093976">
              <w:rPr>
                <w:color w:val="000000" w:themeColor="text1"/>
                <w:sz w:val="24"/>
                <w:szCs w:val="24"/>
                <w:lang w:eastAsia="bg-BG"/>
              </w:rPr>
              <w:t>Когато компенсацията не може да се възползва от блоковото освобождаване, съгласно цитирания регламент и решение на Европейската комисия (ЕК), планираната компенсация за пощенския оператор подлежи на нотификация до ЕК. ЕК оценява планираната компенсация съобразно приложимите изисквания на ДФЕС, Директива 97/67/ЕО и горепосочените съобщения.</w:t>
            </w:r>
          </w:p>
          <w:p w:rsidR="00093976" w:rsidRPr="00093976" w:rsidRDefault="00093976" w:rsidP="00093976">
            <w:pPr>
              <w:ind w:firstLine="720"/>
              <w:jc w:val="both"/>
              <w:rPr>
                <w:color w:val="000000" w:themeColor="text1"/>
                <w:sz w:val="24"/>
                <w:szCs w:val="24"/>
                <w:lang w:eastAsia="bg-BG"/>
              </w:rPr>
            </w:pPr>
            <w:r w:rsidRPr="00093976">
              <w:rPr>
                <w:color w:val="000000" w:themeColor="text1"/>
                <w:sz w:val="24"/>
                <w:szCs w:val="24"/>
                <w:lang w:eastAsia="bg-BG"/>
              </w:rPr>
              <w:t xml:space="preserve">На национално ниво, условията и реда за изчисляване на нетните разходи от извършване на УПУ, въз основа на които се определя компенсацията, са уредени в Методика за изчисляване на нетните разходи от извършване на </w:t>
            </w:r>
            <w:r w:rsidR="00B3413C">
              <w:rPr>
                <w:color w:val="000000" w:themeColor="text1"/>
                <w:sz w:val="24"/>
                <w:szCs w:val="24"/>
                <w:lang w:eastAsia="bg-BG"/>
              </w:rPr>
              <w:t>универсалната пощенска услуга</w:t>
            </w:r>
            <w:r w:rsidR="00B3413C">
              <w:t xml:space="preserve"> </w:t>
            </w:r>
            <w:r w:rsidR="00993654" w:rsidRPr="00993654">
              <w:rPr>
                <w:color w:val="000000" w:themeColor="text1"/>
                <w:sz w:val="24"/>
                <w:szCs w:val="24"/>
                <w:lang w:eastAsia="bg-BG"/>
              </w:rPr>
              <w:t>и за определяне на критерии за наличие на несправедлива финансова тежест</w:t>
            </w:r>
            <w:r w:rsidRPr="00093976">
              <w:rPr>
                <w:color w:val="000000" w:themeColor="text1"/>
                <w:sz w:val="24"/>
                <w:szCs w:val="24"/>
                <w:lang w:eastAsia="bg-BG"/>
              </w:rPr>
              <w:t>, приета с ПМС № 1</w:t>
            </w:r>
            <w:r w:rsidR="00993654" w:rsidRPr="00F0693C">
              <w:rPr>
                <w:color w:val="000000" w:themeColor="text1"/>
                <w:sz w:val="24"/>
                <w:szCs w:val="24"/>
                <w:lang w:eastAsia="bg-BG"/>
              </w:rPr>
              <w:t>31</w:t>
            </w:r>
            <w:r w:rsidRPr="00093976">
              <w:rPr>
                <w:color w:val="000000" w:themeColor="text1"/>
                <w:sz w:val="24"/>
                <w:szCs w:val="24"/>
                <w:lang w:eastAsia="bg-BG"/>
              </w:rPr>
              <w:t xml:space="preserve"> от </w:t>
            </w:r>
            <w:r w:rsidR="00993654" w:rsidRPr="00F0693C">
              <w:rPr>
                <w:color w:val="000000" w:themeColor="text1"/>
                <w:sz w:val="24"/>
                <w:szCs w:val="24"/>
                <w:lang w:eastAsia="bg-BG"/>
              </w:rPr>
              <w:t>02</w:t>
            </w:r>
            <w:r w:rsidRPr="00093976">
              <w:rPr>
                <w:color w:val="000000" w:themeColor="text1"/>
                <w:sz w:val="24"/>
                <w:szCs w:val="24"/>
                <w:lang w:eastAsia="bg-BG"/>
              </w:rPr>
              <w:t>.0</w:t>
            </w:r>
            <w:r w:rsidR="00993654" w:rsidRPr="00F0693C">
              <w:rPr>
                <w:color w:val="000000" w:themeColor="text1"/>
                <w:sz w:val="24"/>
                <w:szCs w:val="24"/>
                <w:lang w:eastAsia="bg-BG"/>
              </w:rPr>
              <w:t>4</w:t>
            </w:r>
            <w:r w:rsidRPr="00093976">
              <w:rPr>
                <w:color w:val="000000" w:themeColor="text1"/>
                <w:sz w:val="24"/>
                <w:szCs w:val="24"/>
                <w:lang w:eastAsia="bg-BG"/>
              </w:rPr>
              <w:t>.20</w:t>
            </w:r>
            <w:r w:rsidR="00993654" w:rsidRPr="00F0693C">
              <w:rPr>
                <w:color w:val="000000" w:themeColor="text1"/>
                <w:sz w:val="24"/>
                <w:szCs w:val="24"/>
                <w:lang w:eastAsia="bg-BG"/>
              </w:rPr>
              <w:t>2</w:t>
            </w:r>
            <w:r w:rsidRPr="00093976">
              <w:rPr>
                <w:color w:val="000000" w:themeColor="text1"/>
                <w:sz w:val="24"/>
                <w:szCs w:val="24"/>
                <w:lang w:eastAsia="bg-BG"/>
              </w:rPr>
              <w:t xml:space="preserve">1 г. (действаща Методика). </w:t>
            </w:r>
          </w:p>
          <w:p w:rsidR="006C14B1" w:rsidRPr="006C14B1" w:rsidRDefault="00D0086A" w:rsidP="006C14B1">
            <w:pPr>
              <w:ind w:firstLine="720"/>
              <w:jc w:val="both"/>
              <w:rPr>
                <w:color w:val="000000" w:themeColor="text1"/>
                <w:sz w:val="24"/>
                <w:szCs w:val="24"/>
                <w:lang w:eastAsia="bg-BG"/>
              </w:rPr>
            </w:pPr>
            <w:r>
              <w:rPr>
                <w:color w:val="000000" w:themeColor="text1"/>
                <w:sz w:val="24"/>
                <w:szCs w:val="24"/>
                <w:lang w:eastAsia="bg-BG"/>
              </w:rPr>
              <w:t>С измененията в Закона за пощенските услуги</w:t>
            </w:r>
            <w:r w:rsidR="006C14B1" w:rsidRPr="006C14B1">
              <w:rPr>
                <w:sz w:val="24"/>
                <w:szCs w:val="24"/>
                <w:lang w:eastAsia="bg-BG"/>
              </w:rPr>
              <w:t xml:space="preserve"> </w:t>
            </w:r>
            <w:r>
              <w:rPr>
                <w:sz w:val="24"/>
                <w:szCs w:val="24"/>
                <w:lang w:eastAsia="bg-BG"/>
              </w:rPr>
              <w:t>(</w:t>
            </w:r>
            <w:r w:rsidRPr="00D0086A">
              <w:rPr>
                <w:sz w:val="24"/>
                <w:szCs w:val="24"/>
                <w:lang w:eastAsia="bg-BG"/>
              </w:rPr>
              <w:t>ДВ. бр.</w:t>
            </w:r>
            <w:r>
              <w:rPr>
                <w:sz w:val="24"/>
                <w:szCs w:val="24"/>
                <w:lang w:eastAsia="bg-BG"/>
              </w:rPr>
              <w:t xml:space="preserve"> </w:t>
            </w:r>
            <w:r w:rsidRPr="00D0086A">
              <w:rPr>
                <w:sz w:val="24"/>
                <w:szCs w:val="24"/>
                <w:lang w:eastAsia="bg-BG"/>
              </w:rPr>
              <w:t>81 от 3 Октомври 2025</w:t>
            </w:r>
            <w:r>
              <w:rPr>
                <w:sz w:val="24"/>
                <w:szCs w:val="24"/>
                <w:lang w:eastAsia="bg-BG"/>
              </w:rPr>
              <w:t xml:space="preserve"> </w:t>
            </w:r>
            <w:r w:rsidRPr="00D0086A">
              <w:rPr>
                <w:sz w:val="24"/>
                <w:szCs w:val="24"/>
                <w:lang w:eastAsia="bg-BG"/>
              </w:rPr>
              <w:t>г.</w:t>
            </w:r>
            <w:r>
              <w:rPr>
                <w:sz w:val="24"/>
                <w:szCs w:val="24"/>
                <w:lang w:eastAsia="bg-BG"/>
              </w:rPr>
              <w:t>)</w:t>
            </w:r>
            <w:r w:rsidR="006C14B1" w:rsidRPr="006C14B1">
              <w:rPr>
                <w:sz w:val="24"/>
                <w:szCs w:val="24"/>
                <w:lang w:eastAsia="bg-BG"/>
              </w:rPr>
              <w:t xml:space="preserve"> срокът на задължението за извършване на универсалната пощенска услуга от „Български пощи“ ЕАД се удължи с 5 години, считано от 30 декември 2025 г. </w:t>
            </w:r>
            <w:r w:rsidR="00A97C97">
              <w:rPr>
                <w:sz w:val="24"/>
                <w:szCs w:val="24"/>
                <w:lang w:eastAsia="bg-BG"/>
              </w:rPr>
              <w:t xml:space="preserve">и </w:t>
            </w:r>
            <w:r w:rsidR="00FD34B8">
              <w:rPr>
                <w:sz w:val="24"/>
                <w:szCs w:val="24"/>
                <w:lang w:eastAsia="bg-BG"/>
              </w:rPr>
              <w:t xml:space="preserve">се прецизира </w:t>
            </w:r>
            <w:r w:rsidR="0020326F" w:rsidRPr="0020326F">
              <w:rPr>
                <w:sz w:val="24"/>
                <w:szCs w:val="24"/>
                <w:lang w:eastAsia="bg-BG"/>
              </w:rPr>
              <w:t>механизма за изчисляване на размера на нетните разходи и определяне на несправедливата финансова тежест от предоставянето н</w:t>
            </w:r>
            <w:r w:rsidR="0020326F">
              <w:rPr>
                <w:sz w:val="24"/>
                <w:szCs w:val="24"/>
                <w:lang w:eastAsia="bg-BG"/>
              </w:rPr>
              <w:t xml:space="preserve">а УПУ. </w:t>
            </w:r>
          </w:p>
          <w:p w:rsidR="006C14B1" w:rsidRPr="006C14B1" w:rsidRDefault="006C14B1" w:rsidP="006C14B1">
            <w:pPr>
              <w:ind w:right="142" w:firstLine="708"/>
              <w:jc w:val="both"/>
              <w:rPr>
                <w:sz w:val="24"/>
                <w:szCs w:val="24"/>
                <w:lang w:eastAsia="bg-BG"/>
              </w:rPr>
            </w:pPr>
            <w:r w:rsidRPr="006C14B1">
              <w:rPr>
                <w:color w:val="000000" w:themeColor="text1"/>
                <w:sz w:val="24"/>
                <w:szCs w:val="24"/>
                <w:lang w:eastAsia="bg-BG"/>
              </w:rPr>
              <w:t xml:space="preserve">Чрез </w:t>
            </w:r>
            <w:r w:rsidRPr="006C14B1">
              <w:rPr>
                <w:sz w:val="24"/>
                <w:szCs w:val="24"/>
                <w:lang w:eastAsia="bg-BG"/>
              </w:rPr>
              <w:t>гарантиране на предоставянето на УПУ от страна на държавата се осигурява достъп до пощенско обслужване за хората от най-отдалечените, труднодостъпни и рядко населени райони. Гарантира се правото на всеки гражданин, независимо от неговия социален статус, покупателна способност и географско местоположение, на достъп до минимален пакет от услуги с определено качество и на достъпна цена. Това се осъществява посредством изградената инфраструктура от националния пощенски оператор и възможността за доставяне на пощенски пратки на територията на цялата страна</w:t>
            </w:r>
            <w:r w:rsidR="00B3413C">
              <w:rPr>
                <w:sz w:val="24"/>
                <w:szCs w:val="24"/>
                <w:lang w:eastAsia="bg-BG"/>
              </w:rPr>
              <w:t>.</w:t>
            </w:r>
            <w:r w:rsidRPr="006C14B1">
              <w:rPr>
                <w:sz w:val="24"/>
                <w:szCs w:val="24"/>
                <w:lang w:eastAsia="bg-BG"/>
              </w:rPr>
              <w:t xml:space="preserve"> </w:t>
            </w:r>
          </w:p>
          <w:p w:rsidR="006C14B1" w:rsidRPr="006C14B1" w:rsidRDefault="006C14B1" w:rsidP="006A1E64">
            <w:pPr>
              <w:ind w:firstLine="716"/>
              <w:jc w:val="both"/>
              <w:rPr>
                <w:rFonts w:eastAsia="Aptos"/>
                <w:sz w:val="24"/>
                <w:szCs w:val="24"/>
                <w:lang w:eastAsia="bg-BG"/>
              </w:rPr>
            </w:pPr>
            <w:r w:rsidRPr="006C14B1">
              <w:rPr>
                <w:rFonts w:eastAsia="Aptos"/>
                <w:sz w:val="24"/>
                <w:szCs w:val="24"/>
                <w:lang w:eastAsia="bg-BG"/>
              </w:rPr>
              <w:t xml:space="preserve">Извършването на универсалната пощенска услуга води до нетни разходи и представлява несправедлива финансова тежест за „Български пощи“ ЕАД, за която дружеството има право да получава компенсация от държавата при условия и по ред съгласно приложимата европейска и национална правна рамка. </w:t>
            </w:r>
          </w:p>
          <w:p w:rsidR="00A65344" w:rsidRPr="00A65344" w:rsidRDefault="00EA248B" w:rsidP="00A65344">
            <w:pPr>
              <w:autoSpaceDE w:val="0"/>
              <w:autoSpaceDN w:val="0"/>
              <w:adjustRightInd w:val="0"/>
              <w:ind w:firstLine="708"/>
              <w:jc w:val="both"/>
              <w:rPr>
                <w:rFonts w:eastAsia="Calibri"/>
                <w:color w:val="000000"/>
                <w:sz w:val="24"/>
                <w:szCs w:val="24"/>
                <w:highlight w:val="yellow"/>
              </w:rPr>
            </w:pPr>
            <w:r>
              <w:rPr>
                <w:sz w:val="24"/>
                <w:szCs w:val="24"/>
                <w:lang w:eastAsia="bg-BG"/>
              </w:rPr>
              <w:t xml:space="preserve">В проекта за </w:t>
            </w:r>
            <w:r w:rsidR="006C14B1" w:rsidRPr="006C14B1">
              <w:rPr>
                <w:sz w:val="24"/>
                <w:szCs w:val="24"/>
                <w:lang w:eastAsia="bg-BG"/>
              </w:rPr>
              <w:t xml:space="preserve">изменение </w:t>
            </w:r>
            <w:r>
              <w:rPr>
                <w:sz w:val="24"/>
                <w:szCs w:val="24"/>
                <w:lang w:eastAsia="bg-BG"/>
              </w:rPr>
              <w:t>на</w:t>
            </w:r>
            <w:r w:rsidR="006C14B1" w:rsidRPr="006C14B1">
              <w:rPr>
                <w:sz w:val="24"/>
                <w:szCs w:val="24"/>
                <w:lang w:eastAsia="bg-BG"/>
              </w:rPr>
              <w:t xml:space="preserve"> </w:t>
            </w:r>
            <w:r w:rsidR="006C14B1" w:rsidRPr="006C14B1">
              <w:rPr>
                <w:color w:val="000000" w:themeColor="text1"/>
                <w:sz w:val="24"/>
                <w:szCs w:val="24"/>
              </w:rPr>
              <w:t>Методиката за изчисляване на нетните разходи от извършване на универсалната пощенска услуга и за определяне на критерии за наличие на несправедлива финансова тежест</w:t>
            </w:r>
            <w:r w:rsidR="00014291" w:rsidRPr="00F0693C">
              <w:rPr>
                <w:color w:val="000000" w:themeColor="text1"/>
                <w:sz w:val="24"/>
                <w:szCs w:val="24"/>
              </w:rPr>
              <w:t xml:space="preserve"> </w:t>
            </w:r>
            <w:r>
              <w:rPr>
                <w:sz w:val="24"/>
                <w:szCs w:val="24"/>
                <w:lang w:eastAsia="bg-BG"/>
              </w:rPr>
              <w:t xml:space="preserve">се предлага </w:t>
            </w:r>
            <w:r w:rsidR="006C14B1" w:rsidRPr="006C14B1">
              <w:rPr>
                <w:sz w:val="24"/>
                <w:szCs w:val="24"/>
                <w:lang w:eastAsia="bg-BG"/>
              </w:rPr>
              <w:t xml:space="preserve">отпадане на изискването </w:t>
            </w:r>
            <w:r w:rsidR="00D82C7C">
              <w:rPr>
                <w:sz w:val="24"/>
                <w:szCs w:val="24"/>
                <w:lang w:eastAsia="bg-BG"/>
              </w:rPr>
              <w:t>за</w:t>
            </w:r>
            <w:r w:rsidRPr="006C14B1">
              <w:rPr>
                <w:sz w:val="24"/>
                <w:szCs w:val="24"/>
                <w:lang w:eastAsia="bg-BG"/>
              </w:rPr>
              <w:t xml:space="preserve"> отчита</w:t>
            </w:r>
            <w:r w:rsidR="00D82C7C">
              <w:rPr>
                <w:sz w:val="24"/>
                <w:szCs w:val="24"/>
                <w:lang w:eastAsia="bg-BG"/>
              </w:rPr>
              <w:t>не</w:t>
            </w:r>
            <w:r w:rsidRPr="006C14B1">
              <w:rPr>
                <w:sz w:val="24"/>
                <w:szCs w:val="24"/>
                <w:lang w:eastAsia="bg-BG"/>
              </w:rPr>
              <w:t xml:space="preserve"> задължително</w:t>
            </w:r>
            <w:r w:rsidR="00D82C7C">
              <w:rPr>
                <w:sz w:val="24"/>
                <w:szCs w:val="24"/>
                <w:lang w:eastAsia="bg-BG"/>
              </w:rPr>
              <w:t xml:space="preserve"> на</w:t>
            </w:r>
            <w:r w:rsidRPr="006C14B1">
              <w:rPr>
                <w:sz w:val="24"/>
                <w:szCs w:val="24"/>
                <w:lang w:eastAsia="bg-BG"/>
              </w:rPr>
              <w:t xml:space="preserve"> елемента териториално покритие </w:t>
            </w:r>
            <w:r w:rsidR="006C14B1" w:rsidRPr="006C14B1">
              <w:rPr>
                <w:sz w:val="24"/>
                <w:szCs w:val="24"/>
                <w:lang w:eastAsia="bg-BG"/>
              </w:rPr>
              <w:t>при разработване на хипотетичния сценарий, по който операторът ще изчислява нетните разходи от задължението за извършване на УПУ</w:t>
            </w:r>
            <w:r w:rsidR="00252EA8">
              <w:rPr>
                <w:sz w:val="24"/>
                <w:szCs w:val="24"/>
                <w:lang w:eastAsia="bg-BG"/>
              </w:rPr>
              <w:t>. Хипотетичният сценарий се разработва за целите на изчисляване на</w:t>
            </w:r>
            <w:r w:rsidR="003000C4">
              <w:rPr>
                <w:sz w:val="24"/>
                <w:szCs w:val="24"/>
                <w:lang w:eastAsia="bg-BG"/>
              </w:rPr>
              <w:t xml:space="preserve"> нетните разходи</w:t>
            </w:r>
            <w:r w:rsidR="00D82C7C">
              <w:rPr>
                <w:sz w:val="24"/>
                <w:szCs w:val="24"/>
                <w:lang w:eastAsia="bg-BG"/>
              </w:rPr>
              <w:t xml:space="preserve"> </w:t>
            </w:r>
            <w:r w:rsidR="003000C4">
              <w:rPr>
                <w:sz w:val="24"/>
                <w:szCs w:val="24"/>
                <w:lang w:eastAsia="bg-BG"/>
              </w:rPr>
              <w:t>от</w:t>
            </w:r>
            <w:r w:rsidR="00D82C7C">
              <w:rPr>
                <w:sz w:val="24"/>
                <w:szCs w:val="24"/>
                <w:lang w:eastAsia="bg-BG"/>
              </w:rPr>
              <w:t xml:space="preserve"> </w:t>
            </w:r>
            <w:r w:rsidR="00252EA8">
              <w:rPr>
                <w:sz w:val="24"/>
                <w:szCs w:val="24"/>
                <w:lang w:eastAsia="bg-BG"/>
              </w:rPr>
              <w:t xml:space="preserve">извършване на </w:t>
            </w:r>
            <w:r w:rsidR="003000C4">
              <w:rPr>
                <w:sz w:val="24"/>
                <w:szCs w:val="24"/>
                <w:lang w:eastAsia="bg-BG"/>
              </w:rPr>
              <w:t>УПУ</w:t>
            </w:r>
            <w:r w:rsidR="00252EA8">
              <w:rPr>
                <w:sz w:val="24"/>
                <w:szCs w:val="24"/>
                <w:lang w:eastAsia="bg-BG"/>
              </w:rPr>
              <w:t xml:space="preserve"> и трябва да бъде достоверен и приложим на практика. </w:t>
            </w:r>
            <w:r w:rsidR="00252EA8">
              <w:rPr>
                <w:sz w:val="24"/>
                <w:szCs w:val="24"/>
              </w:rPr>
              <w:t>Х</w:t>
            </w:r>
            <w:r w:rsidR="00252EA8" w:rsidRPr="00C95449">
              <w:rPr>
                <w:sz w:val="24"/>
                <w:szCs w:val="24"/>
              </w:rPr>
              <w:t>ипотетичният сценарий следва да се разглежда от гледна точка на</w:t>
            </w:r>
            <w:r w:rsidR="00014291">
              <w:rPr>
                <w:sz w:val="24"/>
                <w:szCs w:val="24"/>
              </w:rPr>
              <w:t xml:space="preserve"> оператор</w:t>
            </w:r>
            <w:r w:rsidR="00D82C7C">
              <w:rPr>
                <w:sz w:val="24"/>
                <w:szCs w:val="24"/>
              </w:rPr>
              <w:t>а</w:t>
            </w:r>
            <w:r w:rsidR="00252EA8" w:rsidRPr="00C95449">
              <w:rPr>
                <w:sz w:val="24"/>
                <w:szCs w:val="24"/>
              </w:rPr>
              <w:t xml:space="preserve">, по-специално как би функционирал без възложено задължение за </w:t>
            </w:r>
            <w:r w:rsidR="00252EA8" w:rsidRPr="00C95449">
              <w:rPr>
                <w:sz w:val="24"/>
                <w:szCs w:val="24"/>
              </w:rPr>
              <w:lastRenderedPageBreak/>
              <w:t xml:space="preserve">предоставяне на </w:t>
            </w:r>
            <w:r w:rsidR="00C75A96">
              <w:rPr>
                <w:sz w:val="24"/>
                <w:szCs w:val="24"/>
              </w:rPr>
              <w:t xml:space="preserve">универсалната пощенска </w:t>
            </w:r>
            <w:r w:rsidR="00252EA8" w:rsidRPr="00C95449">
              <w:rPr>
                <w:sz w:val="24"/>
                <w:szCs w:val="24"/>
              </w:rPr>
              <w:t>услуга</w:t>
            </w:r>
            <w:r w:rsidR="00C75A96">
              <w:rPr>
                <w:sz w:val="24"/>
                <w:szCs w:val="24"/>
                <w:lang w:eastAsia="bg-BG"/>
              </w:rPr>
              <w:t>.</w:t>
            </w:r>
            <w:r w:rsidR="006C14B1" w:rsidRPr="006C14B1">
              <w:rPr>
                <w:sz w:val="24"/>
                <w:szCs w:val="24"/>
                <w:lang w:eastAsia="bg-BG"/>
              </w:rPr>
              <w:t xml:space="preserve"> </w:t>
            </w:r>
            <w:r w:rsidR="00252EA8">
              <w:rPr>
                <w:sz w:val="24"/>
                <w:szCs w:val="24"/>
                <w:lang w:eastAsia="bg-BG"/>
              </w:rPr>
              <w:t>С предложените изменения в Методиката</w:t>
            </w:r>
            <w:r w:rsidR="006C14B1" w:rsidRPr="006C14B1">
              <w:rPr>
                <w:sz w:val="24"/>
                <w:szCs w:val="24"/>
                <w:lang w:eastAsia="bg-BG"/>
              </w:rPr>
              <w:t xml:space="preserve"> ще се създад</w:t>
            </w:r>
            <w:r w:rsidR="00252EA8">
              <w:rPr>
                <w:sz w:val="24"/>
                <w:szCs w:val="24"/>
                <w:lang w:eastAsia="bg-BG"/>
              </w:rPr>
              <w:t>ат условия за</w:t>
            </w:r>
            <w:r w:rsidR="006C14B1" w:rsidRPr="006C14B1">
              <w:rPr>
                <w:sz w:val="24"/>
                <w:szCs w:val="24"/>
                <w:lang w:eastAsia="bg-BG"/>
              </w:rPr>
              <w:t xml:space="preserve"> </w:t>
            </w:r>
            <w:r w:rsidR="00252EA8">
              <w:rPr>
                <w:sz w:val="24"/>
                <w:szCs w:val="24"/>
                <w:lang w:eastAsia="bg-BG"/>
              </w:rPr>
              <w:t xml:space="preserve">гъвкавост при </w:t>
            </w:r>
            <w:r w:rsidR="006C14B1" w:rsidRPr="006C14B1">
              <w:rPr>
                <w:sz w:val="24"/>
                <w:szCs w:val="24"/>
                <w:lang w:eastAsia="bg-BG"/>
              </w:rPr>
              <w:t xml:space="preserve">разработване на различни варианти за хипотетичен сценарий, </w:t>
            </w:r>
            <w:r w:rsidR="00252EA8">
              <w:rPr>
                <w:sz w:val="24"/>
                <w:szCs w:val="24"/>
                <w:lang w:eastAsia="bg-BG"/>
              </w:rPr>
              <w:t>с</w:t>
            </w:r>
            <w:r w:rsidR="00252EA8" w:rsidRPr="006C14B1">
              <w:rPr>
                <w:sz w:val="24"/>
                <w:szCs w:val="24"/>
                <w:lang w:eastAsia="bg-BG"/>
              </w:rPr>
              <w:t xml:space="preserve"> </w:t>
            </w:r>
            <w:r w:rsidR="006C14B1" w:rsidRPr="006C14B1">
              <w:rPr>
                <w:sz w:val="24"/>
                <w:szCs w:val="24"/>
                <w:lang w:eastAsia="bg-BG"/>
              </w:rPr>
              <w:t xml:space="preserve">възможност за избор на пощенския оператор от всички компоненти, предвидени в Пощенската директива, </w:t>
            </w:r>
            <w:r w:rsidR="00252EA8">
              <w:rPr>
                <w:sz w:val="24"/>
                <w:szCs w:val="24"/>
                <w:lang w:eastAsia="bg-BG"/>
              </w:rPr>
              <w:t>с оглед</w:t>
            </w:r>
            <w:r w:rsidR="006C14B1" w:rsidRPr="006C14B1">
              <w:rPr>
                <w:sz w:val="24"/>
                <w:szCs w:val="24"/>
                <w:lang w:eastAsia="bg-BG"/>
              </w:rPr>
              <w:t xml:space="preserve"> получаване на </w:t>
            </w:r>
            <w:r>
              <w:rPr>
                <w:sz w:val="24"/>
                <w:szCs w:val="24"/>
                <w:lang w:eastAsia="bg-BG"/>
              </w:rPr>
              <w:t>справедлива</w:t>
            </w:r>
            <w:r w:rsidRPr="006C14B1">
              <w:rPr>
                <w:sz w:val="24"/>
                <w:szCs w:val="24"/>
                <w:lang w:eastAsia="bg-BG"/>
              </w:rPr>
              <w:t xml:space="preserve"> </w:t>
            </w:r>
            <w:r w:rsidR="006C14B1" w:rsidRPr="006C14B1">
              <w:rPr>
                <w:sz w:val="24"/>
                <w:szCs w:val="24"/>
                <w:lang w:eastAsia="bg-BG"/>
              </w:rPr>
              <w:t xml:space="preserve">компенсация за </w:t>
            </w:r>
            <w:r w:rsidR="00CD3AA4">
              <w:rPr>
                <w:sz w:val="24"/>
                <w:szCs w:val="24"/>
                <w:lang w:eastAsia="bg-BG"/>
              </w:rPr>
              <w:t>понесената несправедлива финансова тежест от извършв</w:t>
            </w:r>
            <w:r>
              <w:rPr>
                <w:sz w:val="24"/>
                <w:szCs w:val="24"/>
                <w:lang w:eastAsia="bg-BG"/>
              </w:rPr>
              <w:t>а</w:t>
            </w:r>
            <w:r w:rsidR="00CD3AA4">
              <w:rPr>
                <w:sz w:val="24"/>
                <w:szCs w:val="24"/>
                <w:lang w:eastAsia="bg-BG"/>
              </w:rPr>
              <w:t xml:space="preserve">нето на </w:t>
            </w:r>
            <w:r w:rsidR="006C14B1" w:rsidRPr="006C14B1">
              <w:rPr>
                <w:sz w:val="24"/>
                <w:szCs w:val="24"/>
                <w:lang w:eastAsia="bg-BG"/>
              </w:rPr>
              <w:t>УПУ.</w:t>
            </w:r>
            <w:r w:rsidR="00A65344">
              <w:rPr>
                <w:sz w:val="24"/>
                <w:szCs w:val="24"/>
                <w:lang w:eastAsia="bg-BG"/>
              </w:rPr>
              <w:t xml:space="preserve"> Също така с измененията в Методиката се осигурява </w:t>
            </w:r>
            <w:r w:rsidR="00A65344" w:rsidRPr="00F86F50">
              <w:rPr>
                <w:sz w:val="24"/>
                <w:szCs w:val="24"/>
              </w:rPr>
              <w:t>правилното прилагане на методологията на нетните избегнати разходи</w:t>
            </w:r>
            <w:r w:rsidR="00A65344" w:rsidRPr="00A65344">
              <w:rPr>
                <w:sz w:val="24"/>
                <w:szCs w:val="24"/>
                <w:lang w:eastAsia="bg-BG"/>
              </w:rPr>
              <w:t>,</w:t>
            </w:r>
            <w:r w:rsidR="00A65344">
              <w:rPr>
                <w:sz w:val="24"/>
                <w:szCs w:val="24"/>
                <w:lang w:eastAsia="bg-BG"/>
              </w:rPr>
              <w:t xml:space="preserve"> съгласно разпоредбите на р</w:t>
            </w:r>
            <w:r w:rsidR="00A65344" w:rsidRPr="00F86F50">
              <w:rPr>
                <w:sz w:val="24"/>
                <w:szCs w:val="24"/>
                <w:lang w:eastAsia="bg-BG"/>
              </w:rPr>
              <w:t>амката на Европейския съюз за държавна помощ под формата на ко</w:t>
            </w:r>
            <w:r w:rsidR="00A65344" w:rsidRPr="00A65344">
              <w:rPr>
                <w:sz w:val="24"/>
                <w:szCs w:val="24"/>
                <w:lang w:eastAsia="bg-BG"/>
              </w:rPr>
              <w:t xml:space="preserve">мпенсации за обществени услуги </w:t>
            </w:r>
            <w:r w:rsidR="00A65344" w:rsidRPr="00F86F50">
              <w:rPr>
                <w:sz w:val="24"/>
                <w:szCs w:val="24"/>
                <w:lang w:eastAsia="bg-BG"/>
              </w:rPr>
              <w:t>и приложимото законодателство в областта на държавните помощи.</w:t>
            </w:r>
            <w:r w:rsidR="00A65344" w:rsidRPr="00A65344">
              <w:rPr>
                <w:rFonts w:eastAsia="Calibri"/>
                <w:color w:val="000000"/>
                <w:sz w:val="24"/>
                <w:szCs w:val="24"/>
                <w:highlight w:val="yellow"/>
              </w:rPr>
              <w:t xml:space="preserve"> </w:t>
            </w:r>
          </w:p>
          <w:p w:rsidR="00093976" w:rsidRPr="006C14B1" w:rsidRDefault="00F55547" w:rsidP="00F86F50">
            <w:pPr>
              <w:spacing w:after="120"/>
              <w:ind w:firstLine="716"/>
              <w:jc w:val="both"/>
              <w:rPr>
                <w:color w:val="000000" w:themeColor="text1"/>
                <w:sz w:val="24"/>
                <w:szCs w:val="24"/>
              </w:rPr>
            </w:pPr>
            <w:r>
              <w:rPr>
                <w:color w:val="000000" w:themeColor="text1"/>
                <w:sz w:val="24"/>
                <w:szCs w:val="24"/>
              </w:rPr>
              <w:t>О</w:t>
            </w:r>
            <w:r w:rsidR="00093976" w:rsidRPr="00093976">
              <w:rPr>
                <w:color w:val="000000" w:themeColor="text1"/>
                <w:sz w:val="24"/>
                <w:szCs w:val="24"/>
              </w:rPr>
              <w:t xml:space="preserve">сигуряването на достъпна, надеждна и ефективна универсална пощенска услуга </w:t>
            </w:r>
            <w:r>
              <w:rPr>
                <w:color w:val="000000" w:themeColor="text1"/>
                <w:sz w:val="24"/>
                <w:szCs w:val="24"/>
              </w:rPr>
              <w:t xml:space="preserve">се осъществява </w:t>
            </w:r>
            <w:r w:rsidR="00093976" w:rsidRPr="00093976">
              <w:rPr>
                <w:color w:val="000000" w:themeColor="text1"/>
                <w:sz w:val="24"/>
                <w:szCs w:val="24"/>
              </w:rPr>
              <w:t>чрез прилагане на допустимите механизми за гарантиране на нейното предоставяне в дългосрочен план и подобряване на качеството ѝ</w:t>
            </w:r>
            <w:r>
              <w:rPr>
                <w:color w:val="000000" w:themeColor="text1"/>
                <w:sz w:val="24"/>
                <w:szCs w:val="24"/>
              </w:rPr>
              <w:t xml:space="preserve">. </w:t>
            </w:r>
          </w:p>
          <w:p w:rsidR="00302436" w:rsidRPr="00260430" w:rsidRDefault="00302436" w:rsidP="00302436">
            <w:pPr>
              <w:spacing w:before="120"/>
              <w:ind w:firstLine="706"/>
              <w:jc w:val="both"/>
              <w:rPr>
                <w:sz w:val="24"/>
                <w:szCs w:val="24"/>
              </w:rPr>
            </w:pPr>
            <w:r>
              <w:rPr>
                <w:sz w:val="24"/>
                <w:szCs w:val="24"/>
              </w:rPr>
              <w:t>Предложени са и и</w:t>
            </w:r>
            <w:r w:rsidRPr="00260430">
              <w:rPr>
                <w:sz w:val="24"/>
                <w:szCs w:val="24"/>
              </w:rPr>
              <w:t xml:space="preserve">зменения, произтичащи от натрупания през годините опит от прилагането на </w:t>
            </w:r>
            <w:r>
              <w:rPr>
                <w:sz w:val="24"/>
                <w:szCs w:val="24"/>
              </w:rPr>
              <w:t>Методиката</w:t>
            </w:r>
            <w:r w:rsidRPr="00260430">
              <w:rPr>
                <w:sz w:val="24"/>
                <w:szCs w:val="24"/>
              </w:rPr>
              <w:t>, както и изменения, свързани с прецизиране на съществуващи текстове.</w:t>
            </w:r>
          </w:p>
          <w:p w:rsidR="009207A6" w:rsidRPr="00F86F50" w:rsidRDefault="009207A6" w:rsidP="00A65344">
            <w:pPr>
              <w:widowControl w:val="0"/>
              <w:spacing w:after="60" w:line="271" w:lineRule="exact"/>
              <w:ind w:right="40"/>
              <w:jc w:val="both"/>
              <w:rPr>
                <w:b/>
                <w:color w:val="000000" w:themeColor="text1"/>
                <w:sz w:val="24"/>
                <w:szCs w:val="24"/>
              </w:rPr>
            </w:pPr>
          </w:p>
          <w:p w:rsidR="006C14B1" w:rsidRPr="006C14B1" w:rsidRDefault="006C14B1" w:rsidP="006C14B1">
            <w:pPr>
              <w:spacing w:after="120"/>
              <w:jc w:val="both"/>
              <w:rPr>
                <w:i/>
                <w:color w:val="000000" w:themeColor="text1"/>
                <w:sz w:val="24"/>
                <w:szCs w:val="24"/>
              </w:rPr>
            </w:pPr>
            <w:r w:rsidRPr="006C14B1">
              <w:rPr>
                <w:i/>
                <w:color w:val="000000" w:themeColor="text1"/>
                <w:sz w:val="24"/>
                <w:szCs w:val="24"/>
              </w:rPr>
              <w:t>1.2.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rsidR="006C14B1" w:rsidRPr="006C14B1" w:rsidRDefault="006C14B1" w:rsidP="006C14B1">
            <w:pPr>
              <w:jc w:val="both"/>
              <w:rPr>
                <w:sz w:val="24"/>
                <w:szCs w:val="24"/>
                <w:lang w:eastAsia="bg-BG"/>
              </w:rPr>
            </w:pPr>
            <w:r w:rsidRPr="00F86F50">
              <w:rPr>
                <w:b/>
                <w:color w:val="000000" w:themeColor="text1"/>
                <w:sz w:val="24"/>
                <w:szCs w:val="24"/>
                <w:lang w:eastAsia="bg-BG"/>
              </w:rPr>
              <w:t>Проблем 1</w:t>
            </w:r>
            <w:r w:rsidRPr="006C14B1">
              <w:rPr>
                <w:rFonts w:eastAsiaTheme="minorHAnsi" w:cstheme="minorBidi"/>
                <w:color w:val="000000" w:themeColor="text1"/>
                <w:sz w:val="24"/>
                <w:szCs w:val="24"/>
              </w:rPr>
              <w:t xml:space="preserve"> Описаният проблем не може да бъде решен в рамките на съществуващото законодателство чрез промяна в организацията на работа и/или чрез въвеждането на нови технологични възможности, </w:t>
            </w:r>
            <w:r w:rsidRPr="006C14B1">
              <w:rPr>
                <w:sz w:val="24"/>
                <w:szCs w:val="24"/>
                <w:lang w:eastAsia="bg-BG"/>
              </w:rPr>
              <w:t>защото</w:t>
            </w:r>
            <w:r w:rsidRPr="006C14B1">
              <w:rPr>
                <w:rFonts w:eastAsiaTheme="minorHAnsi"/>
                <w:sz w:val="24"/>
                <w:szCs w:val="24"/>
                <w14:ligatures w14:val="standardContextual"/>
              </w:rPr>
              <w:t xml:space="preserve"> ограничението за </w:t>
            </w:r>
            <w:r w:rsidR="00B618A5">
              <w:rPr>
                <w:rFonts w:eastAsiaTheme="minorHAnsi"/>
                <w:sz w:val="24"/>
                <w:szCs w:val="24"/>
                <w14:ligatures w14:val="standardContextual"/>
              </w:rPr>
              <w:t xml:space="preserve">задължително отчитане на компонента за </w:t>
            </w:r>
            <w:r w:rsidRPr="006C14B1">
              <w:rPr>
                <w:rFonts w:eastAsiaTheme="minorHAnsi"/>
                <w:sz w:val="24"/>
                <w:szCs w:val="24"/>
                <w14:ligatures w14:val="standardContextual"/>
              </w:rPr>
              <w:t>териториално покритие</w:t>
            </w:r>
            <w:r w:rsidR="00B618A5">
              <w:rPr>
                <w:rFonts w:eastAsiaTheme="minorHAnsi"/>
                <w:sz w:val="24"/>
                <w:szCs w:val="24"/>
                <w14:ligatures w14:val="standardContextual"/>
              </w:rPr>
              <w:t xml:space="preserve"> </w:t>
            </w:r>
            <w:r w:rsidR="00760548">
              <w:rPr>
                <w:sz w:val="24"/>
                <w:szCs w:val="24"/>
                <w:lang w:eastAsia="bg-BG"/>
              </w:rPr>
              <w:t>в</w:t>
            </w:r>
            <w:r w:rsidR="00760548" w:rsidRPr="006C14B1">
              <w:rPr>
                <w:rFonts w:eastAsiaTheme="minorHAnsi"/>
                <w:sz w:val="24"/>
                <w:szCs w:val="24"/>
                <w14:ligatures w14:val="standardContextual"/>
              </w:rPr>
              <w:t xml:space="preserve"> настоящата </w:t>
            </w:r>
            <w:r w:rsidR="00760548">
              <w:rPr>
                <w:rFonts w:eastAsiaTheme="minorHAnsi"/>
                <w:sz w:val="24"/>
                <w:szCs w:val="24"/>
                <w14:ligatures w14:val="standardContextual"/>
              </w:rPr>
              <w:t>М</w:t>
            </w:r>
            <w:r w:rsidR="00760548" w:rsidRPr="006C14B1">
              <w:rPr>
                <w:rFonts w:eastAsiaTheme="minorHAnsi"/>
                <w:sz w:val="24"/>
                <w:szCs w:val="24"/>
                <w14:ligatures w14:val="standardContextual"/>
              </w:rPr>
              <w:t>етодика</w:t>
            </w:r>
            <w:r w:rsidR="00760548">
              <w:rPr>
                <w:rFonts w:eastAsiaTheme="minorHAnsi"/>
                <w:sz w:val="24"/>
                <w:szCs w:val="24"/>
                <w14:ligatures w14:val="standardContextual"/>
              </w:rPr>
              <w:t xml:space="preserve"> </w:t>
            </w:r>
            <w:r w:rsidR="00906C44">
              <w:rPr>
                <w:rFonts w:eastAsiaTheme="minorHAnsi"/>
                <w:sz w:val="24"/>
                <w:szCs w:val="24"/>
                <w14:ligatures w14:val="standardContextual"/>
              </w:rPr>
              <w:t>ограничава</w:t>
            </w:r>
            <w:r w:rsidR="00B618A5">
              <w:rPr>
                <w:rFonts w:eastAsiaTheme="minorHAnsi"/>
                <w:sz w:val="24"/>
                <w:szCs w:val="24"/>
                <w14:ligatures w14:val="standardContextual"/>
              </w:rPr>
              <w:t xml:space="preserve"> възможност</w:t>
            </w:r>
            <w:r w:rsidR="00906C44">
              <w:rPr>
                <w:rFonts w:eastAsiaTheme="minorHAnsi"/>
                <w:sz w:val="24"/>
                <w:szCs w:val="24"/>
                <w14:ligatures w14:val="standardContextual"/>
              </w:rPr>
              <w:t>та</w:t>
            </w:r>
            <w:r w:rsidR="00B618A5">
              <w:rPr>
                <w:rFonts w:eastAsiaTheme="minorHAnsi"/>
                <w:sz w:val="24"/>
                <w:szCs w:val="24"/>
                <w14:ligatures w14:val="standardContextual"/>
              </w:rPr>
              <w:t xml:space="preserve"> за </w:t>
            </w:r>
            <w:r w:rsidR="00760548">
              <w:rPr>
                <w:rFonts w:eastAsiaTheme="minorHAnsi"/>
                <w:sz w:val="24"/>
                <w:szCs w:val="24"/>
                <w14:ligatures w14:val="standardContextual"/>
              </w:rPr>
              <w:t>надграждане н</w:t>
            </w:r>
            <w:r w:rsidR="00B618A5">
              <w:rPr>
                <w:rFonts w:eastAsiaTheme="minorHAnsi"/>
                <w:sz w:val="24"/>
                <w:szCs w:val="24"/>
                <w14:ligatures w14:val="standardContextual"/>
              </w:rPr>
              <w:t>а</w:t>
            </w:r>
            <w:r w:rsidRPr="006C14B1">
              <w:rPr>
                <w:rFonts w:eastAsiaTheme="minorHAnsi"/>
                <w:sz w:val="24"/>
                <w:szCs w:val="24"/>
                <w14:ligatures w14:val="standardContextual"/>
              </w:rPr>
              <w:t xml:space="preserve"> </w:t>
            </w:r>
            <w:r w:rsidR="00906C44">
              <w:rPr>
                <w:rFonts w:eastAsiaTheme="minorHAnsi"/>
                <w:sz w:val="24"/>
                <w:szCs w:val="24"/>
                <w14:ligatures w14:val="standardContextual"/>
              </w:rPr>
              <w:t>прилагания</w:t>
            </w:r>
            <w:r w:rsidR="00B618A5">
              <w:rPr>
                <w:rFonts w:eastAsiaTheme="minorHAnsi"/>
                <w:sz w:val="24"/>
                <w:szCs w:val="24"/>
                <w14:ligatures w14:val="standardContextual"/>
              </w:rPr>
              <w:t xml:space="preserve"> </w:t>
            </w:r>
            <w:r w:rsidRPr="006C14B1">
              <w:rPr>
                <w:rFonts w:eastAsiaTheme="minorHAnsi"/>
                <w:sz w:val="24"/>
                <w:szCs w:val="24"/>
                <w14:ligatures w14:val="standardContextual"/>
              </w:rPr>
              <w:t>хипотетич</w:t>
            </w:r>
            <w:r w:rsidR="00906C44">
              <w:rPr>
                <w:rFonts w:eastAsiaTheme="minorHAnsi"/>
                <w:sz w:val="24"/>
                <w:szCs w:val="24"/>
                <w14:ligatures w14:val="standardContextual"/>
              </w:rPr>
              <w:t>е</w:t>
            </w:r>
            <w:r w:rsidRPr="006C14B1">
              <w:rPr>
                <w:rFonts w:eastAsiaTheme="minorHAnsi"/>
                <w:sz w:val="24"/>
                <w:szCs w:val="24"/>
                <w14:ligatures w14:val="standardContextual"/>
              </w:rPr>
              <w:t>н сценарий</w:t>
            </w:r>
            <w:r w:rsidR="00906C44">
              <w:rPr>
                <w:rFonts w:eastAsiaTheme="minorHAnsi"/>
                <w:sz w:val="24"/>
                <w:szCs w:val="24"/>
                <w14:ligatures w14:val="standardContextual"/>
              </w:rPr>
              <w:t xml:space="preserve"> за периода от влизане в сила на действащата Методика. </w:t>
            </w:r>
            <w:r w:rsidR="00DF7822">
              <w:rPr>
                <w:rFonts w:eastAsiaTheme="minorHAnsi"/>
                <w:sz w:val="24"/>
                <w:szCs w:val="24"/>
                <w14:ligatures w14:val="standardContextual"/>
              </w:rPr>
              <w:t xml:space="preserve"> </w:t>
            </w:r>
            <w:r w:rsidR="00760548">
              <w:rPr>
                <w:rFonts w:eastAsiaTheme="minorHAnsi"/>
                <w:sz w:val="24"/>
                <w:szCs w:val="24"/>
                <w14:ligatures w14:val="standardContextual"/>
              </w:rPr>
              <w:t xml:space="preserve"> </w:t>
            </w:r>
          </w:p>
          <w:p w:rsidR="006C14B1" w:rsidRPr="006C14B1" w:rsidRDefault="006C14B1" w:rsidP="006C14B1">
            <w:pPr>
              <w:ind w:firstLine="567"/>
              <w:jc w:val="both"/>
              <w:rPr>
                <w:color w:val="000000" w:themeColor="text1"/>
                <w:sz w:val="24"/>
                <w:szCs w:val="24"/>
                <w:lang w:eastAsia="bg-BG"/>
              </w:rPr>
            </w:pPr>
          </w:p>
          <w:p w:rsidR="006C14B1" w:rsidRPr="006C14B1" w:rsidRDefault="006C14B1" w:rsidP="006C14B1">
            <w:pPr>
              <w:spacing w:after="120"/>
              <w:jc w:val="both"/>
              <w:rPr>
                <w:i/>
                <w:color w:val="000000" w:themeColor="text1"/>
                <w:sz w:val="24"/>
                <w:szCs w:val="24"/>
              </w:rPr>
            </w:pPr>
            <w:r w:rsidRPr="006C14B1">
              <w:rPr>
                <w:i/>
                <w:color w:val="000000" w:themeColor="text1"/>
                <w:sz w:val="24"/>
                <w:szCs w:val="24"/>
              </w:rPr>
              <w:t>1.3. Посочете защо действащата нормативна рамка не позволява решаване на проблема/проблемите.</w:t>
            </w:r>
          </w:p>
          <w:p w:rsidR="00760548" w:rsidRDefault="006C14B1" w:rsidP="006C14B1">
            <w:pPr>
              <w:jc w:val="both"/>
              <w:rPr>
                <w:rFonts w:eastAsia="Aptos"/>
                <w:sz w:val="24"/>
                <w:szCs w:val="24"/>
                <w:lang w:eastAsia="bg-BG"/>
              </w:rPr>
            </w:pPr>
            <w:r w:rsidRPr="006C14B1">
              <w:rPr>
                <w:b/>
                <w:color w:val="000000" w:themeColor="text1"/>
                <w:sz w:val="24"/>
                <w:szCs w:val="24"/>
              </w:rPr>
              <w:t>Проблем 1</w:t>
            </w:r>
            <w:r w:rsidRPr="006C14B1">
              <w:rPr>
                <w:color w:val="000000" w:themeColor="text1"/>
                <w:sz w:val="24"/>
                <w:szCs w:val="24"/>
              </w:rPr>
              <w:t xml:space="preserve"> Действащата нормативна рамка не позволява решаване на проблема, защото п</w:t>
            </w:r>
            <w:r w:rsidRPr="006C14B1">
              <w:rPr>
                <w:rFonts w:eastAsia="Aptos"/>
                <w:sz w:val="24"/>
                <w:szCs w:val="24"/>
                <w:lang w:eastAsia="bg-BG"/>
              </w:rPr>
              <w:t>ри продължаване на прилагане на хипотетичен сценарий основаващ се на задължителен критерий „географско покритие“ съгласно настоящата Методика</w:t>
            </w:r>
            <w:r w:rsidR="00CF02AD">
              <w:rPr>
                <w:rFonts w:eastAsia="Aptos"/>
                <w:sz w:val="24"/>
                <w:szCs w:val="24"/>
                <w:lang w:eastAsia="bg-BG"/>
              </w:rPr>
              <w:t>,</w:t>
            </w:r>
            <w:r w:rsidRPr="006C14B1">
              <w:rPr>
                <w:rFonts w:eastAsia="Aptos"/>
                <w:sz w:val="24"/>
                <w:szCs w:val="24"/>
                <w:lang w:eastAsia="bg-BG"/>
              </w:rPr>
              <w:t xml:space="preserve"> </w:t>
            </w:r>
            <w:r w:rsidR="00760548">
              <w:rPr>
                <w:rFonts w:eastAsia="Aptos"/>
                <w:sz w:val="24"/>
                <w:szCs w:val="24"/>
                <w:lang w:eastAsia="bg-BG"/>
              </w:rPr>
              <w:t xml:space="preserve">пощенският оператор не е в състояние да </w:t>
            </w:r>
            <w:r w:rsidR="0052617A">
              <w:rPr>
                <w:rFonts w:eastAsia="Aptos"/>
                <w:sz w:val="24"/>
                <w:szCs w:val="24"/>
                <w:lang w:eastAsia="bg-BG"/>
              </w:rPr>
              <w:t>разгърне</w:t>
            </w:r>
            <w:r w:rsidR="000D764E" w:rsidRPr="000D764E">
              <w:rPr>
                <w:rFonts w:eastAsia="Aptos"/>
                <w:sz w:val="24"/>
                <w:szCs w:val="24"/>
                <w:lang w:eastAsia="bg-BG"/>
              </w:rPr>
              <w:t xml:space="preserve"> по-голям брой хипотези </w:t>
            </w:r>
            <w:r w:rsidR="000D764E">
              <w:rPr>
                <w:rFonts w:eastAsia="Aptos"/>
                <w:sz w:val="24"/>
                <w:szCs w:val="24"/>
                <w:lang w:eastAsia="bg-BG"/>
              </w:rPr>
              <w:t>в</w:t>
            </w:r>
            <w:r w:rsidR="000D764E" w:rsidRPr="000D764E">
              <w:rPr>
                <w:rFonts w:eastAsia="Aptos"/>
                <w:sz w:val="24"/>
                <w:szCs w:val="24"/>
                <w:lang w:eastAsia="bg-BG"/>
              </w:rPr>
              <w:t xml:space="preserve"> сценари</w:t>
            </w:r>
            <w:r w:rsidR="000D764E">
              <w:rPr>
                <w:rFonts w:eastAsia="Aptos"/>
                <w:sz w:val="24"/>
                <w:szCs w:val="24"/>
                <w:lang w:eastAsia="bg-BG"/>
              </w:rPr>
              <w:t>я</w:t>
            </w:r>
            <w:r w:rsidR="000D764E" w:rsidRPr="000D764E">
              <w:rPr>
                <w:rFonts w:eastAsia="Aptos"/>
                <w:sz w:val="24"/>
                <w:szCs w:val="24"/>
                <w:lang w:eastAsia="bg-BG"/>
              </w:rPr>
              <w:t xml:space="preserve"> </w:t>
            </w:r>
            <w:r w:rsidR="000D764E">
              <w:rPr>
                <w:rFonts w:eastAsia="Aptos"/>
                <w:sz w:val="24"/>
                <w:szCs w:val="24"/>
                <w:lang w:eastAsia="bg-BG"/>
              </w:rPr>
              <w:t>при работа без</w:t>
            </w:r>
            <w:r w:rsidR="000D764E" w:rsidRPr="000D764E">
              <w:rPr>
                <w:rFonts w:eastAsia="Aptos"/>
                <w:sz w:val="24"/>
                <w:szCs w:val="24"/>
                <w:lang w:eastAsia="bg-BG"/>
              </w:rPr>
              <w:t xml:space="preserve"> задължение за извършване на универсалната пощенска услуга.</w:t>
            </w:r>
          </w:p>
          <w:p w:rsidR="00760548" w:rsidRDefault="00760548" w:rsidP="00760548">
            <w:pPr>
              <w:spacing w:after="120"/>
              <w:ind w:firstLine="588"/>
              <w:jc w:val="both"/>
              <w:rPr>
                <w:color w:val="000000" w:themeColor="text1"/>
                <w:sz w:val="24"/>
                <w:szCs w:val="24"/>
              </w:rPr>
            </w:pPr>
            <w:r>
              <w:rPr>
                <w:color w:val="000000" w:themeColor="text1"/>
                <w:sz w:val="24"/>
                <w:szCs w:val="24"/>
              </w:rPr>
              <w:t>Действащата разпоредба ограничава възможността за аргументиране на използваните допускания в сценария и мотивирането на оценките</w:t>
            </w:r>
            <w:r w:rsidR="000D764E">
              <w:rPr>
                <w:color w:val="000000" w:themeColor="text1"/>
                <w:sz w:val="24"/>
                <w:szCs w:val="24"/>
              </w:rPr>
              <w:t xml:space="preserve"> в чл. 7</w:t>
            </w:r>
            <w:r>
              <w:rPr>
                <w:color w:val="000000" w:themeColor="text1"/>
                <w:sz w:val="24"/>
                <w:szCs w:val="24"/>
              </w:rPr>
              <w:t xml:space="preserve">, които описват преструктурирането на дейността в условията на работа без задължение за извършване на УПУ. </w:t>
            </w:r>
          </w:p>
          <w:p w:rsidR="00B75306" w:rsidRDefault="003E4967" w:rsidP="00760548">
            <w:pPr>
              <w:spacing w:after="120"/>
              <w:ind w:firstLine="588"/>
              <w:jc w:val="both"/>
              <w:rPr>
                <w:color w:val="000000" w:themeColor="text1"/>
                <w:sz w:val="24"/>
                <w:szCs w:val="24"/>
              </w:rPr>
            </w:pPr>
            <w:r>
              <w:rPr>
                <w:color w:val="000000" w:themeColor="text1"/>
                <w:sz w:val="24"/>
                <w:szCs w:val="24"/>
              </w:rPr>
              <w:t>З</w:t>
            </w:r>
            <w:r w:rsidR="00B83759">
              <w:rPr>
                <w:color w:val="000000" w:themeColor="text1"/>
                <w:sz w:val="24"/>
                <w:szCs w:val="24"/>
              </w:rPr>
              <w:t xml:space="preserve">апазването на </w:t>
            </w:r>
            <w:r>
              <w:rPr>
                <w:color w:val="000000" w:themeColor="text1"/>
                <w:sz w:val="24"/>
                <w:szCs w:val="24"/>
              </w:rPr>
              <w:t xml:space="preserve">действащите </w:t>
            </w:r>
            <w:r w:rsidR="00B83759">
              <w:rPr>
                <w:color w:val="000000" w:themeColor="text1"/>
                <w:sz w:val="24"/>
                <w:szCs w:val="24"/>
              </w:rPr>
              <w:t xml:space="preserve">разпоредбите относно изчисляване на </w:t>
            </w:r>
            <w:r w:rsidR="00B83759" w:rsidRPr="003E4967">
              <w:rPr>
                <w:color w:val="000000" w:themeColor="text1"/>
                <w:sz w:val="24"/>
                <w:szCs w:val="24"/>
              </w:rPr>
              <w:t xml:space="preserve">подходящ дял от неуниверсалните пощенски услуги и другите търговски дейности относими към изпълнение на задължението </w:t>
            </w:r>
            <w:r>
              <w:rPr>
                <w:color w:val="000000" w:themeColor="text1"/>
                <w:sz w:val="24"/>
                <w:szCs w:val="24"/>
              </w:rPr>
              <w:t>е предпоставка за излишно утежняваме на процеса по изчисляване на размера на нетните разходи и последващите го одитни процедури с оглед на разпоредбите в чл. 7, които задълженият оператор трябва да спази за да изчисли коректно преструктурирането на дейността си условията на работа без задължение за извършване на УПУ.</w:t>
            </w:r>
            <w:r w:rsidR="00DE27DA">
              <w:rPr>
                <w:color w:val="000000" w:themeColor="text1"/>
                <w:sz w:val="24"/>
                <w:szCs w:val="24"/>
              </w:rPr>
              <w:t xml:space="preserve"> </w:t>
            </w:r>
            <w:r w:rsidR="00DE27DA" w:rsidRPr="00B75306">
              <w:rPr>
                <w:color w:val="000000" w:themeColor="text1"/>
                <w:sz w:val="24"/>
                <w:szCs w:val="24"/>
              </w:rPr>
              <w:t xml:space="preserve">В </w:t>
            </w:r>
            <w:r w:rsidR="00DE27DA" w:rsidRPr="00F86F50">
              <w:rPr>
                <w:sz w:val="24"/>
                <w:szCs w:val="24"/>
              </w:rPr>
              <w:t xml:space="preserve">Приложение </w:t>
            </w:r>
            <w:r w:rsidR="00DE27DA" w:rsidRPr="00F86F50">
              <w:rPr>
                <w:sz w:val="24"/>
                <w:szCs w:val="24"/>
                <w:lang w:val="en-US"/>
              </w:rPr>
              <w:t>I</w:t>
            </w:r>
            <w:r w:rsidR="00DE27DA" w:rsidRPr="00F86F50">
              <w:rPr>
                <w:sz w:val="24"/>
                <w:szCs w:val="24"/>
              </w:rPr>
              <w:t xml:space="preserve"> от Третата пощенска директива се посочва, че при изчисляването на нетните разходи следва да се отчитат и всички други относими елементи</w:t>
            </w:r>
            <w:r w:rsidR="00DE27DA" w:rsidRPr="00C93E3B">
              <w:rPr>
                <w:sz w:val="24"/>
                <w:szCs w:val="24"/>
              </w:rPr>
              <w:t>.</w:t>
            </w:r>
            <w:r w:rsidR="00DE27DA" w:rsidRPr="00F86F50">
              <w:rPr>
                <w:bCs/>
                <w:sz w:val="24"/>
                <w:szCs w:val="24"/>
              </w:rPr>
              <w:t xml:space="preserve"> Когато операторът не е задължен да извършва </w:t>
            </w:r>
            <w:r w:rsidR="00F677F9" w:rsidRPr="00F86F50">
              <w:rPr>
                <w:bCs/>
                <w:sz w:val="24"/>
                <w:szCs w:val="24"/>
              </w:rPr>
              <w:t>универсалната пощенска услуга</w:t>
            </w:r>
            <w:r w:rsidR="00DE27DA" w:rsidRPr="00F86F50">
              <w:rPr>
                <w:bCs/>
                <w:sz w:val="24"/>
                <w:szCs w:val="24"/>
              </w:rPr>
              <w:t xml:space="preserve">, той може да извършва услуги от обхвата </w:t>
            </w:r>
            <w:r w:rsidR="00F677F9" w:rsidRPr="00F86F50">
              <w:rPr>
                <w:bCs/>
                <w:sz w:val="24"/>
                <w:szCs w:val="24"/>
              </w:rPr>
              <w:t>й</w:t>
            </w:r>
            <w:r w:rsidR="00DE27DA" w:rsidRPr="00F86F50">
              <w:rPr>
                <w:bCs/>
                <w:sz w:val="24"/>
                <w:szCs w:val="24"/>
              </w:rPr>
              <w:t xml:space="preserve">, неуниверсални пощенски услуги и други търговски дейности, които не попадат в обхвата на </w:t>
            </w:r>
            <w:r w:rsidR="00F677F9" w:rsidRPr="00F86F50">
              <w:rPr>
                <w:bCs/>
                <w:sz w:val="24"/>
                <w:szCs w:val="24"/>
              </w:rPr>
              <w:t>Закона за пощенските услуги</w:t>
            </w:r>
            <w:r w:rsidR="00DE27DA" w:rsidRPr="00F86F50">
              <w:rPr>
                <w:bCs/>
                <w:sz w:val="24"/>
                <w:szCs w:val="24"/>
              </w:rPr>
              <w:t xml:space="preserve">. За да се определят само разходите, свързани с и необходими за извършване на </w:t>
            </w:r>
            <w:r w:rsidR="00F677F9" w:rsidRPr="00F86F50">
              <w:rPr>
                <w:bCs/>
                <w:sz w:val="24"/>
                <w:szCs w:val="24"/>
              </w:rPr>
              <w:t>универсалната пощенска услуга</w:t>
            </w:r>
            <w:r w:rsidR="00DE27DA" w:rsidRPr="00F86F50">
              <w:rPr>
                <w:bCs/>
                <w:sz w:val="24"/>
                <w:szCs w:val="24"/>
              </w:rPr>
              <w:t xml:space="preserve">, се изчислява </w:t>
            </w:r>
            <w:r w:rsidR="00DE27DA" w:rsidRPr="00F86F50">
              <w:rPr>
                <w:sz w:val="24"/>
                <w:szCs w:val="24"/>
              </w:rPr>
              <w:t xml:space="preserve">разликата между нетните разходи при работа на задължения оператор със задължение за извършване на УПУ и при работа на същия оператор без задължение за извършване на УПУ. </w:t>
            </w:r>
            <w:r w:rsidR="00B75306" w:rsidRPr="00F86F50">
              <w:rPr>
                <w:sz w:val="24"/>
                <w:szCs w:val="24"/>
              </w:rPr>
              <w:t xml:space="preserve">Спазването на </w:t>
            </w:r>
            <w:r w:rsidR="00B75306" w:rsidRPr="00C93E3B">
              <w:rPr>
                <w:color w:val="000000" w:themeColor="text1"/>
                <w:sz w:val="24"/>
                <w:szCs w:val="24"/>
              </w:rPr>
              <w:t>разпоредбите в чл. 7 от действащата Методика е достатъчно условие за да се гарантира коректното изчисляване на преструктурирането на дейността си условията на работа без задължение за извършване на УПУ, включително и на извършваните неуниверсални пощенски услуги и други търговски дейности.</w:t>
            </w:r>
            <w:r w:rsidR="00B75306">
              <w:rPr>
                <w:color w:val="000000" w:themeColor="text1"/>
                <w:sz w:val="24"/>
                <w:szCs w:val="24"/>
              </w:rPr>
              <w:t xml:space="preserve"> </w:t>
            </w:r>
          </w:p>
          <w:p w:rsidR="006C14B1" w:rsidRPr="006C14B1" w:rsidRDefault="001B53F8" w:rsidP="00F86F50">
            <w:pPr>
              <w:ind w:firstLine="716"/>
              <w:jc w:val="both"/>
              <w:rPr>
                <w:rFonts w:eastAsia="Aptos"/>
                <w:sz w:val="24"/>
                <w:szCs w:val="24"/>
                <w:lang w:eastAsia="bg-BG"/>
              </w:rPr>
            </w:pPr>
            <w:r>
              <w:rPr>
                <w:color w:val="000000" w:themeColor="text1"/>
                <w:sz w:val="24"/>
                <w:szCs w:val="24"/>
              </w:rPr>
              <w:t xml:space="preserve">Запазването на разпоредбите, които препращат към </w:t>
            </w:r>
            <w:r w:rsidRPr="00852F83">
              <w:rPr>
                <w:sz w:val="24"/>
                <w:szCs w:val="24"/>
              </w:rPr>
              <w:t>решението на Европейската комисия от 20 декември 2011 г. относно прилагането на член 106, параграф 2 от Договора за функционирането на Европейския съюз за държавната помощ под формата на компенсация за обществена услуга, предоставена на определени предприятия, натоварени с извършването на услуги от общ икономически интерес (ОВ, L 7, 11.1.2012 г.).</w:t>
            </w:r>
            <w:r>
              <w:rPr>
                <w:sz w:val="24"/>
                <w:szCs w:val="24"/>
              </w:rPr>
              <w:t xml:space="preserve"> ще доведе до несъответствие между разпоредби в методиката и в Закона за пощенските услуги, с оглед на </w:t>
            </w:r>
            <w:r w:rsidR="00852F83">
              <w:rPr>
                <w:sz w:val="24"/>
                <w:szCs w:val="24"/>
              </w:rPr>
              <w:t xml:space="preserve">последните изменения </w:t>
            </w:r>
            <w:r>
              <w:rPr>
                <w:sz w:val="24"/>
                <w:szCs w:val="24"/>
              </w:rPr>
              <w:t>в чл. 29</w:t>
            </w:r>
            <w:r w:rsidR="00852F83">
              <w:rPr>
                <w:sz w:val="24"/>
                <w:szCs w:val="24"/>
              </w:rPr>
              <w:t xml:space="preserve"> от Закона.</w:t>
            </w:r>
          </w:p>
          <w:p w:rsidR="006C14B1" w:rsidRPr="006C14B1" w:rsidRDefault="006C14B1" w:rsidP="006C14B1">
            <w:pPr>
              <w:spacing w:after="120"/>
              <w:jc w:val="both"/>
              <w:rPr>
                <w:i/>
                <w:color w:val="000000" w:themeColor="text1"/>
                <w:sz w:val="24"/>
                <w:szCs w:val="24"/>
              </w:rPr>
            </w:pPr>
            <w:r w:rsidRPr="006C14B1">
              <w:rPr>
                <w:i/>
                <w:color w:val="000000" w:themeColor="text1"/>
                <w:sz w:val="24"/>
                <w:szCs w:val="24"/>
              </w:rPr>
              <w:t>1.4. Посочете задължителните действия, произтичащи от нормативни актове от по-висока степен или актове от правото на ЕС.</w:t>
            </w:r>
          </w:p>
          <w:p w:rsidR="00B75306" w:rsidRDefault="006C14B1" w:rsidP="00F86F50">
            <w:pPr>
              <w:spacing w:after="120"/>
              <w:ind w:firstLine="716"/>
              <w:jc w:val="both"/>
              <w:rPr>
                <w:color w:val="000000" w:themeColor="text1"/>
                <w:sz w:val="24"/>
                <w:szCs w:val="24"/>
              </w:rPr>
            </w:pPr>
            <w:r w:rsidRPr="006C14B1">
              <w:rPr>
                <w:color w:val="000000" w:themeColor="text1"/>
                <w:sz w:val="24"/>
                <w:szCs w:val="24"/>
              </w:rPr>
              <w:t xml:space="preserve">За решаването на проблема е необходимо да бъдат извършени промени в Методиката за изчисляване на нетните разходи от извършване на универсалната пощенска услуга и за определяне на критерии за наличие на несправедлива финансова тежест, които не противоречат на Директива 2008/6/ЕС на Европейския парламент и на Съвета от 20 февруари 2008 година за изменение на Директива 97/67/ЕО с оглед пълното изграждане на вътрешния пазар на пощенски услуги в Общността. </w:t>
            </w:r>
            <w:r w:rsidRPr="006C14B1">
              <w:rPr>
                <w:sz w:val="24"/>
                <w:szCs w:val="24"/>
                <w:lang w:eastAsia="bg-BG"/>
              </w:rPr>
              <w:t xml:space="preserve">Предложената промяна не противоречи на европейската правна рамка. Напротив, </w:t>
            </w:r>
            <w:r w:rsidRPr="006C14B1">
              <w:rPr>
                <w:rFonts w:eastAsia="Aptos"/>
                <w:sz w:val="24"/>
                <w:szCs w:val="24"/>
                <w:lang w:eastAsia="bg-BG"/>
              </w:rPr>
              <w:t xml:space="preserve">в Пощенската директива няма разписано изискване или ограничение при разработването на т. нар. хипотетичен сценарий на работа без задължение за универсална услуга. </w:t>
            </w:r>
            <w:r w:rsidR="00852F83">
              <w:rPr>
                <w:rFonts w:eastAsia="Aptos"/>
                <w:sz w:val="24"/>
                <w:szCs w:val="24"/>
                <w:lang w:eastAsia="bg-BG"/>
              </w:rPr>
              <w:t xml:space="preserve">Също така не са предвидени разпоредби, които да дефинират изчисляване на подходящ дял </w:t>
            </w:r>
            <w:r w:rsidR="00B75306">
              <w:rPr>
                <w:rFonts w:eastAsia="Aptos"/>
                <w:sz w:val="24"/>
                <w:szCs w:val="24"/>
                <w:lang w:eastAsia="bg-BG"/>
              </w:rPr>
              <w:t>от</w:t>
            </w:r>
            <w:r w:rsidR="00B75306">
              <w:rPr>
                <w:color w:val="000000" w:themeColor="text1"/>
                <w:sz w:val="24"/>
                <w:szCs w:val="24"/>
              </w:rPr>
              <w:t xml:space="preserve"> </w:t>
            </w:r>
            <w:r w:rsidR="00B75306" w:rsidRPr="003E4967">
              <w:rPr>
                <w:color w:val="000000" w:themeColor="text1"/>
                <w:sz w:val="24"/>
                <w:szCs w:val="24"/>
              </w:rPr>
              <w:t>неуниверсалните пощенски услуги и другите търговски дейности относими към изпълнение на задължението</w:t>
            </w:r>
            <w:r w:rsidR="00B75306">
              <w:rPr>
                <w:color w:val="000000" w:themeColor="text1"/>
                <w:sz w:val="24"/>
                <w:szCs w:val="24"/>
              </w:rPr>
              <w:t xml:space="preserve"> за извършване на неуниверсалната пощенска услуга в процеса по изготвяне на </w:t>
            </w:r>
            <w:r w:rsidR="00B75306" w:rsidRPr="006C14B1">
              <w:rPr>
                <w:rFonts w:eastAsia="Aptos"/>
                <w:sz w:val="24"/>
                <w:szCs w:val="24"/>
                <w:lang w:eastAsia="bg-BG"/>
              </w:rPr>
              <w:t>хипотетичен сценарий</w:t>
            </w:r>
            <w:r w:rsidR="00B75306">
              <w:rPr>
                <w:rFonts w:eastAsia="Aptos"/>
                <w:sz w:val="24"/>
                <w:szCs w:val="24"/>
                <w:lang w:eastAsia="bg-BG"/>
              </w:rPr>
              <w:t>.</w:t>
            </w:r>
          </w:p>
          <w:p w:rsidR="006C14B1" w:rsidRPr="006C14B1" w:rsidRDefault="006C14B1" w:rsidP="00F86F50">
            <w:pPr>
              <w:ind w:firstLine="716"/>
              <w:jc w:val="both"/>
              <w:rPr>
                <w:rFonts w:eastAsia="Aptos"/>
                <w:sz w:val="24"/>
                <w:szCs w:val="24"/>
                <w:lang w:eastAsia="bg-BG"/>
              </w:rPr>
            </w:pPr>
            <w:r w:rsidRPr="006C14B1">
              <w:rPr>
                <w:rFonts w:eastAsia="Aptos"/>
                <w:sz w:val="24"/>
                <w:szCs w:val="24"/>
                <w:lang w:eastAsia="bg-BG"/>
              </w:rPr>
              <w:t xml:space="preserve">Духът на ръководството в Приложение I е да се определят елементите на услугите и групите ползватели, които могат да бъдат предоставени само на загуба или на непазарни цени, за да се избегнат в този сценарий. </w:t>
            </w:r>
            <w:r w:rsidR="000D312C">
              <w:rPr>
                <w:rFonts w:eastAsia="Aptos"/>
                <w:sz w:val="24"/>
                <w:szCs w:val="24"/>
                <w:lang w:eastAsia="bg-BG"/>
              </w:rPr>
              <w:t>Хипотетич</w:t>
            </w:r>
            <w:r w:rsidR="000D312C" w:rsidRPr="006C14B1">
              <w:rPr>
                <w:rFonts w:eastAsia="Aptos"/>
                <w:sz w:val="24"/>
                <w:szCs w:val="24"/>
                <w:lang w:eastAsia="bg-BG"/>
              </w:rPr>
              <w:t xml:space="preserve">ният </w:t>
            </w:r>
            <w:r w:rsidRPr="006C14B1">
              <w:rPr>
                <w:rFonts w:eastAsia="Aptos"/>
                <w:sz w:val="24"/>
                <w:szCs w:val="24"/>
                <w:lang w:eastAsia="bg-BG"/>
              </w:rPr>
              <w:t>сценарий се разработва с оценка на разходите, които всеки определен доставчик на универсална услуга би предпочел да избегне, ако не е обвързан със задължения за универсална услуга, и съответно цели да максимизира икономическата си печалба от дейността.</w:t>
            </w:r>
          </w:p>
          <w:p w:rsidR="006C14B1" w:rsidRDefault="006C14B1" w:rsidP="00F86F50">
            <w:pPr>
              <w:ind w:firstLine="716"/>
              <w:jc w:val="both"/>
              <w:rPr>
                <w:rFonts w:eastAsia="Calibri"/>
                <w:color w:val="000000"/>
                <w:sz w:val="24"/>
                <w:szCs w:val="24"/>
              </w:rPr>
            </w:pPr>
            <w:r w:rsidRPr="006C14B1">
              <w:rPr>
                <w:rFonts w:eastAsia="Aptos"/>
                <w:sz w:val="24"/>
                <w:szCs w:val="24"/>
                <w:lang w:eastAsia="bg-BG"/>
              </w:rPr>
              <w:t>Отпадането от Методиката на задължителното отчитане на компонента географско покритие при разработването на хипотетичния сценарий би било в съответствие с позицията на ЕК, че не се изисква ограничаване на избора на оператора в компонентите на УПУ при изработване на хипотетичен сценарий.</w:t>
            </w:r>
            <w:r w:rsidR="00852F83">
              <w:rPr>
                <w:rFonts w:eastAsia="Aptos"/>
                <w:sz w:val="24"/>
                <w:szCs w:val="24"/>
                <w:lang w:eastAsia="bg-BG"/>
              </w:rPr>
              <w:t xml:space="preserve"> Също така </w:t>
            </w:r>
            <w:r w:rsidR="0096368D">
              <w:rPr>
                <w:rFonts w:eastAsia="Aptos"/>
                <w:sz w:val="24"/>
                <w:szCs w:val="24"/>
                <w:lang w:eastAsia="bg-BG"/>
              </w:rPr>
              <w:t xml:space="preserve">прецизирането на разпоредбите относно изчисляването на подходящ дял е </w:t>
            </w:r>
            <w:r w:rsidR="0096368D" w:rsidRPr="00F86F50">
              <w:rPr>
                <w:rFonts w:eastAsia="Calibri"/>
                <w:color w:val="000000"/>
                <w:sz w:val="24"/>
                <w:szCs w:val="24"/>
              </w:rPr>
              <w:t>в съответствие с разпоредбите на Директивата, Рамката на Европейския съюз за държавна помощ под формата на компенсации за обществени услуги (Съобщение 2012/C 8/03) и приложимото законодателство в областта на държавните помощи</w:t>
            </w:r>
            <w:r w:rsidR="0096368D">
              <w:rPr>
                <w:rFonts w:eastAsia="Calibri"/>
                <w:color w:val="000000"/>
                <w:sz w:val="24"/>
                <w:szCs w:val="24"/>
              </w:rPr>
              <w:t>.</w:t>
            </w:r>
          </w:p>
          <w:p w:rsidR="0096368D" w:rsidRPr="006C14B1" w:rsidRDefault="0096368D" w:rsidP="00F86F50">
            <w:pPr>
              <w:ind w:firstLine="716"/>
              <w:jc w:val="both"/>
              <w:rPr>
                <w:rFonts w:eastAsiaTheme="minorHAnsi"/>
                <w:sz w:val="22"/>
                <w:szCs w:val="22"/>
              </w:rPr>
            </w:pPr>
            <w:r>
              <w:rPr>
                <w:color w:val="000000" w:themeColor="text1"/>
                <w:sz w:val="24"/>
                <w:szCs w:val="24"/>
              </w:rPr>
              <w:t xml:space="preserve">Отпадането на разпоредбите от Методиката, които препращат към </w:t>
            </w:r>
            <w:r w:rsidRPr="00852F83">
              <w:rPr>
                <w:sz w:val="24"/>
                <w:szCs w:val="24"/>
              </w:rPr>
              <w:t>решението на Европейската комисия от 20 декември 2011 г. относно прилагането на член 106, параграф 2 от Договора за функционирането на Европейския съюз за държавната помощ под формата на компенсация за обществена услуга, предоставена на определени предприятия, натоварени с извършването на услуги от общ икономически интерес (ОВ, L 7, 11.1.2012 г.)</w:t>
            </w:r>
            <w:r>
              <w:rPr>
                <w:sz w:val="24"/>
                <w:szCs w:val="24"/>
              </w:rPr>
              <w:t xml:space="preserve"> ще осигури съответствие между разпоредбите за изчисляване на размера на разумната печалба в Методиката и в чл. 66 от Закона за пощенските услуги.</w:t>
            </w:r>
          </w:p>
          <w:p w:rsidR="006C14B1" w:rsidRPr="006C14B1" w:rsidRDefault="006C14B1" w:rsidP="006C14B1">
            <w:pPr>
              <w:spacing w:after="120"/>
              <w:ind w:firstLine="476"/>
              <w:jc w:val="both"/>
              <w:rPr>
                <w:color w:val="000000" w:themeColor="text1"/>
                <w:sz w:val="24"/>
                <w:szCs w:val="24"/>
              </w:rPr>
            </w:pPr>
          </w:p>
          <w:p w:rsidR="006C14B1" w:rsidRPr="006C14B1" w:rsidRDefault="006C14B1" w:rsidP="006C14B1">
            <w:pPr>
              <w:numPr>
                <w:ilvl w:val="1"/>
                <w:numId w:val="2"/>
              </w:numPr>
              <w:spacing w:after="120" w:line="259" w:lineRule="auto"/>
              <w:contextualSpacing/>
              <w:jc w:val="both"/>
              <w:rPr>
                <w:i/>
                <w:color w:val="000000" w:themeColor="text1"/>
                <w:sz w:val="24"/>
                <w:szCs w:val="24"/>
              </w:rPr>
            </w:pPr>
            <w:r w:rsidRPr="006C14B1">
              <w:rPr>
                <w:i/>
                <w:color w:val="000000" w:themeColor="text1"/>
                <w:sz w:val="24"/>
                <w:szCs w:val="24"/>
              </w:rPr>
              <w:t xml:space="preserve">Посочете дали са извършени последващи оценки на нормативния акт или анализи за изпълнението на политиката и какви са резултатите от тях? </w:t>
            </w:r>
          </w:p>
          <w:p w:rsidR="006C14B1" w:rsidRPr="006C14B1" w:rsidRDefault="006C14B1" w:rsidP="006C14B1">
            <w:pPr>
              <w:spacing w:after="120"/>
              <w:ind w:firstLine="350"/>
              <w:jc w:val="both"/>
              <w:rPr>
                <w:color w:val="000000" w:themeColor="text1"/>
                <w:sz w:val="24"/>
                <w:szCs w:val="24"/>
              </w:rPr>
            </w:pPr>
            <w:r w:rsidRPr="006C14B1">
              <w:rPr>
                <w:color w:val="000000" w:themeColor="text1"/>
                <w:sz w:val="24"/>
                <w:szCs w:val="24"/>
              </w:rPr>
              <w:t>Не са извършвани последващи оценки, както и анализ за изпълнението на политиката.</w:t>
            </w:r>
          </w:p>
        </w:tc>
      </w:tr>
      <w:tr w:rsidR="006C14B1" w:rsidRPr="006C14B1" w:rsidTr="00AA077D">
        <w:tc>
          <w:tcPr>
            <w:tcW w:w="10266" w:type="dxa"/>
            <w:gridSpan w:val="3"/>
          </w:tcPr>
          <w:p w:rsidR="006C14B1" w:rsidRPr="006C14B1" w:rsidRDefault="006C14B1" w:rsidP="006C14B1">
            <w:pPr>
              <w:spacing w:before="120"/>
              <w:jc w:val="both"/>
              <w:rPr>
                <w:b/>
                <w:color w:val="000000" w:themeColor="text1"/>
                <w:sz w:val="24"/>
                <w:szCs w:val="24"/>
              </w:rPr>
            </w:pPr>
            <w:r w:rsidRPr="006C14B1">
              <w:rPr>
                <w:b/>
                <w:color w:val="000000" w:themeColor="text1"/>
                <w:sz w:val="24"/>
                <w:szCs w:val="24"/>
              </w:rPr>
              <w:t>2. Цели:</w:t>
            </w:r>
          </w:p>
          <w:p w:rsidR="006C14B1" w:rsidRPr="006C14B1" w:rsidRDefault="006C14B1" w:rsidP="006C14B1">
            <w:pPr>
              <w:ind w:firstLine="567"/>
              <w:jc w:val="both"/>
              <w:rPr>
                <w:color w:val="000000" w:themeColor="text1"/>
                <w:sz w:val="24"/>
                <w:szCs w:val="24"/>
                <w:lang w:eastAsia="bg-BG"/>
              </w:rPr>
            </w:pPr>
            <w:r w:rsidRPr="006C14B1">
              <w:rPr>
                <w:rFonts w:eastAsiaTheme="minorHAnsi"/>
                <w:color w:val="000000" w:themeColor="text1"/>
                <w:sz w:val="24"/>
                <w:szCs w:val="24"/>
              </w:rPr>
              <w:t xml:space="preserve">Цел 1 Проектът на </w:t>
            </w:r>
            <w:r w:rsidRPr="006C14B1">
              <w:rPr>
                <w:color w:val="000000" w:themeColor="text1"/>
                <w:sz w:val="24"/>
                <w:szCs w:val="24"/>
              </w:rPr>
              <w:t>Постановление на Министерския съвет за изменение на Методика за изчисляване на нетните разходи от извършване на универсалната пощенска услуга и за определяне на критерии за наличие на несправедлива финансова тежест</w:t>
            </w:r>
            <w:r w:rsidRPr="006C14B1">
              <w:rPr>
                <w:rFonts w:eastAsiaTheme="minorHAnsi"/>
                <w:color w:val="000000" w:themeColor="text1"/>
                <w:sz w:val="24"/>
                <w:szCs w:val="24"/>
              </w:rPr>
              <w:t xml:space="preserve"> има за цел да се прецизира и адаптира механизма за </w:t>
            </w:r>
            <w:r w:rsidRPr="006C14B1">
              <w:rPr>
                <w:rFonts w:eastAsiaTheme="minorHAnsi" w:cstheme="minorBidi"/>
                <w:color w:val="000000" w:themeColor="text1"/>
                <w:sz w:val="24"/>
                <w:szCs w:val="24"/>
              </w:rPr>
              <w:t>изчисляване на размера на нетните разходи и определяне на несправедливата финансова тежест от предоставянето на универсалната пощенска услуга.</w:t>
            </w:r>
            <w:r w:rsidRPr="006C14B1">
              <w:rPr>
                <w:rFonts w:eastAsia="Aptos"/>
                <w:sz w:val="24"/>
                <w:szCs w:val="24"/>
                <w:lang w:eastAsia="bg-BG"/>
              </w:rPr>
              <w:t xml:space="preserve"> Целта на настоящия проект е да се създаде възможност на </w:t>
            </w:r>
            <w:r w:rsidR="000D312C">
              <w:rPr>
                <w:rFonts w:eastAsia="Aptos"/>
                <w:sz w:val="24"/>
                <w:szCs w:val="24"/>
                <w:lang w:eastAsia="bg-BG"/>
              </w:rPr>
              <w:t>справедлива</w:t>
            </w:r>
            <w:r w:rsidR="000D312C" w:rsidRPr="006C14B1">
              <w:rPr>
                <w:rFonts w:eastAsia="Aptos"/>
                <w:sz w:val="24"/>
                <w:szCs w:val="24"/>
                <w:lang w:eastAsia="bg-BG"/>
              </w:rPr>
              <w:t xml:space="preserve"> </w:t>
            </w:r>
            <w:r w:rsidRPr="006C14B1">
              <w:rPr>
                <w:rFonts w:eastAsia="Aptos"/>
                <w:sz w:val="24"/>
                <w:szCs w:val="24"/>
                <w:lang w:eastAsia="bg-BG"/>
              </w:rPr>
              <w:t>компенсация на „Български пощи“ ЕАД чрез отпадане на установените ограничения по отношение на хипотетичния сценарий при определяне на нетните разходи</w:t>
            </w:r>
            <w:r w:rsidR="0096368D">
              <w:rPr>
                <w:rFonts w:eastAsia="Aptos"/>
                <w:sz w:val="24"/>
                <w:szCs w:val="24"/>
                <w:lang w:eastAsia="bg-BG"/>
              </w:rPr>
              <w:t>. Също така да се гарантира п</w:t>
            </w:r>
            <w:r w:rsidR="0096368D" w:rsidRPr="0096368D">
              <w:rPr>
                <w:rFonts w:eastAsia="Aptos"/>
                <w:sz w:val="24"/>
                <w:szCs w:val="24"/>
                <w:lang w:eastAsia="bg-BG"/>
              </w:rPr>
              <w:t>равилното прилагане на методологията на нетните избегнати разходи, а именно, че всички ефекти върху другите дейности на оператора, както положителни, така и отрицателни, които са получени в резултат на наложеното задължение за извършване на универсалната пощенска услуга, ще бъдат отчетени при сравнението на фактическия и хипотетичния сценарий и ще намерят съответното отражение в размера на дължимата компенсация</w:t>
            </w:r>
          </w:p>
          <w:p w:rsidR="006C14B1" w:rsidRPr="006C14B1" w:rsidRDefault="006C14B1" w:rsidP="006C14B1">
            <w:pPr>
              <w:ind w:firstLine="720"/>
              <w:jc w:val="both"/>
              <w:rPr>
                <w:color w:val="000000" w:themeColor="text1"/>
                <w:lang w:eastAsia="bg-BG"/>
              </w:rPr>
            </w:pPr>
          </w:p>
          <w:p w:rsidR="006C14B1" w:rsidRPr="006C14B1" w:rsidRDefault="006C14B1" w:rsidP="006C14B1">
            <w:pPr>
              <w:spacing w:before="120" w:after="120"/>
              <w:jc w:val="both"/>
              <w:rPr>
                <w:color w:val="000000" w:themeColor="text1"/>
                <w:sz w:val="24"/>
                <w:szCs w:val="24"/>
              </w:rPr>
            </w:pPr>
            <w:r w:rsidRPr="006C14B1">
              <w:rPr>
                <w:i/>
                <w:color w:val="000000" w:themeColor="text1"/>
                <w:sz w:val="16"/>
                <w:szCs w:val="16"/>
              </w:rPr>
              <w:t>Посочете определените цели за решаване на проблема/проблемите, по възможно най-конкретен и измерим начин, включително индикативен график за тяхното постигане. Целите е необходимо да са насочени към решаването на проблема/проблемите и да съответстват на действащите стратегически документи.</w:t>
            </w:r>
          </w:p>
        </w:tc>
      </w:tr>
      <w:tr w:rsidR="006C14B1" w:rsidRPr="006C14B1" w:rsidTr="00AA077D">
        <w:tc>
          <w:tcPr>
            <w:tcW w:w="10266" w:type="dxa"/>
            <w:gridSpan w:val="3"/>
          </w:tcPr>
          <w:p w:rsidR="006C14B1" w:rsidRPr="006C14B1" w:rsidRDefault="006C14B1" w:rsidP="006C14B1">
            <w:pPr>
              <w:numPr>
                <w:ilvl w:val="0"/>
                <w:numId w:val="1"/>
              </w:numPr>
              <w:spacing w:before="120" w:after="120" w:line="259" w:lineRule="auto"/>
              <w:contextualSpacing/>
              <w:jc w:val="both"/>
              <w:rPr>
                <w:b/>
                <w:color w:val="000000" w:themeColor="text1"/>
                <w:sz w:val="24"/>
                <w:szCs w:val="24"/>
              </w:rPr>
            </w:pPr>
            <w:r w:rsidRPr="006C14B1">
              <w:rPr>
                <w:b/>
                <w:color w:val="000000" w:themeColor="text1"/>
                <w:sz w:val="24"/>
                <w:szCs w:val="24"/>
              </w:rPr>
              <w:t xml:space="preserve">Заинтересовани страни: </w:t>
            </w:r>
          </w:p>
          <w:p w:rsidR="006C14B1" w:rsidRPr="006C14B1" w:rsidRDefault="006C14B1" w:rsidP="006C14B1">
            <w:pPr>
              <w:spacing w:before="120" w:after="120"/>
              <w:ind w:left="720"/>
              <w:contextualSpacing/>
              <w:jc w:val="both"/>
              <w:rPr>
                <w:i/>
                <w:color w:val="000000" w:themeColor="text1"/>
                <w:sz w:val="24"/>
                <w:szCs w:val="24"/>
              </w:rPr>
            </w:pPr>
          </w:p>
          <w:p w:rsidR="006C14B1" w:rsidRPr="006C14B1" w:rsidRDefault="006C14B1" w:rsidP="006C14B1">
            <w:pPr>
              <w:spacing w:before="120" w:after="120"/>
              <w:jc w:val="both"/>
              <w:rPr>
                <w:i/>
                <w:color w:val="000000" w:themeColor="text1"/>
                <w:sz w:val="24"/>
                <w:szCs w:val="24"/>
              </w:rPr>
            </w:pPr>
            <w:r w:rsidRPr="006C14B1">
              <w:rPr>
                <w:i/>
                <w:color w:val="000000" w:themeColor="text1"/>
                <w:sz w:val="24"/>
                <w:szCs w:val="24"/>
              </w:rPr>
              <w:t>Пряко заинтересовани страни:</w:t>
            </w:r>
          </w:p>
          <w:p w:rsidR="00DF7822" w:rsidRPr="00DF7822" w:rsidRDefault="00DF7822" w:rsidP="00DF7822">
            <w:pPr>
              <w:pStyle w:val="ListParagraph"/>
              <w:numPr>
                <w:ilvl w:val="0"/>
                <w:numId w:val="5"/>
              </w:numPr>
              <w:jc w:val="both"/>
              <w:rPr>
                <w:color w:val="000000" w:themeColor="text1"/>
                <w:sz w:val="24"/>
                <w:szCs w:val="24"/>
              </w:rPr>
            </w:pPr>
            <w:r w:rsidRPr="00DF7822">
              <w:rPr>
                <w:color w:val="000000" w:themeColor="text1"/>
                <w:sz w:val="24"/>
                <w:szCs w:val="24"/>
              </w:rPr>
              <w:t>Комисията за регулиране на съобщенията</w:t>
            </w:r>
          </w:p>
          <w:p w:rsidR="006C14B1" w:rsidRPr="00DF7822" w:rsidRDefault="006C14B1" w:rsidP="00DF7822">
            <w:pPr>
              <w:pStyle w:val="ListParagraph"/>
              <w:numPr>
                <w:ilvl w:val="0"/>
                <w:numId w:val="5"/>
              </w:numPr>
              <w:jc w:val="both"/>
              <w:rPr>
                <w:color w:val="000000" w:themeColor="text1"/>
                <w:sz w:val="24"/>
                <w:szCs w:val="24"/>
              </w:rPr>
            </w:pPr>
            <w:r w:rsidRPr="00DF7822">
              <w:rPr>
                <w:color w:val="000000" w:themeColor="text1"/>
                <w:sz w:val="24"/>
                <w:szCs w:val="24"/>
              </w:rPr>
              <w:t>Български пощи“ ЕАД</w:t>
            </w:r>
          </w:p>
          <w:p w:rsidR="006C14B1" w:rsidRPr="006C14B1" w:rsidRDefault="006C14B1" w:rsidP="006C14B1">
            <w:pPr>
              <w:spacing w:before="120" w:after="120"/>
              <w:jc w:val="both"/>
              <w:rPr>
                <w:i/>
                <w:color w:val="000000" w:themeColor="text1"/>
                <w:sz w:val="24"/>
                <w:szCs w:val="24"/>
              </w:rPr>
            </w:pPr>
            <w:r w:rsidRPr="006C14B1">
              <w:rPr>
                <w:i/>
                <w:color w:val="000000" w:themeColor="text1"/>
                <w:sz w:val="24"/>
                <w:szCs w:val="24"/>
              </w:rPr>
              <w:t>Косвено заинтересовани страни:</w:t>
            </w:r>
          </w:p>
          <w:p w:rsidR="00DF7822" w:rsidRDefault="00DF7822" w:rsidP="00DF7822">
            <w:pPr>
              <w:pStyle w:val="ListParagraph"/>
              <w:numPr>
                <w:ilvl w:val="0"/>
                <w:numId w:val="3"/>
              </w:numPr>
              <w:spacing w:before="120" w:after="120"/>
              <w:jc w:val="both"/>
              <w:rPr>
                <w:color w:val="000000" w:themeColor="text1"/>
                <w:sz w:val="24"/>
                <w:szCs w:val="24"/>
              </w:rPr>
            </w:pPr>
            <w:r w:rsidRPr="00DF7822">
              <w:rPr>
                <w:color w:val="000000" w:themeColor="text1"/>
                <w:sz w:val="24"/>
                <w:szCs w:val="24"/>
              </w:rPr>
              <w:t>Министерство на транспорта и съобщенията</w:t>
            </w:r>
          </w:p>
          <w:p w:rsidR="00AA4168" w:rsidRPr="00F86F50" w:rsidRDefault="00AA4168" w:rsidP="00DF7822">
            <w:pPr>
              <w:pStyle w:val="ListParagraph"/>
              <w:numPr>
                <w:ilvl w:val="0"/>
                <w:numId w:val="3"/>
              </w:numPr>
              <w:spacing w:before="120" w:after="120"/>
              <w:jc w:val="both"/>
              <w:rPr>
                <w:color w:val="000000" w:themeColor="text1"/>
                <w:sz w:val="24"/>
                <w:szCs w:val="24"/>
              </w:rPr>
            </w:pPr>
            <w:r w:rsidRPr="00F86F50">
              <w:rPr>
                <w:color w:val="000000" w:themeColor="text1"/>
                <w:sz w:val="24"/>
                <w:szCs w:val="24"/>
              </w:rPr>
              <w:t>Всички опер</w:t>
            </w:r>
            <w:r w:rsidR="00EE35BF" w:rsidRPr="00F86F50">
              <w:rPr>
                <w:color w:val="000000" w:themeColor="text1"/>
                <w:sz w:val="24"/>
                <w:szCs w:val="24"/>
              </w:rPr>
              <w:t>а</w:t>
            </w:r>
            <w:r w:rsidRPr="00F86F50">
              <w:rPr>
                <w:color w:val="000000" w:themeColor="text1"/>
                <w:sz w:val="24"/>
                <w:szCs w:val="24"/>
              </w:rPr>
              <w:t>тори на пощенски услуги</w:t>
            </w:r>
          </w:p>
          <w:p w:rsidR="006C14B1" w:rsidRPr="00DF7822" w:rsidRDefault="006C14B1" w:rsidP="00DF7822">
            <w:pPr>
              <w:pStyle w:val="ListParagraph"/>
              <w:numPr>
                <w:ilvl w:val="0"/>
                <w:numId w:val="3"/>
              </w:numPr>
              <w:spacing w:before="120" w:after="120" w:line="259" w:lineRule="auto"/>
              <w:jc w:val="both"/>
              <w:rPr>
                <w:color w:val="000000" w:themeColor="text1"/>
                <w:sz w:val="24"/>
                <w:szCs w:val="24"/>
              </w:rPr>
            </w:pPr>
            <w:r w:rsidRPr="00C24324">
              <w:rPr>
                <w:color w:val="000000" w:themeColor="text1"/>
                <w:sz w:val="24"/>
                <w:szCs w:val="24"/>
              </w:rPr>
              <w:t>Потребителите на пощенските услуги</w:t>
            </w:r>
            <w:r w:rsidRPr="00DF7822">
              <w:rPr>
                <w:color w:val="000000" w:themeColor="text1"/>
                <w:sz w:val="24"/>
                <w:szCs w:val="24"/>
              </w:rPr>
              <w:t xml:space="preserve"> – всички граждани на Република България</w:t>
            </w:r>
          </w:p>
          <w:p w:rsidR="006C14B1" w:rsidRPr="006C14B1" w:rsidRDefault="006C14B1" w:rsidP="006C14B1">
            <w:pPr>
              <w:spacing w:after="120"/>
              <w:jc w:val="center"/>
              <w:rPr>
                <w:b/>
                <w:color w:val="000000" w:themeColor="text1"/>
                <w:sz w:val="24"/>
                <w:szCs w:val="24"/>
              </w:rPr>
            </w:pPr>
            <w:r w:rsidRPr="006C14B1">
              <w:rPr>
                <w:i/>
                <w:color w:val="000000" w:themeColor="text1"/>
                <w:sz w:val="16"/>
                <w:szCs w:val="16"/>
              </w:rPr>
              <w:t>Посочете всички потенциални заинтересовани страни/групи заинтересовани страни (в рамките на процеса по извършване на частичната предварителна частична оценка на въздействието и/или при обществените консултации по чл. 26 от Закона за нормативните актове), върху които предложенията ще окажат пряко или косвено въздействие (бизнес в дадена област/всички предприемачи, неправителствени организации, граждани/техни представители, държавни органи/общини и др.).</w:t>
            </w:r>
          </w:p>
        </w:tc>
      </w:tr>
      <w:tr w:rsidR="006C14B1" w:rsidRPr="006C14B1" w:rsidTr="00AA077D">
        <w:tc>
          <w:tcPr>
            <w:tcW w:w="10266" w:type="dxa"/>
            <w:gridSpan w:val="3"/>
          </w:tcPr>
          <w:p w:rsidR="006C14B1" w:rsidRPr="006C14B1" w:rsidRDefault="006C14B1" w:rsidP="006C14B1">
            <w:pPr>
              <w:spacing w:before="120" w:after="120"/>
              <w:jc w:val="both"/>
              <w:rPr>
                <w:b/>
                <w:color w:val="000000" w:themeColor="text1"/>
                <w:sz w:val="24"/>
                <w:szCs w:val="24"/>
              </w:rPr>
            </w:pPr>
            <w:r w:rsidRPr="006C14B1">
              <w:rPr>
                <w:b/>
                <w:color w:val="000000" w:themeColor="text1"/>
                <w:sz w:val="24"/>
                <w:szCs w:val="24"/>
              </w:rPr>
              <w:t>4. Варианти на действие. Анализ на въздействията:</w:t>
            </w:r>
          </w:p>
        </w:tc>
      </w:tr>
      <w:tr w:rsidR="006C14B1" w:rsidRPr="006C14B1" w:rsidTr="00AA077D">
        <w:tc>
          <w:tcPr>
            <w:tcW w:w="10266" w:type="dxa"/>
            <w:gridSpan w:val="3"/>
          </w:tcPr>
          <w:p w:rsidR="00FC441D" w:rsidRPr="00FC441D" w:rsidRDefault="006C14B1" w:rsidP="006C14B1">
            <w:pPr>
              <w:spacing w:before="120" w:after="120"/>
              <w:jc w:val="both"/>
              <w:rPr>
                <w:rFonts w:eastAsiaTheme="minorHAnsi" w:cstheme="minorBidi"/>
                <w:b/>
                <w:color w:val="000000" w:themeColor="text1"/>
                <w:sz w:val="24"/>
                <w:szCs w:val="24"/>
              </w:rPr>
            </w:pPr>
            <w:r w:rsidRPr="006C14B1">
              <w:rPr>
                <w:b/>
                <w:color w:val="000000" w:themeColor="text1"/>
                <w:sz w:val="24"/>
                <w:szCs w:val="24"/>
              </w:rPr>
              <w:t>4.1. По проблем 1: „</w:t>
            </w:r>
            <w:r w:rsidR="00FC441D">
              <w:rPr>
                <w:b/>
                <w:color w:val="000000" w:themeColor="text1"/>
                <w:sz w:val="24"/>
                <w:szCs w:val="24"/>
              </w:rPr>
              <w:t>П</w:t>
            </w:r>
            <w:r w:rsidR="00FC441D" w:rsidRPr="00FC441D">
              <w:rPr>
                <w:b/>
                <w:color w:val="000000" w:themeColor="text1"/>
                <w:sz w:val="24"/>
                <w:szCs w:val="24"/>
              </w:rPr>
              <w:t>ромени в подзаконовата нормативна уредба по Закона за пощенските услуги, с оглед извършеното прецизиране на механизма за изчисляване на размера на нетните разходи и определяне на несправедливата финансова тежест от предоставянето на универсалната пощенска услуга в Закона за пощенските услуги. (ДВ. бр. 81 от 3 Октомври 2025 г.)</w:t>
            </w:r>
            <w:r w:rsidRPr="006C14B1">
              <w:rPr>
                <w:rFonts w:eastAsiaTheme="minorHAnsi" w:cstheme="minorBidi"/>
                <w:b/>
                <w:color w:val="000000" w:themeColor="text1"/>
                <w:sz w:val="24"/>
                <w:szCs w:val="24"/>
              </w:rPr>
              <w:t>“</w:t>
            </w:r>
          </w:p>
        </w:tc>
      </w:tr>
      <w:tr w:rsidR="006C14B1" w:rsidRPr="006C14B1" w:rsidTr="00AA077D">
        <w:tc>
          <w:tcPr>
            <w:tcW w:w="10266" w:type="dxa"/>
            <w:gridSpan w:val="3"/>
          </w:tcPr>
          <w:p w:rsidR="006C14B1" w:rsidRPr="006C14B1" w:rsidRDefault="006C14B1" w:rsidP="006C14B1">
            <w:pPr>
              <w:spacing w:before="120" w:after="120"/>
              <w:jc w:val="both"/>
              <w:rPr>
                <w:b/>
                <w:color w:val="000000" w:themeColor="text1"/>
                <w:sz w:val="24"/>
                <w:szCs w:val="24"/>
              </w:rPr>
            </w:pPr>
            <w:r w:rsidRPr="006C14B1">
              <w:rPr>
                <w:b/>
                <w:color w:val="000000" w:themeColor="text1"/>
                <w:sz w:val="24"/>
                <w:szCs w:val="24"/>
              </w:rPr>
              <w:t>Вариант 1 „Без действие“:</w:t>
            </w:r>
          </w:p>
          <w:p w:rsidR="006C14B1" w:rsidRPr="006C14B1" w:rsidRDefault="006C14B1" w:rsidP="006C14B1">
            <w:pPr>
              <w:spacing w:before="120" w:after="120"/>
              <w:jc w:val="both"/>
              <w:rPr>
                <w:b/>
                <w:color w:val="000000" w:themeColor="text1"/>
                <w:sz w:val="24"/>
                <w:szCs w:val="24"/>
              </w:rPr>
            </w:pPr>
            <w:r w:rsidRPr="006C14B1">
              <w:rPr>
                <w:b/>
                <w:color w:val="000000" w:themeColor="text1"/>
                <w:sz w:val="24"/>
                <w:szCs w:val="24"/>
              </w:rPr>
              <w:t>Описание:</w:t>
            </w:r>
          </w:p>
          <w:p w:rsidR="008E608C" w:rsidRDefault="006C14B1" w:rsidP="00F86F50">
            <w:pPr>
              <w:ind w:firstLine="716"/>
              <w:jc w:val="both"/>
              <w:rPr>
                <w:rFonts w:eastAsia="Aptos"/>
                <w:sz w:val="24"/>
                <w:szCs w:val="24"/>
                <w:lang w:eastAsia="bg-BG"/>
              </w:rPr>
            </w:pPr>
            <w:r w:rsidRPr="006C14B1">
              <w:rPr>
                <w:color w:val="000000" w:themeColor="text1"/>
                <w:sz w:val="24"/>
                <w:szCs w:val="24"/>
                <w:lang w:eastAsia="bg-BG"/>
              </w:rPr>
              <w:t>Не се извършва промяната на механизма за изчисляване на размера на нетните разходи и определяне на несправедливата финансова тежест от предоставянето на универсалната пощенска услуга, което поставя задължен</w:t>
            </w:r>
            <w:r w:rsidR="004530D9">
              <w:rPr>
                <w:color w:val="000000" w:themeColor="text1"/>
                <w:sz w:val="24"/>
                <w:szCs w:val="24"/>
                <w:lang w:eastAsia="bg-BG"/>
              </w:rPr>
              <w:t>ият оператор</w:t>
            </w:r>
            <w:r w:rsidRPr="006C14B1">
              <w:rPr>
                <w:color w:val="000000" w:themeColor="text1"/>
                <w:sz w:val="24"/>
                <w:szCs w:val="24"/>
                <w:lang w:eastAsia="bg-BG"/>
              </w:rPr>
              <w:t xml:space="preserve"> в </w:t>
            </w:r>
            <w:r w:rsidR="00342AEA">
              <w:rPr>
                <w:color w:val="000000" w:themeColor="text1"/>
                <w:sz w:val="24"/>
                <w:szCs w:val="24"/>
                <w:lang w:eastAsia="bg-BG"/>
              </w:rPr>
              <w:t xml:space="preserve">неблагоприятно положение при избора </w:t>
            </w:r>
            <w:r w:rsidR="00911186">
              <w:rPr>
                <w:color w:val="000000" w:themeColor="text1"/>
                <w:sz w:val="24"/>
                <w:szCs w:val="24"/>
                <w:lang w:eastAsia="bg-BG"/>
              </w:rPr>
              <w:t>н</w:t>
            </w:r>
            <w:r w:rsidR="00342AEA">
              <w:rPr>
                <w:color w:val="000000" w:themeColor="text1"/>
                <w:sz w:val="24"/>
                <w:szCs w:val="24"/>
                <w:lang w:eastAsia="bg-BG"/>
              </w:rPr>
              <w:t xml:space="preserve">а хипотетичен сценарий при изчисляване на нетните разходи от извършването на </w:t>
            </w:r>
            <w:r w:rsidR="0096368D">
              <w:rPr>
                <w:color w:val="000000" w:themeColor="text1"/>
                <w:sz w:val="24"/>
                <w:szCs w:val="24"/>
                <w:lang w:eastAsia="bg-BG"/>
              </w:rPr>
              <w:t>универсалната пощенска услуга</w:t>
            </w:r>
            <w:r w:rsidR="004530D9">
              <w:rPr>
                <w:color w:val="000000" w:themeColor="text1"/>
                <w:sz w:val="24"/>
                <w:szCs w:val="24"/>
                <w:lang w:eastAsia="bg-BG"/>
              </w:rPr>
              <w:t>.</w:t>
            </w:r>
            <w:r w:rsidR="0096368D">
              <w:rPr>
                <w:color w:val="000000" w:themeColor="text1"/>
                <w:sz w:val="24"/>
                <w:szCs w:val="24"/>
                <w:lang w:eastAsia="bg-BG"/>
              </w:rPr>
              <w:t xml:space="preserve"> Също така не се гарантира правилното прилагане на </w:t>
            </w:r>
            <w:r w:rsidR="0096368D" w:rsidRPr="0096368D">
              <w:rPr>
                <w:rFonts w:eastAsia="Aptos"/>
                <w:sz w:val="24"/>
                <w:szCs w:val="24"/>
                <w:lang w:eastAsia="bg-BG"/>
              </w:rPr>
              <w:t>методологията на нетните избегнати разходи</w:t>
            </w:r>
            <w:r w:rsidR="0096368D">
              <w:rPr>
                <w:rFonts w:eastAsia="Aptos"/>
                <w:sz w:val="24"/>
                <w:szCs w:val="24"/>
                <w:lang w:eastAsia="bg-BG"/>
              </w:rPr>
              <w:t xml:space="preserve">. </w:t>
            </w:r>
          </w:p>
          <w:p w:rsidR="006C14B1" w:rsidRPr="006C14B1" w:rsidRDefault="008E608C" w:rsidP="00F86F50">
            <w:pPr>
              <w:ind w:firstLine="716"/>
              <w:jc w:val="both"/>
              <w:rPr>
                <w:color w:val="000000" w:themeColor="text1"/>
                <w:lang w:eastAsia="bg-BG"/>
              </w:rPr>
            </w:pPr>
            <w:r>
              <w:rPr>
                <w:rFonts w:eastAsia="Aptos"/>
                <w:sz w:val="24"/>
                <w:szCs w:val="24"/>
                <w:lang w:eastAsia="bg-BG"/>
              </w:rPr>
              <w:t>В допълнение ще има несъответствие между тестове от Методиката и Закона за пощенските услуги.</w:t>
            </w:r>
          </w:p>
          <w:p w:rsidR="006C14B1" w:rsidRPr="006C14B1" w:rsidRDefault="006C14B1" w:rsidP="006C14B1">
            <w:pPr>
              <w:spacing w:before="120" w:after="120"/>
              <w:jc w:val="both"/>
              <w:rPr>
                <w:b/>
                <w:color w:val="000000" w:themeColor="text1"/>
                <w:sz w:val="24"/>
                <w:szCs w:val="24"/>
              </w:rPr>
            </w:pPr>
            <w:r w:rsidRPr="006C14B1">
              <w:rPr>
                <w:b/>
                <w:color w:val="000000" w:themeColor="text1"/>
                <w:sz w:val="24"/>
                <w:szCs w:val="24"/>
              </w:rPr>
              <w:t>Положителни (икономически/социални/екологични) въздействия:</w:t>
            </w:r>
          </w:p>
          <w:p w:rsidR="006C14B1" w:rsidRPr="006C14B1" w:rsidRDefault="006C14B1" w:rsidP="006C14B1">
            <w:pPr>
              <w:spacing w:before="120" w:after="120"/>
              <w:jc w:val="both"/>
              <w:rPr>
                <w:color w:val="000000" w:themeColor="text1"/>
                <w:sz w:val="24"/>
                <w:szCs w:val="24"/>
              </w:rPr>
            </w:pPr>
            <w:r w:rsidRPr="006C14B1">
              <w:rPr>
                <w:color w:val="000000" w:themeColor="text1"/>
                <w:sz w:val="24"/>
                <w:szCs w:val="24"/>
              </w:rPr>
              <w:t>Не се идентифицират.</w:t>
            </w:r>
          </w:p>
          <w:p w:rsidR="006C14B1" w:rsidRPr="006C14B1" w:rsidRDefault="006C14B1" w:rsidP="006C14B1">
            <w:pPr>
              <w:spacing w:after="120"/>
              <w:jc w:val="center"/>
              <w:rPr>
                <w:i/>
                <w:color w:val="000000" w:themeColor="text1"/>
                <w:sz w:val="16"/>
                <w:szCs w:val="16"/>
              </w:rPr>
            </w:pPr>
            <w:r w:rsidRPr="006C14B1">
              <w:rPr>
                <w:i/>
                <w:color w:val="000000" w:themeColor="text1"/>
                <w:sz w:val="16"/>
                <w:szCs w:val="16"/>
              </w:rPr>
              <w:t>(върху всяка заинтересована страна/група заинтересовани страни)</w:t>
            </w:r>
          </w:p>
          <w:p w:rsidR="006C14B1" w:rsidRPr="006C14B1" w:rsidRDefault="006C14B1" w:rsidP="006C14B1">
            <w:pPr>
              <w:spacing w:before="120" w:after="120"/>
              <w:jc w:val="both"/>
              <w:rPr>
                <w:b/>
                <w:color w:val="000000" w:themeColor="text1"/>
                <w:sz w:val="24"/>
                <w:szCs w:val="24"/>
              </w:rPr>
            </w:pPr>
            <w:r w:rsidRPr="006C14B1">
              <w:rPr>
                <w:b/>
                <w:color w:val="000000" w:themeColor="text1"/>
                <w:sz w:val="24"/>
                <w:szCs w:val="24"/>
              </w:rPr>
              <w:t>Отрицателни (икономически/социални/екологични) въздействия:</w:t>
            </w:r>
          </w:p>
          <w:p w:rsidR="001435ED" w:rsidRDefault="006C14B1" w:rsidP="00F86F50">
            <w:pPr>
              <w:spacing w:after="120"/>
              <w:ind w:firstLine="716"/>
              <w:jc w:val="both"/>
              <w:rPr>
                <w:sz w:val="24"/>
                <w:szCs w:val="24"/>
                <w:lang w:eastAsia="bg-BG"/>
              </w:rPr>
            </w:pPr>
            <w:r w:rsidRPr="006C14B1">
              <w:rPr>
                <w:sz w:val="24"/>
                <w:szCs w:val="24"/>
                <w:lang w:eastAsia="bg-BG"/>
              </w:rPr>
              <w:t xml:space="preserve">Досегашната практика по приложението на Методиката показва, че спазването на изискването за запазване на териториалното покритие всъщност води до задължително прилагане на компонент „географско покритие“ при разработване на хипотетичен сценарий от „Български пощи“ ЕАД и ограничаване на избора на друг/и компоненти на негово място. </w:t>
            </w:r>
            <w:r w:rsidRPr="006C14B1">
              <w:rPr>
                <w:rFonts w:eastAsia="Aptos"/>
                <w:sz w:val="24"/>
                <w:szCs w:val="24"/>
                <w:lang w:eastAsia="bg-BG"/>
              </w:rPr>
              <w:t xml:space="preserve">Това изискване на практика задължава оператора да разработва хипотетични сценарии, в които поради поддържането на дейност и съответно фиксирани разходи за офиси и персонал в цялата страна при ниска използваемост на капацитета се очаква да реализира значителни по размер загуби. </w:t>
            </w:r>
            <w:r w:rsidRPr="004530D9">
              <w:rPr>
                <w:rFonts w:eastAsia="Aptos"/>
                <w:sz w:val="24"/>
                <w:szCs w:val="24"/>
                <w:lang w:eastAsia="bg-BG"/>
              </w:rPr>
              <w:t>С оглед на трайните тенденции в България и Европа за намаляващ обем пощенски пратки за</w:t>
            </w:r>
            <w:r w:rsidRPr="006C14B1">
              <w:rPr>
                <w:rFonts w:eastAsia="Aptos"/>
                <w:sz w:val="24"/>
                <w:szCs w:val="24"/>
                <w:lang w:eastAsia="bg-BG"/>
              </w:rPr>
              <w:t xml:space="preserve"> сметка на електронни комуникации и използване на куриерски услуги (в контекста на развитието на електронната търговия), може да се очаква формиране на все по-големи загуби в базиран на „географско покритие“ хипотетичен сценарий. Това </w:t>
            </w:r>
            <w:r w:rsidRPr="006C14B1">
              <w:rPr>
                <w:sz w:val="24"/>
                <w:szCs w:val="24"/>
                <w:lang w:eastAsia="bg-BG"/>
              </w:rPr>
              <w:t xml:space="preserve">води и </w:t>
            </w:r>
            <w:r w:rsidR="001F624F" w:rsidRPr="006C14B1">
              <w:rPr>
                <w:sz w:val="24"/>
                <w:szCs w:val="24"/>
                <w:lang w:eastAsia="bg-BG"/>
              </w:rPr>
              <w:t xml:space="preserve">до </w:t>
            </w:r>
            <w:r w:rsidRPr="006C14B1">
              <w:rPr>
                <w:sz w:val="24"/>
                <w:szCs w:val="24"/>
                <w:lang w:eastAsia="bg-BG"/>
              </w:rPr>
              <w:t xml:space="preserve">значителен риск за финансовото състояние на оператора със задължение за извършване на УПУ „Български пощи“ ЕАД. </w:t>
            </w:r>
          </w:p>
          <w:p w:rsidR="00F86F50" w:rsidRDefault="008E608C" w:rsidP="00F86F50">
            <w:pPr>
              <w:spacing w:after="120"/>
              <w:ind w:firstLine="716"/>
              <w:jc w:val="both"/>
              <w:rPr>
                <w:rFonts w:eastAsia="Aptos"/>
                <w:sz w:val="24"/>
                <w:szCs w:val="24"/>
                <w:lang w:eastAsia="bg-BG"/>
              </w:rPr>
            </w:pPr>
            <w:r>
              <w:rPr>
                <w:sz w:val="24"/>
                <w:szCs w:val="24"/>
                <w:lang w:eastAsia="bg-BG"/>
              </w:rPr>
              <w:t>Методиката няма да гарантира, че в хипотетичния сценарий</w:t>
            </w:r>
            <w:r>
              <w:rPr>
                <w:rFonts w:eastAsia="Aptos"/>
                <w:sz w:val="24"/>
                <w:szCs w:val="24"/>
                <w:lang w:eastAsia="bg-BG"/>
              </w:rPr>
              <w:t xml:space="preserve"> са отчетени </w:t>
            </w:r>
            <w:r w:rsidRPr="0096368D">
              <w:rPr>
                <w:rFonts w:eastAsia="Aptos"/>
                <w:sz w:val="24"/>
                <w:szCs w:val="24"/>
                <w:lang w:eastAsia="bg-BG"/>
              </w:rPr>
              <w:t>всички ефекти върху другите дейности на оператора, както положителни, така и отрицателни, които са получени в резултат на наложеното задължение за извършване на универсалната пощенска услуга</w:t>
            </w:r>
            <w:r w:rsidR="00F86F50">
              <w:rPr>
                <w:rFonts w:eastAsia="Aptos"/>
                <w:sz w:val="24"/>
                <w:szCs w:val="24"/>
                <w:lang w:eastAsia="bg-BG"/>
              </w:rPr>
              <w:t xml:space="preserve">, както и че </w:t>
            </w:r>
            <w:r w:rsidR="00F86F50" w:rsidRPr="00C93E3B">
              <w:rPr>
                <w:color w:val="000000" w:themeColor="text1"/>
                <w:sz w:val="24"/>
                <w:szCs w:val="24"/>
              </w:rPr>
              <w:t>преструктурирането на дейността си условията на работа без задължение за извършване на УПУ</w:t>
            </w:r>
            <w:r w:rsidR="00F86F50">
              <w:rPr>
                <w:rFonts w:eastAsia="Aptos"/>
                <w:sz w:val="24"/>
                <w:szCs w:val="24"/>
                <w:lang w:eastAsia="bg-BG"/>
              </w:rPr>
              <w:t xml:space="preserve"> е </w:t>
            </w:r>
            <w:r w:rsidR="00F86F50">
              <w:rPr>
                <w:color w:val="000000" w:themeColor="text1"/>
                <w:sz w:val="24"/>
                <w:szCs w:val="24"/>
              </w:rPr>
              <w:t>изчислено</w:t>
            </w:r>
            <w:r w:rsidR="00F86F50" w:rsidRPr="00C93E3B">
              <w:rPr>
                <w:color w:val="000000" w:themeColor="text1"/>
                <w:sz w:val="24"/>
                <w:szCs w:val="24"/>
              </w:rPr>
              <w:t xml:space="preserve"> </w:t>
            </w:r>
            <w:r w:rsidR="00F86F50">
              <w:rPr>
                <w:color w:val="000000" w:themeColor="text1"/>
                <w:sz w:val="24"/>
                <w:szCs w:val="24"/>
              </w:rPr>
              <w:t>коректно.</w:t>
            </w:r>
            <w:r w:rsidR="00F86F50" w:rsidRPr="00C93E3B">
              <w:rPr>
                <w:color w:val="000000" w:themeColor="text1"/>
                <w:sz w:val="24"/>
                <w:szCs w:val="24"/>
              </w:rPr>
              <w:t xml:space="preserve"> </w:t>
            </w:r>
          </w:p>
          <w:p w:rsidR="006C14B1" w:rsidRPr="006C14B1" w:rsidRDefault="00F86F50" w:rsidP="006C14B1">
            <w:pPr>
              <w:spacing w:after="120"/>
              <w:jc w:val="both"/>
              <w:rPr>
                <w:i/>
                <w:color w:val="000000" w:themeColor="text1"/>
                <w:sz w:val="16"/>
                <w:szCs w:val="16"/>
              </w:rPr>
            </w:pPr>
            <w:r w:rsidRPr="006C14B1">
              <w:rPr>
                <w:i/>
                <w:color w:val="000000" w:themeColor="text1"/>
                <w:sz w:val="16"/>
                <w:szCs w:val="16"/>
              </w:rPr>
              <w:t xml:space="preserve"> </w:t>
            </w:r>
            <w:r w:rsidR="006C14B1" w:rsidRPr="006C14B1">
              <w:rPr>
                <w:i/>
                <w:color w:val="000000" w:themeColor="text1"/>
                <w:sz w:val="16"/>
                <w:szCs w:val="16"/>
              </w:rPr>
              <w:t>(върху всяка заинтересована страна/група заинтересовани страни)</w:t>
            </w:r>
          </w:p>
          <w:p w:rsidR="006C14B1" w:rsidRPr="006C14B1" w:rsidRDefault="006C14B1" w:rsidP="006C14B1">
            <w:pPr>
              <w:spacing w:before="120" w:after="120"/>
              <w:jc w:val="both"/>
              <w:rPr>
                <w:b/>
                <w:color w:val="000000" w:themeColor="text1"/>
                <w:sz w:val="24"/>
                <w:szCs w:val="24"/>
              </w:rPr>
            </w:pPr>
            <w:r w:rsidRPr="006C14B1">
              <w:rPr>
                <w:b/>
                <w:color w:val="000000" w:themeColor="text1"/>
                <w:sz w:val="24"/>
                <w:szCs w:val="24"/>
              </w:rPr>
              <w:t>Специфични въздействия:</w:t>
            </w:r>
            <w:r w:rsidRPr="006C14B1">
              <w:rPr>
                <w:color w:val="000000" w:themeColor="text1"/>
                <w:sz w:val="24"/>
                <w:szCs w:val="24"/>
              </w:rPr>
              <w:t xml:space="preserve"> Не се идентифицират</w:t>
            </w:r>
          </w:p>
          <w:p w:rsidR="006C14B1" w:rsidRPr="006C14B1" w:rsidRDefault="006C14B1" w:rsidP="006C14B1">
            <w:pPr>
              <w:spacing w:before="120" w:after="120"/>
              <w:rPr>
                <w:color w:val="000000" w:themeColor="text1"/>
                <w:sz w:val="24"/>
                <w:szCs w:val="24"/>
              </w:rPr>
            </w:pPr>
            <w:r w:rsidRPr="006C14B1">
              <w:rPr>
                <w:b/>
                <w:color w:val="000000" w:themeColor="text1"/>
                <w:sz w:val="24"/>
                <w:szCs w:val="24"/>
              </w:rPr>
              <w:t>Въздействия върху малките и средните предприятия:</w:t>
            </w:r>
            <w:r w:rsidRPr="006C14B1">
              <w:rPr>
                <w:color w:val="000000" w:themeColor="text1"/>
                <w:sz w:val="24"/>
                <w:szCs w:val="24"/>
              </w:rPr>
              <w:t xml:space="preserve">  Не се идентифицират</w:t>
            </w:r>
          </w:p>
          <w:p w:rsidR="006C14B1" w:rsidRPr="006C14B1" w:rsidRDefault="006C14B1" w:rsidP="006C14B1">
            <w:pPr>
              <w:spacing w:before="120" w:after="120"/>
              <w:rPr>
                <w:color w:val="000000" w:themeColor="text1"/>
                <w:sz w:val="24"/>
                <w:szCs w:val="24"/>
              </w:rPr>
            </w:pPr>
            <w:r w:rsidRPr="006C14B1">
              <w:rPr>
                <w:b/>
                <w:color w:val="000000" w:themeColor="text1"/>
                <w:sz w:val="24"/>
                <w:szCs w:val="24"/>
              </w:rPr>
              <w:t>Административна тежест:</w:t>
            </w:r>
            <w:r w:rsidRPr="006C14B1">
              <w:rPr>
                <w:color w:val="000000" w:themeColor="text1"/>
                <w:sz w:val="24"/>
                <w:szCs w:val="24"/>
              </w:rPr>
              <w:t xml:space="preserve"> Не се идентифицира</w:t>
            </w:r>
          </w:p>
          <w:p w:rsidR="006C14B1" w:rsidRPr="006C14B1" w:rsidRDefault="006C14B1" w:rsidP="006C14B1">
            <w:pPr>
              <w:spacing w:after="120"/>
              <w:jc w:val="center"/>
              <w:rPr>
                <w:i/>
                <w:color w:val="000000" w:themeColor="text1"/>
              </w:rPr>
            </w:pPr>
            <w:r w:rsidRPr="006C14B1">
              <w:rPr>
                <w:i/>
                <w:color w:val="000000" w:themeColor="text1"/>
                <w:sz w:val="16"/>
                <w:szCs w:val="16"/>
              </w:rPr>
              <w:t>1.1. Опишете качествено (при възможност – и количествено) всички значителни потенциални икономически, социални и екологични въздействия, включително върху всяка заинтересована страна/група заинтересовани страни. Пояснете кои въздействия се очаква да бъдат значителни и кои второстепенни.</w:t>
            </w:r>
          </w:p>
          <w:p w:rsidR="006C14B1" w:rsidRPr="006C14B1" w:rsidRDefault="006C14B1" w:rsidP="006C14B1">
            <w:pPr>
              <w:pBdr>
                <w:bottom w:val="single" w:sz="6" w:space="1" w:color="auto"/>
              </w:pBdr>
              <w:spacing w:after="120"/>
              <w:jc w:val="center"/>
              <w:rPr>
                <w:i/>
                <w:color w:val="000000" w:themeColor="text1"/>
                <w:sz w:val="16"/>
                <w:szCs w:val="16"/>
              </w:rPr>
            </w:pPr>
            <w:r w:rsidRPr="006C14B1">
              <w:rPr>
                <w:i/>
                <w:color w:val="000000" w:themeColor="text1"/>
                <w:sz w:val="16"/>
                <w:szCs w:val="16"/>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rsidR="006C14B1" w:rsidRPr="006C14B1" w:rsidRDefault="006C14B1" w:rsidP="006C14B1">
            <w:pPr>
              <w:spacing w:before="120" w:after="120"/>
              <w:jc w:val="both"/>
              <w:rPr>
                <w:b/>
                <w:color w:val="000000" w:themeColor="text1"/>
                <w:sz w:val="24"/>
                <w:szCs w:val="24"/>
              </w:rPr>
            </w:pPr>
            <w:r w:rsidRPr="006C14B1">
              <w:rPr>
                <w:b/>
                <w:color w:val="000000" w:themeColor="text1"/>
                <w:sz w:val="24"/>
                <w:szCs w:val="24"/>
              </w:rPr>
              <w:t>Вариант 2 „Приемане на проекта на Постановление на Министерския съвет за изменение на Методика за изчисляване на нетните разходи от извършване на универсалната пощенска услуга и за определяне на критерии за наличие на несправедлива финансова тежест“:</w:t>
            </w:r>
          </w:p>
          <w:p w:rsidR="006C14B1" w:rsidRPr="006C14B1" w:rsidRDefault="006C14B1" w:rsidP="006C14B1">
            <w:pPr>
              <w:spacing w:before="120" w:after="120"/>
              <w:jc w:val="both"/>
              <w:rPr>
                <w:b/>
                <w:color w:val="000000" w:themeColor="text1"/>
                <w:sz w:val="24"/>
                <w:szCs w:val="24"/>
              </w:rPr>
            </w:pPr>
            <w:r w:rsidRPr="006C14B1">
              <w:rPr>
                <w:b/>
                <w:color w:val="000000" w:themeColor="text1"/>
                <w:sz w:val="24"/>
                <w:szCs w:val="24"/>
              </w:rPr>
              <w:t>Описание:</w:t>
            </w:r>
          </w:p>
          <w:p w:rsidR="006C14B1" w:rsidRDefault="006C14B1" w:rsidP="006C14B1">
            <w:pPr>
              <w:jc w:val="both"/>
              <w:rPr>
                <w:rFonts w:eastAsia="Aptos"/>
                <w:sz w:val="24"/>
                <w:szCs w:val="24"/>
                <w:lang w:eastAsia="bg-BG"/>
              </w:rPr>
            </w:pPr>
            <w:r w:rsidRPr="006C14B1">
              <w:rPr>
                <w:rFonts w:eastAsiaTheme="minorHAnsi" w:cstheme="minorBidi"/>
                <w:color w:val="000000" w:themeColor="text1"/>
                <w:sz w:val="24"/>
                <w:szCs w:val="24"/>
              </w:rPr>
              <w:t xml:space="preserve">С приемането на проекта </w:t>
            </w:r>
            <w:r w:rsidRPr="006C14B1">
              <w:rPr>
                <w:color w:val="000000" w:themeColor="text1"/>
                <w:sz w:val="24"/>
                <w:szCs w:val="24"/>
              </w:rPr>
              <w:t>Постановление на Министерския съвет за изменение на Методика за изчисляване на нетните разходи от извършване на универсалната пощенска услуга и за определяне на критерии за наличие на несправедлива финансова тежест</w:t>
            </w:r>
            <w:r w:rsidRPr="006C14B1">
              <w:rPr>
                <w:rFonts w:eastAsiaTheme="minorHAnsi" w:cstheme="minorBidi"/>
                <w:color w:val="000000" w:themeColor="text1"/>
                <w:sz w:val="24"/>
                <w:szCs w:val="24"/>
              </w:rPr>
              <w:t xml:space="preserve"> ще се </w:t>
            </w:r>
            <w:r w:rsidR="00B76D4C">
              <w:rPr>
                <w:rFonts w:eastAsiaTheme="minorHAnsi" w:cstheme="minorBidi"/>
                <w:color w:val="000000" w:themeColor="text1"/>
                <w:sz w:val="24"/>
                <w:szCs w:val="24"/>
              </w:rPr>
              <w:t>гарантира предоставянето на универсалната пощенска и ще бъде дадена</w:t>
            </w:r>
            <w:r w:rsidRPr="006C14B1">
              <w:rPr>
                <w:rFonts w:eastAsiaTheme="minorHAnsi" w:cstheme="minorBidi"/>
                <w:color w:val="000000" w:themeColor="text1"/>
                <w:sz w:val="24"/>
                <w:szCs w:val="24"/>
              </w:rPr>
              <w:t xml:space="preserve"> възможност на „Български пощи“ ЕАД </w:t>
            </w:r>
            <w:r w:rsidRPr="006C14B1">
              <w:rPr>
                <w:rFonts w:eastAsia="Aptos"/>
                <w:sz w:val="24"/>
                <w:szCs w:val="24"/>
                <w:lang w:eastAsia="bg-BG"/>
              </w:rPr>
              <w:t xml:space="preserve">да продължи да извършва </w:t>
            </w:r>
            <w:r w:rsidR="004A7565">
              <w:rPr>
                <w:rFonts w:eastAsia="Aptos"/>
                <w:sz w:val="24"/>
                <w:szCs w:val="24"/>
                <w:lang w:eastAsia="bg-BG"/>
              </w:rPr>
              <w:t xml:space="preserve">своята </w:t>
            </w:r>
            <w:r w:rsidRPr="006C14B1">
              <w:rPr>
                <w:rFonts w:eastAsia="Aptos"/>
                <w:sz w:val="24"/>
                <w:szCs w:val="24"/>
                <w:lang w:eastAsia="bg-BG"/>
              </w:rPr>
              <w:t xml:space="preserve">дейност, вкл. </w:t>
            </w:r>
            <w:r w:rsidR="004A7565">
              <w:rPr>
                <w:rFonts w:eastAsia="Aptos"/>
                <w:sz w:val="24"/>
                <w:szCs w:val="24"/>
                <w:lang w:eastAsia="bg-BG"/>
              </w:rPr>
              <w:t>в</w:t>
            </w:r>
            <w:r w:rsidRPr="006C14B1">
              <w:rPr>
                <w:rFonts w:eastAsia="Aptos"/>
                <w:sz w:val="24"/>
                <w:szCs w:val="24"/>
                <w:lang w:eastAsia="bg-BG"/>
              </w:rPr>
              <w:t>ъзложените</w:t>
            </w:r>
            <w:r w:rsidR="004A7565">
              <w:rPr>
                <w:rFonts w:eastAsia="Aptos"/>
                <w:sz w:val="24"/>
                <w:szCs w:val="24"/>
                <w:lang w:eastAsia="bg-BG"/>
              </w:rPr>
              <w:t xml:space="preserve"> му </w:t>
            </w:r>
            <w:r w:rsidRPr="006C14B1">
              <w:rPr>
                <w:rFonts w:eastAsia="Aptos"/>
                <w:sz w:val="24"/>
                <w:szCs w:val="24"/>
                <w:lang w:eastAsia="bg-BG"/>
              </w:rPr>
              <w:t>услуги от общ икономически интерес</w:t>
            </w:r>
            <w:r w:rsidR="004A7565">
              <w:rPr>
                <w:rFonts w:eastAsia="Aptos"/>
                <w:sz w:val="24"/>
                <w:szCs w:val="24"/>
                <w:lang w:eastAsia="bg-BG"/>
              </w:rPr>
              <w:t>, като стабилно и жизнеспособно предприятие</w:t>
            </w:r>
            <w:r w:rsidRPr="006C14B1">
              <w:rPr>
                <w:rFonts w:eastAsia="Aptos"/>
                <w:sz w:val="24"/>
                <w:szCs w:val="24"/>
                <w:lang w:eastAsia="bg-BG"/>
              </w:rPr>
              <w:t>.</w:t>
            </w:r>
          </w:p>
          <w:p w:rsidR="00EE35BF" w:rsidRDefault="00EE35BF" w:rsidP="00F86F50">
            <w:pPr>
              <w:autoSpaceDN w:val="0"/>
              <w:jc w:val="both"/>
              <w:rPr>
                <w:sz w:val="24"/>
                <w:szCs w:val="24"/>
              </w:rPr>
            </w:pPr>
            <w:r w:rsidRPr="00683C9B">
              <w:rPr>
                <w:sz w:val="24"/>
                <w:szCs w:val="24"/>
              </w:rPr>
              <w:t>Предложенията включват</w:t>
            </w:r>
            <w:r>
              <w:rPr>
                <w:sz w:val="24"/>
                <w:szCs w:val="24"/>
              </w:rPr>
              <w:t>:</w:t>
            </w:r>
          </w:p>
          <w:p w:rsidR="00C93E3B" w:rsidRDefault="00C93E3B" w:rsidP="00F86F50">
            <w:pPr>
              <w:pStyle w:val="ListParagraph"/>
              <w:numPr>
                <w:ilvl w:val="0"/>
                <w:numId w:val="8"/>
              </w:numPr>
              <w:autoSpaceDN w:val="0"/>
              <w:jc w:val="both"/>
              <w:rPr>
                <w:sz w:val="24"/>
                <w:szCs w:val="24"/>
              </w:rPr>
            </w:pPr>
            <w:r>
              <w:rPr>
                <w:sz w:val="24"/>
                <w:szCs w:val="24"/>
              </w:rPr>
              <w:t xml:space="preserve">Прецизиране на правилата във връзка с разработване на </w:t>
            </w:r>
            <w:r w:rsidRPr="00D20E6C">
              <w:rPr>
                <w:sz w:val="24"/>
                <w:szCs w:val="24"/>
              </w:rPr>
              <w:t>хипотетичния сценарий</w:t>
            </w:r>
            <w:r>
              <w:rPr>
                <w:sz w:val="24"/>
                <w:szCs w:val="24"/>
              </w:rPr>
              <w:t>, по който се изчислява работата без задължение за извършване на универсалната пощенска услуга:</w:t>
            </w:r>
          </w:p>
          <w:p w:rsidR="00EE35BF" w:rsidRPr="00F86F50" w:rsidRDefault="00C93E3B" w:rsidP="00F86F50">
            <w:pPr>
              <w:pStyle w:val="ListParagraph"/>
              <w:numPr>
                <w:ilvl w:val="0"/>
                <w:numId w:val="9"/>
              </w:numPr>
              <w:autoSpaceDN w:val="0"/>
              <w:ind w:left="1425" w:hanging="426"/>
              <w:jc w:val="both"/>
              <w:rPr>
                <w:sz w:val="24"/>
                <w:szCs w:val="24"/>
              </w:rPr>
            </w:pPr>
            <w:r>
              <w:rPr>
                <w:sz w:val="24"/>
                <w:szCs w:val="24"/>
              </w:rPr>
              <w:t>о</w:t>
            </w:r>
            <w:r w:rsidR="00EE35BF" w:rsidRPr="00F86F50">
              <w:rPr>
                <w:sz w:val="24"/>
                <w:szCs w:val="24"/>
              </w:rPr>
              <w:t xml:space="preserve">тпадане на изискването, при разработване на хипотетичния сценарий, по който операторът ще изчислява нетните разходи от задължението за извършване на </w:t>
            </w:r>
            <w:r w:rsidR="00EE2C9A" w:rsidRPr="00F86F50">
              <w:rPr>
                <w:sz w:val="24"/>
                <w:szCs w:val="24"/>
              </w:rPr>
              <w:t>универсалната пощенска услуга</w:t>
            </w:r>
            <w:r w:rsidR="00EE35BF" w:rsidRPr="00F86F50">
              <w:rPr>
                <w:sz w:val="24"/>
                <w:szCs w:val="24"/>
              </w:rPr>
              <w:t xml:space="preserve"> да се отчита задължително елемента териториално покритие</w:t>
            </w:r>
            <w:r w:rsidRPr="00F86F50">
              <w:rPr>
                <w:sz w:val="24"/>
                <w:szCs w:val="24"/>
              </w:rPr>
              <w:t>;</w:t>
            </w:r>
          </w:p>
          <w:p w:rsidR="00EE2C9A" w:rsidRPr="00F86F50" w:rsidRDefault="00C93E3B" w:rsidP="00F86F50">
            <w:pPr>
              <w:pStyle w:val="ListParagraph"/>
              <w:numPr>
                <w:ilvl w:val="0"/>
                <w:numId w:val="9"/>
              </w:numPr>
              <w:autoSpaceDN w:val="0"/>
              <w:ind w:left="1425"/>
              <w:jc w:val="both"/>
              <w:rPr>
                <w:sz w:val="24"/>
                <w:szCs w:val="24"/>
              </w:rPr>
            </w:pPr>
            <w:r>
              <w:rPr>
                <w:sz w:val="24"/>
                <w:szCs w:val="24"/>
              </w:rPr>
              <w:t>п</w:t>
            </w:r>
            <w:r w:rsidR="00EE2C9A" w:rsidRPr="00F86F50">
              <w:rPr>
                <w:sz w:val="24"/>
                <w:szCs w:val="24"/>
              </w:rPr>
              <w:t>рецизиране на разпоредбите, включващи изчисляване на подходящ дял от неуниверсалните пощенски услуги и другите търговски дейности относими към изпълнение на задължението за извършване на универсалната пощенска услуга.</w:t>
            </w:r>
          </w:p>
          <w:p w:rsidR="00C93E3B" w:rsidRPr="00F86F50" w:rsidRDefault="00C93E3B" w:rsidP="00F86F50">
            <w:pPr>
              <w:pStyle w:val="ListParagraph"/>
              <w:numPr>
                <w:ilvl w:val="0"/>
                <w:numId w:val="8"/>
              </w:numPr>
              <w:autoSpaceDN w:val="0"/>
              <w:spacing w:after="120"/>
              <w:jc w:val="both"/>
              <w:rPr>
                <w:rFonts w:eastAsia="Aptos"/>
                <w:sz w:val="24"/>
                <w:szCs w:val="24"/>
                <w:lang w:eastAsia="bg-BG"/>
              </w:rPr>
            </w:pPr>
            <w:r>
              <w:rPr>
                <w:sz w:val="24"/>
                <w:szCs w:val="24"/>
              </w:rPr>
              <w:t>П</w:t>
            </w:r>
            <w:r w:rsidRPr="00F86F50">
              <w:rPr>
                <w:sz w:val="24"/>
                <w:szCs w:val="24"/>
              </w:rPr>
              <w:t xml:space="preserve">остигане на съответствие </w:t>
            </w:r>
            <w:r w:rsidRPr="00C93E3B">
              <w:rPr>
                <w:sz w:val="24"/>
                <w:szCs w:val="24"/>
              </w:rPr>
              <w:t xml:space="preserve">между правилата за </w:t>
            </w:r>
            <w:r w:rsidRPr="00F86F50">
              <w:rPr>
                <w:rFonts w:eastAsia="Aptos"/>
                <w:sz w:val="24"/>
                <w:szCs w:val="24"/>
                <w:lang w:eastAsia="bg-BG"/>
              </w:rPr>
              <w:t>изчислява</w:t>
            </w:r>
            <w:r w:rsidRPr="00C93E3B">
              <w:rPr>
                <w:rFonts w:eastAsia="Aptos"/>
                <w:sz w:val="24"/>
                <w:szCs w:val="24"/>
                <w:lang w:eastAsia="bg-BG"/>
              </w:rPr>
              <w:t xml:space="preserve">не на </w:t>
            </w:r>
            <w:r w:rsidRPr="00F86F50">
              <w:rPr>
                <w:rFonts w:eastAsia="Aptos"/>
                <w:sz w:val="24"/>
                <w:szCs w:val="24"/>
                <w:lang w:eastAsia="bg-BG"/>
              </w:rPr>
              <w:t xml:space="preserve">разумната печалба </w:t>
            </w:r>
            <w:r w:rsidRPr="00C93E3B">
              <w:rPr>
                <w:rFonts w:eastAsia="Aptos"/>
                <w:sz w:val="24"/>
                <w:szCs w:val="24"/>
                <w:lang w:eastAsia="bg-BG"/>
              </w:rPr>
              <w:t xml:space="preserve">в Методиката и в чл. 66, ал. 2 от Закона за пощенските услуги. </w:t>
            </w:r>
            <w:r w:rsidRPr="00F86F50">
              <w:rPr>
                <w:rFonts w:eastAsia="Aptos"/>
                <w:sz w:val="24"/>
                <w:szCs w:val="24"/>
                <w:lang w:eastAsia="bg-BG"/>
              </w:rPr>
              <w:t xml:space="preserve"> </w:t>
            </w:r>
          </w:p>
          <w:p w:rsidR="00EE2C9A" w:rsidRPr="00F86F50" w:rsidRDefault="00C93E3B" w:rsidP="00F86F50">
            <w:pPr>
              <w:pStyle w:val="ListParagraph"/>
              <w:numPr>
                <w:ilvl w:val="0"/>
                <w:numId w:val="10"/>
              </w:numPr>
              <w:autoSpaceDN w:val="0"/>
              <w:jc w:val="both"/>
              <w:rPr>
                <w:sz w:val="24"/>
                <w:szCs w:val="24"/>
              </w:rPr>
            </w:pPr>
            <w:r>
              <w:rPr>
                <w:sz w:val="24"/>
                <w:szCs w:val="24"/>
              </w:rPr>
              <w:t xml:space="preserve">прецизиране </w:t>
            </w:r>
            <w:r w:rsidR="00EE2C9A" w:rsidRPr="00F86F50">
              <w:rPr>
                <w:sz w:val="24"/>
                <w:szCs w:val="24"/>
              </w:rPr>
              <w:t xml:space="preserve">на текстовете, касаещи позоваване на Решението на Европейската комисия от 20 декември 2011 г. относно прилагането на член 106, параграф 2 от Договора за функционирането на Европейския съюз за държавната помощ под формата на компенсация за обществена услуга, предоставена на определени предприятия, натоварени с извършването на услуги от общ икономически </w:t>
            </w:r>
            <w:r w:rsidR="00EE2C9A" w:rsidRPr="00EE2C9A">
              <w:rPr>
                <w:sz w:val="24"/>
                <w:szCs w:val="24"/>
              </w:rPr>
              <w:t>интерес (ОВ, L 7, 11.1.2012 г.)</w:t>
            </w:r>
            <w:r w:rsidR="00EE2C9A" w:rsidRPr="00F86F50">
              <w:rPr>
                <w:sz w:val="24"/>
                <w:szCs w:val="24"/>
              </w:rPr>
              <w:t xml:space="preserve"> при определяне на разумната печалба на оператора</w:t>
            </w:r>
          </w:p>
          <w:p w:rsidR="00EE35BF" w:rsidRPr="00F86F50" w:rsidRDefault="00EE35BF" w:rsidP="00F86F50">
            <w:pPr>
              <w:pStyle w:val="ListParagraph"/>
              <w:autoSpaceDN w:val="0"/>
              <w:jc w:val="both"/>
              <w:rPr>
                <w:sz w:val="24"/>
                <w:szCs w:val="24"/>
              </w:rPr>
            </w:pPr>
          </w:p>
          <w:p w:rsidR="006C14B1" w:rsidRPr="006C14B1" w:rsidRDefault="006C14B1" w:rsidP="006C14B1">
            <w:pPr>
              <w:spacing w:before="120" w:after="120"/>
              <w:jc w:val="both"/>
              <w:rPr>
                <w:b/>
                <w:color w:val="000000" w:themeColor="text1"/>
                <w:sz w:val="24"/>
                <w:szCs w:val="24"/>
              </w:rPr>
            </w:pPr>
            <w:r w:rsidRPr="006C14B1">
              <w:rPr>
                <w:b/>
                <w:color w:val="000000" w:themeColor="text1"/>
                <w:sz w:val="24"/>
                <w:szCs w:val="24"/>
              </w:rPr>
              <w:t>Положителни (икономически/социални/екологични) въздействия:</w:t>
            </w:r>
          </w:p>
          <w:p w:rsidR="000B3615" w:rsidRDefault="006C14B1" w:rsidP="000B3615">
            <w:pPr>
              <w:spacing w:after="120"/>
              <w:ind w:firstLine="716"/>
              <w:jc w:val="both"/>
              <w:rPr>
                <w:rFonts w:eastAsia="Aptos"/>
                <w:sz w:val="24"/>
                <w:szCs w:val="24"/>
                <w:lang w:eastAsia="bg-BG"/>
              </w:rPr>
            </w:pPr>
            <w:r w:rsidRPr="006C14B1">
              <w:rPr>
                <w:rFonts w:eastAsia="Aptos"/>
                <w:sz w:val="24"/>
                <w:szCs w:val="24"/>
                <w:lang w:eastAsia="bg-BG"/>
              </w:rPr>
              <w:t xml:space="preserve">Отпадането за изискването за запазване на териториалното покритие от Методиката ще позволи операторът да </w:t>
            </w:r>
            <w:r w:rsidR="00A814BC">
              <w:rPr>
                <w:rFonts w:eastAsia="Aptos"/>
                <w:sz w:val="24"/>
                <w:szCs w:val="24"/>
                <w:lang w:eastAsia="bg-BG"/>
              </w:rPr>
              <w:t xml:space="preserve">доразвие използвания </w:t>
            </w:r>
            <w:r w:rsidRPr="006C14B1">
              <w:rPr>
                <w:rFonts w:eastAsia="Aptos"/>
                <w:sz w:val="24"/>
                <w:szCs w:val="24"/>
                <w:lang w:eastAsia="bg-BG"/>
              </w:rPr>
              <w:t>сценарий</w:t>
            </w:r>
            <w:r w:rsidR="00A814BC">
              <w:rPr>
                <w:rFonts w:eastAsia="Aptos"/>
                <w:sz w:val="24"/>
                <w:szCs w:val="24"/>
                <w:lang w:eastAsia="bg-BG"/>
              </w:rPr>
              <w:t xml:space="preserve"> за работа без наложено задължение</w:t>
            </w:r>
            <w:r w:rsidRPr="006C14B1">
              <w:rPr>
                <w:rFonts w:eastAsia="Aptos"/>
                <w:sz w:val="24"/>
                <w:szCs w:val="24"/>
                <w:lang w:eastAsia="bg-BG"/>
              </w:rPr>
              <w:t xml:space="preserve">. </w:t>
            </w:r>
            <w:r w:rsidR="008E608C">
              <w:rPr>
                <w:sz w:val="24"/>
                <w:szCs w:val="24"/>
                <w:lang w:eastAsia="bg-BG"/>
              </w:rPr>
              <w:t>Хипотетичният сценарий</w:t>
            </w:r>
            <w:r w:rsidR="00EE2C9A">
              <w:rPr>
                <w:rFonts w:eastAsia="Aptos"/>
                <w:sz w:val="24"/>
                <w:szCs w:val="24"/>
                <w:lang w:eastAsia="bg-BG"/>
              </w:rPr>
              <w:t xml:space="preserve"> ще отчете</w:t>
            </w:r>
            <w:r w:rsidR="008E608C">
              <w:rPr>
                <w:rFonts w:eastAsia="Aptos"/>
                <w:sz w:val="24"/>
                <w:szCs w:val="24"/>
                <w:lang w:eastAsia="bg-BG"/>
              </w:rPr>
              <w:t xml:space="preserve"> </w:t>
            </w:r>
            <w:r w:rsidR="008E608C" w:rsidRPr="0096368D">
              <w:rPr>
                <w:rFonts w:eastAsia="Aptos"/>
                <w:sz w:val="24"/>
                <w:szCs w:val="24"/>
                <w:lang w:eastAsia="bg-BG"/>
              </w:rPr>
              <w:t>всички ефекти върху другите дейности на оператора, както положителни, така и отрицателни, които са получени в резултат на наложеното задължение за извършване на универсалната пощенска услуга</w:t>
            </w:r>
            <w:r w:rsidR="008E608C">
              <w:rPr>
                <w:rFonts w:eastAsia="Aptos"/>
                <w:sz w:val="24"/>
                <w:szCs w:val="24"/>
                <w:lang w:eastAsia="bg-BG"/>
              </w:rPr>
              <w:t xml:space="preserve">. </w:t>
            </w:r>
            <w:r w:rsidR="00F86F50">
              <w:rPr>
                <w:sz w:val="24"/>
                <w:szCs w:val="24"/>
              </w:rPr>
              <w:t>Прецизираните</w:t>
            </w:r>
            <w:r w:rsidR="00F86F50" w:rsidRPr="00F86F50">
              <w:rPr>
                <w:sz w:val="24"/>
                <w:szCs w:val="24"/>
              </w:rPr>
              <w:t xml:space="preserve"> разпоредбите, включващи изчисляване на подходящ дял</w:t>
            </w:r>
            <w:r w:rsidR="00F86F50">
              <w:rPr>
                <w:sz w:val="24"/>
                <w:szCs w:val="24"/>
              </w:rPr>
              <w:t xml:space="preserve"> ще гарантират коректното изчисляване на  </w:t>
            </w:r>
            <w:r w:rsidR="000B3615" w:rsidRPr="00C93E3B">
              <w:rPr>
                <w:color w:val="000000" w:themeColor="text1"/>
                <w:sz w:val="24"/>
                <w:szCs w:val="24"/>
              </w:rPr>
              <w:t>преструктурирането на дейността си условията на работа без задължение за извършване на УПУ</w:t>
            </w:r>
            <w:r w:rsidR="000B3615">
              <w:rPr>
                <w:color w:val="000000" w:themeColor="text1"/>
                <w:sz w:val="24"/>
                <w:szCs w:val="24"/>
              </w:rPr>
              <w:t>.</w:t>
            </w:r>
            <w:r w:rsidR="000B3615" w:rsidRPr="00C93E3B">
              <w:rPr>
                <w:color w:val="000000" w:themeColor="text1"/>
                <w:sz w:val="24"/>
                <w:szCs w:val="24"/>
              </w:rPr>
              <w:t xml:space="preserve"> </w:t>
            </w:r>
          </w:p>
          <w:p w:rsidR="008E608C" w:rsidRDefault="006C14B1" w:rsidP="000B3615">
            <w:pPr>
              <w:spacing w:after="120"/>
              <w:ind w:firstLine="716"/>
              <w:jc w:val="both"/>
              <w:rPr>
                <w:rFonts w:eastAsia="Aptos"/>
                <w:sz w:val="24"/>
                <w:szCs w:val="24"/>
                <w:lang w:eastAsia="bg-BG"/>
              </w:rPr>
            </w:pPr>
            <w:bookmarkStart w:id="0" w:name="_GoBack"/>
            <w:bookmarkEnd w:id="0"/>
            <w:r w:rsidRPr="006C14B1">
              <w:rPr>
                <w:rFonts w:eastAsia="Aptos"/>
                <w:sz w:val="24"/>
                <w:szCs w:val="24"/>
                <w:lang w:eastAsia="bg-BG"/>
              </w:rPr>
              <w:t xml:space="preserve">Компенсациите за останалите услуги от общ икономически интерес  (нормалната печалба, заложена в тяхното изчисление) и печалбите от дейностите, които не се включват в изчислението на компенсациите не покриват и не се очаква в обозримо бъдеще да могат да покрият големия дефицит при изчислението на компенсацията за УПУ по действащата Методика. При отпадане на изискването за териториално покритие операторът би могъл да получава </w:t>
            </w:r>
            <w:r w:rsidR="004A7565">
              <w:rPr>
                <w:rFonts w:eastAsia="Aptos"/>
                <w:sz w:val="24"/>
                <w:szCs w:val="24"/>
                <w:lang w:eastAsia="bg-BG"/>
              </w:rPr>
              <w:t xml:space="preserve">справедлива </w:t>
            </w:r>
            <w:r w:rsidRPr="006C14B1">
              <w:rPr>
                <w:rFonts w:eastAsia="Aptos"/>
                <w:sz w:val="24"/>
                <w:szCs w:val="24"/>
                <w:lang w:eastAsia="bg-BG"/>
              </w:rPr>
              <w:t xml:space="preserve">компенсация и да продължи да извършва </w:t>
            </w:r>
            <w:r w:rsidR="004A7565">
              <w:rPr>
                <w:rFonts w:eastAsia="Aptos"/>
                <w:sz w:val="24"/>
                <w:szCs w:val="24"/>
                <w:lang w:eastAsia="bg-BG"/>
              </w:rPr>
              <w:t xml:space="preserve">своята </w:t>
            </w:r>
            <w:r w:rsidRPr="006C14B1">
              <w:rPr>
                <w:rFonts w:eastAsia="Aptos"/>
                <w:sz w:val="24"/>
                <w:szCs w:val="24"/>
                <w:lang w:eastAsia="bg-BG"/>
              </w:rPr>
              <w:t>дейност</w:t>
            </w:r>
            <w:r w:rsidR="00191DC3">
              <w:rPr>
                <w:rFonts w:eastAsia="Aptos"/>
                <w:sz w:val="24"/>
                <w:szCs w:val="24"/>
                <w:lang w:eastAsia="bg-BG"/>
              </w:rPr>
              <w:t>.</w:t>
            </w:r>
            <w:r w:rsidR="008E608C">
              <w:rPr>
                <w:rFonts w:eastAsia="Aptos"/>
                <w:sz w:val="24"/>
                <w:szCs w:val="24"/>
                <w:lang w:eastAsia="bg-BG"/>
              </w:rPr>
              <w:t xml:space="preserve"> </w:t>
            </w:r>
          </w:p>
          <w:p w:rsidR="008E608C" w:rsidRDefault="008E608C" w:rsidP="008E608C">
            <w:pPr>
              <w:spacing w:after="120"/>
              <w:jc w:val="both"/>
              <w:rPr>
                <w:rFonts w:eastAsia="Aptos"/>
                <w:sz w:val="24"/>
                <w:szCs w:val="24"/>
                <w:lang w:eastAsia="bg-BG"/>
              </w:rPr>
            </w:pPr>
            <w:r>
              <w:rPr>
                <w:rFonts w:eastAsia="Aptos"/>
                <w:sz w:val="24"/>
                <w:szCs w:val="24"/>
                <w:lang w:eastAsia="bg-BG"/>
              </w:rPr>
              <w:t xml:space="preserve">Операторът с наложено задължение ще може да изчислява разумната печалба па еднакви правила за целите на </w:t>
            </w:r>
            <w:r w:rsidR="00C93E3B">
              <w:rPr>
                <w:rFonts w:eastAsia="Aptos"/>
                <w:sz w:val="24"/>
                <w:szCs w:val="24"/>
                <w:lang w:eastAsia="bg-BG"/>
              </w:rPr>
              <w:t xml:space="preserve">определяна на размера на </w:t>
            </w:r>
            <w:r>
              <w:rPr>
                <w:rFonts w:eastAsia="Aptos"/>
                <w:sz w:val="24"/>
                <w:szCs w:val="24"/>
                <w:lang w:eastAsia="bg-BG"/>
              </w:rPr>
              <w:t xml:space="preserve">нетните разходи и </w:t>
            </w:r>
            <w:r w:rsidR="00C93E3B">
              <w:rPr>
                <w:rFonts w:eastAsia="Aptos"/>
                <w:sz w:val="24"/>
                <w:szCs w:val="24"/>
                <w:lang w:eastAsia="bg-BG"/>
              </w:rPr>
              <w:t>при</w:t>
            </w:r>
            <w:r>
              <w:rPr>
                <w:rFonts w:eastAsia="Aptos"/>
                <w:sz w:val="24"/>
                <w:szCs w:val="24"/>
                <w:lang w:eastAsia="bg-BG"/>
              </w:rPr>
              <w:t xml:space="preserve"> </w:t>
            </w:r>
            <w:r w:rsidR="00C93E3B">
              <w:rPr>
                <w:rFonts w:eastAsia="Aptos"/>
                <w:sz w:val="24"/>
                <w:szCs w:val="24"/>
                <w:lang w:eastAsia="bg-BG"/>
              </w:rPr>
              <w:t>формиране</w:t>
            </w:r>
            <w:r>
              <w:rPr>
                <w:rFonts w:eastAsia="Aptos"/>
                <w:sz w:val="24"/>
                <w:szCs w:val="24"/>
                <w:lang w:eastAsia="bg-BG"/>
              </w:rPr>
              <w:t xml:space="preserve"> на цените на услугите от обхвата на универсалната пощенска услуга.</w:t>
            </w:r>
          </w:p>
          <w:p w:rsidR="006C14B1" w:rsidRPr="006C14B1" w:rsidRDefault="006C14B1" w:rsidP="006C14B1">
            <w:pPr>
              <w:jc w:val="both"/>
              <w:rPr>
                <w:rFonts w:eastAsia="Aptos"/>
                <w:sz w:val="24"/>
                <w:szCs w:val="24"/>
                <w:lang w:eastAsia="bg-BG"/>
              </w:rPr>
            </w:pPr>
          </w:p>
          <w:p w:rsidR="006C14B1" w:rsidRPr="006C14B1" w:rsidRDefault="006C14B1" w:rsidP="006C14B1">
            <w:pPr>
              <w:jc w:val="both"/>
              <w:rPr>
                <w:rFonts w:eastAsia="Aptos"/>
                <w:sz w:val="24"/>
                <w:szCs w:val="24"/>
                <w:lang w:eastAsia="bg-BG"/>
              </w:rPr>
            </w:pPr>
            <w:r w:rsidRPr="006C14B1">
              <w:rPr>
                <w:rFonts w:eastAsia="Aptos"/>
                <w:sz w:val="24"/>
                <w:szCs w:val="24"/>
                <w:lang w:eastAsia="bg-BG"/>
              </w:rPr>
              <w:t> </w:t>
            </w:r>
          </w:p>
          <w:p w:rsidR="006C14B1" w:rsidRPr="006C14B1" w:rsidRDefault="006C14B1" w:rsidP="006C14B1">
            <w:pPr>
              <w:jc w:val="both"/>
              <w:rPr>
                <w:color w:val="000000" w:themeColor="text1"/>
                <w:sz w:val="24"/>
                <w:szCs w:val="24"/>
                <w:lang w:eastAsia="bg-BG"/>
              </w:rPr>
            </w:pPr>
            <w:r w:rsidRPr="006C14B1">
              <w:rPr>
                <w:color w:val="000000" w:themeColor="text1"/>
                <w:sz w:val="24"/>
                <w:szCs w:val="24"/>
                <w:lang w:eastAsia="bg-BG"/>
              </w:rPr>
              <w:t xml:space="preserve"> </w:t>
            </w:r>
          </w:p>
          <w:p w:rsidR="006C14B1" w:rsidRPr="006C14B1" w:rsidRDefault="006C14B1" w:rsidP="006C14B1">
            <w:pPr>
              <w:spacing w:after="120"/>
              <w:jc w:val="center"/>
              <w:rPr>
                <w:i/>
                <w:color w:val="000000" w:themeColor="text1"/>
                <w:sz w:val="16"/>
                <w:szCs w:val="16"/>
              </w:rPr>
            </w:pPr>
            <w:r w:rsidRPr="006C14B1">
              <w:rPr>
                <w:i/>
                <w:color w:val="000000" w:themeColor="text1"/>
                <w:sz w:val="16"/>
                <w:szCs w:val="16"/>
              </w:rPr>
              <w:t>(върху всяка заинтересована страна/група заинтересовани страни)</w:t>
            </w:r>
          </w:p>
          <w:p w:rsidR="006C14B1" w:rsidRPr="006C14B1" w:rsidRDefault="006C14B1" w:rsidP="006C14B1">
            <w:pPr>
              <w:spacing w:before="120" w:after="120"/>
              <w:jc w:val="both"/>
              <w:rPr>
                <w:b/>
                <w:color w:val="000000" w:themeColor="text1"/>
                <w:sz w:val="24"/>
                <w:szCs w:val="24"/>
              </w:rPr>
            </w:pPr>
            <w:r w:rsidRPr="006C14B1">
              <w:rPr>
                <w:b/>
                <w:color w:val="000000" w:themeColor="text1"/>
                <w:sz w:val="24"/>
                <w:szCs w:val="24"/>
              </w:rPr>
              <w:t xml:space="preserve">Отрицателни (икономически/социални/екологични) въздействия: </w:t>
            </w:r>
            <w:r w:rsidRPr="006C14B1">
              <w:rPr>
                <w:color w:val="000000" w:themeColor="text1"/>
                <w:sz w:val="24"/>
                <w:szCs w:val="24"/>
              </w:rPr>
              <w:t>Не се идентифицират</w:t>
            </w:r>
          </w:p>
          <w:p w:rsidR="006C14B1" w:rsidRPr="006C14B1" w:rsidRDefault="006C14B1" w:rsidP="006C14B1">
            <w:pPr>
              <w:spacing w:after="120"/>
              <w:jc w:val="center"/>
              <w:rPr>
                <w:i/>
                <w:color w:val="000000" w:themeColor="text1"/>
                <w:sz w:val="16"/>
                <w:szCs w:val="16"/>
              </w:rPr>
            </w:pPr>
            <w:r w:rsidRPr="006C14B1">
              <w:rPr>
                <w:i/>
                <w:color w:val="000000" w:themeColor="text1"/>
                <w:sz w:val="16"/>
                <w:szCs w:val="16"/>
              </w:rPr>
              <w:t xml:space="preserve"> (върху всяка заинтересована страна/група заинтересовани страни)</w:t>
            </w:r>
          </w:p>
          <w:p w:rsidR="006C14B1" w:rsidRPr="006C14B1" w:rsidRDefault="006C14B1" w:rsidP="006C14B1">
            <w:pPr>
              <w:spacing w:before="120" w:after="120"/>
              <w:jc w:val="both"/>
              <w:rPr>
                <w:b/>
                <w:color w:val="000000" w:themeColor="text1"/>
                <w:sz w:val="24"/>
                <w:szCs w:val="24"/>
              </w:rPr>
            </w:pPr>
            <w:r w:rsidRPr="006C14B1">
              <w:rPr>
                <w:b/>
                <w:color w:val="000000" w:themeColor="text1"/>
                <w:sz w:val="24"/>
                <w:szCs w:val="24"/>
              </w:rPr>
              <w:t xml:space="preserve">Специфични въздействия: </w:t>
            </w:r>
            <w:r w:rsidRPr="006C14B1">
              <w:rPr>
                <w:color w:val="000000" w:themeColor="text1"/>
                <w:sz w:val="24"/>
                <w:szCs w:val="24"/>
              </w:rPr>
              <w:t>Не се идентифицират</w:t>
            </w:r>
          </w:p>
          <w:p w:rsidR="006C14B1" w:rsidRPr="006C14B1" w:rsidRDefault="006C14B1" w:rsidP="006C14B1">
            <w:pPr>
              <w:spacing w:before="120" w:after="120"/>
              <w:jc w:val="both"/>
              <w:rPr>
                <w:color w:val="000000" w:themeColor="text1"/>
                <w:sz w:val="24"/>
                <w:szCs w:val="24"/>
              </w:rPr>
            </w:pPr>
            <w:r w:rsidRPr="006C14B1">
              <w:rPr>
                <w:b/>
                <w:color w:val="000000" w:themeColor="text1"/>
                <w:sz w:val="24"/>
                <w:szCs w:val="24"/>
              </w:rPr>
              <w:t>Въздействия върху малките и средните предприятия:</w:t>
            </w:r>
            <w:r w:rsidRPr="006C14B1">
              <w:rPr>
                <w:color w:val="000000" w:themeColor="text1"/>
                <w:sz w:val="24"/>
                <w:szCs w:val="24"/>
              </w:rPr>
              <w:t xml:space="preserve">  Не се идентифицират</w:t>
            </w:r>
          </w:p>
          <w:p w:rsidR="006C14B1" w:rsidRPr="006C14B1" w:rsidRDefault="006C14B1" w:rsidP="006C14B1">
            <w:pPr>
              <w:spacing w:before="120" w:after="120"/>
              <w:jc w:val="both"/>
              <w:rPr>
                <w:color w:val="000000" w:themeColor="text1"/>
                <w:sz w:val="24"/>
                <w:szCs w:val="24"/>
              </w:rPr>
            </w:pPr>
            <w:r w:rsidRPr="006C14B1">
              <w:rPr>
                <w:b/>
                <w:color w:val="000000" w:themeColor="text1"/>
                <w:sz w:val="24"/>
                <w:szCs w:val="24"/>
              </w:rPr>
              <w:t>Административна тежест:</w:t>
            </w:r>
            <w:r w:rsidRPr="006C14B1">
              <w:rPr>
                <w:color w:val="000000" w:themeColor="text1"/>
                <w:sz w:val="24"/>
                <w:szCs w:val="24"/>
              </w:rPr>
              <w:t xml:space="preserve"> Не се идентифицира</w:t>
            </w:r>
          </w:p>
          <w:p w:rsidR="006C14B1" w:rsidRPr="006C14B1" w:rsidRDefault="006C14B1" w:rsidP="006C14B1">
            <w:pPr>
              <w:spacing w:after="120"/>
              <w:jc w:val="center"/>
              <w:rPr>
                <w:i/>
                <w:color w:val="000000" w:themeColor="text1"/>
                <w:sz w:val="16"/>
                <w:szCs w:val="16"/>
              </w:rPr>
            </w:pPr>
            <w:r w:rsidRPr="006C14B1">
              <w:rPr>
                <w:i/>
                <w:color w:val="000000" w:themeColor="text1"/>
                <w:sz w:val="16"/>
                <w:szCs w:val="16"/>
              </w:rPr>
              <w:t xml:space="preserve"> (въздействията върху малките и средните предприятия; административна тежест)</w:t>
            </w:r>
          </w:p>
          <w:p w:rsidR="006C14B1" w:rsidRPr="006C14B1" w:rsidRDefault="006C14B1" w:rsidP="006C14B1">
            <w:pPr>
              <w:spacing w:after="120"/>
              <w:jc w:val="center"/>
              <w:rPr>
                <w:i/>
                <w:color w:val="000000" w:themeColor="text1"/>
                <w:sz w:val="16"/>
                <w:szCs w:val="16"/>
              </w:rPr>
            </w:pPr>
            <w:r w:rsidRPr="006C14B1">
              <w:rPr>
                <w:i/>
                <w:color w:val="000000" w:themeColor="text1"/>
                <w:sz w:val="16"/>
                <w:szCs w:val="16"/>
              </w:rPr>
              <w:t>1.1. Опишете качествено (при възможност – и количествено) всички значителни потенциални икономически, социални и екологични въздействия, включително върху всяка заинтересована страна/група заинтересовани страни. Пояснете кои въздействия се очаква да бъдат значителни и кои второстепенни.</w:t>
            </w:r>
          </w:p>
          <w:p w:rsidR="006C14B1" w:rsidRPr="006C14B1" w:rsidRDefault="006C14B1" w:rsidP="006C14B1">
            <w:pPr>
              <w:pBdr>
                <w:bottom w:val="single" w:sz="6" w:space="1" w:color="auto"/>
              </w:pBdr>
              <w:spacing w:after="120"/>
              <w:jc w:val="center"/>
              <w:rPr>
                <w:i/>
                <w:color w:val="000000" w:themeColor="text1"/>
                <w:sz w:val="16"/>
                <w:szCs w:val="16"/>
              </w:rPr>
            </w:pPr>
            <w:r w:rsidRPr="006C14B1">
              <w:rPr>
                <w:i/>
                <w:color w:val="000000" w:themeColor="text1"/>
                <w:sz w:val="16"/>
                <w:szCs w:val="16"/>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tc>
      </w:tr>
      <w:tr w:rsidR="006C14B1" w:rsidRPr="006C14B1" w:rsidTr="00AA077D">
        <w:tc>
          <w:tcPr>
            <w:tcW w:w="10266" w:type="dxa"/>
            <w:gridSpan w:val="3"/>
            <w:vAlign w:val="center"/>
          </w:tcPr>
          <w:p w:rsidR="006C14B1" w:rsidRPr="006C14B1" w:rsidRDefault="006C14B1" w:rsidP="006C14B1">
            <w:pPr>
              <w:spacing w:after="120"/>
              <w:rPr>
                <w:b/>
                <w:color w:val="000000" w:themeColor="text1"/>
                <w:sz w:val="24"/>
                <w:szCs w:val="24"/>
              </w:rPr>
            </w:pPr>
            <w:r w:rsidRPr="006C14B1">
              <w:rPr>
                <w:b/>
                <w:color w:val="000000" w:themeColor="text1"/>
                <w:sz w:val="24"/>
                <w:szCs w:val="24"/>
              </w:rPr>
              <w:t xml:space="preserve">4.n. По проблем </w:t>
            </w:r>
            <w:r w:rsidRPr="006C14B1">
              <w:rPr>
                <w:b/>
                <w:color w:val="000000" w:themeColor="text1"/>
                <w:sz w:val="24"/>
                <w:szCs w:val="24"/>
                <w:lang w:val="en-US"/>
              </w:rPr>
              <w:t>n</w:t>
            </w:r>
            <w:r w:rsidRPr="006C14B1">
              <w:rPr>
                <w:b/>
                <w:color w:val="000000" w:themeColor="text1"/>
                <w:sz w:val="24"/>
                <w:szCs w:val="24"/>
              </w:rPr>
              <w:t>:</w:t>
            </w:r>
          </w:p>
          <w:p w:rsidR="006C14B1" w:rsidRPr="006C14B1" w:rsidRDefault="006C14B1" w:rsidP="006C14B1">
            <w:pPr>
              <w:spacing w:after="120"/>
              <w:jc w:val="center"/>
              <w:rPr>
                <w:color w:val="000000" w:themeColor="text1"/>
                <w:sz w:val="24"/>
                <w:szCs w:val="24"/>
              </w:rPr>
            </w:pPr>
            <w:r w:rsidRPr="006C14B1">
              <w:rPr>
                <w:i/>
                <w:color w:val="000000" w:themeColor="text1"/>
                <w:sz w:val="16"/>
                <w:szCs w:val="16"/>
              </w:rPr>
              <w:t>*</w:t>
            </w:r>
            <w:r w:rsidRPr="00F0693C">
              <w:rPr>
                <w:rFonts w:asciiTheme="minorHAnsi" w:eastAsiaTheme="minorHAnsi" w:hAnsiTheme="minorHAnsi" w:cstheme="minorBidi"/>
                <w:color w:val="000000" w:themeColor="text1"/>
                <w:sz w:val="22"/>
                <w:szCs w:val="22"/>
              </w:rPr>
              <w:t xml:space="preserve"> </w:t>
            </w:r>
            <w:r w:rsidRPr="006C14B1">
              <w:rPr>
                <w:i/>
                <w:color w:val="000000" w:themeColor="text1"/>
                <w:sz w:val="16"/>
                <w:szCs w:val="16"/>
              </w:rPr>
              <w:t xml:space="preserve">При повече от един поставен проблем мултиплицирайте Раздел 4.1. </w:t>
            </w:r>
            <w:r w:rsidRPr="006C14B1" w:rsidDel="00042D08">
              <w:rPr>
                <w:color w:val="000000" w:themeColor="text1"/>
                <w:sz w:val="24"/>
                <w:szCs w:val="24"/>
              </w:rPr>
              <w:t xml:space="preserve"> </w:t>
            </w:r>
          </w:p>
        </w:tc>
      </w:tr>
      <w:tr w:rsidR="006C14B1" w:rsidRPr="006C14B1" w:rsidTr="00AA077D">
        <w:tc>
          <w:tcPr>
            <w:tcW w:w="10266" w:type="dxa"/>
            <w:gridSpan w:val="3"/>
          </w:tcPr>
          <w:p w:rsidR="006C14B1" w:rsidRPr="006C14B1" w:rsidRDefault="006C14B1" w:rsidP="006C14B1">
            <w:pPr>
              <w:spacing w:before="120" w:after="120"/>
              <w:jc w:val="both"/>
              <w:rPr>
                <w:b/>
                <w:color w:val="000000" w:themeColor="text1"/>
                <w:sz w:val="24"/>
                <w:szCs w:val="24"/>
              </w:rPr>
            </w:pPr>
            <w:r w:rsidRPr="006C14B1">
              <w:rPr>
                <w:b/>
                <w:color w:val="000000" w:themeColor="text1"/>
                <w:sz w:val="24"/>
                <w:szCs w:val="24"/>
              </w:rPr>
              <w:t>5. Сравняване на вариантите:</w:t>
            </w:r>
          </w:p>
          <w:p w:rsidR="006C14B1" w:rsidRPr="006C14B1" w:rsidRDefault="006C14B1" w:rsidP="006C14B1">
            <w:pPr>
              <w:spacing w:before="120" w:after="120"/>
              <w:jc w:val="both"/>
              <w:rPr>
                <w:color w:val="000000" w:themeColor="text1"/>
                <w:sz w:val="24"/>
                <w:szCs w:val="24"/>
              </w:rPr>
            </w:pPr>
            <w:r w:rsidRPr="006C14B1">
              <w:rPr>
                <w:b/>
                <w:color w:val="000000" w:themeColor="text1"/>
                <w:sz w:val="24"/>
                <w:szCs w:val="24"/>
              </w:rPr>
              <w:t>Степени на изпълнение по критерии:</w:t>
            </w:r>
            <w:r w:rsidRPr="006C14B1">
              <w:rPr>
                <w:color w:val="000000" w:themeColor="text1"/>
                <w:sz w:val="24"/>
                <w:szCs w:val="24"/>
              </w:rPr>
              <w:t xml:space="preserve"> 1) висока; 2) средна; 3) ниска.</w:t>
            </w:r>
          </w:p>
          <w:p w:rsidR="006C14B1" w:rsidRPr="006C14B1" w:rsidRDefault="006C14B1" w:rsidP="006C14B1">
            <w:pPr>
              <w:spacing w:before="120" w:after="120"/>
              <w:jc w:val="both"/>
              <w:rPr>
                <w:b/>
                <w:color w:val="000000" w:themeColor="text1"/>
                <w:sz w:val="24"/>
                <w:szCs w:val="24"/>
              </w:rPr>
            </w:pPr>
            <w:r w:rsidRPr="006C14B1">
              <w:rPr>
                <w:b/>
                <w:color w:val="000000" w:themeColor="text1"/>
                <w:sz w:val="24"/>
                <w:szCs w:val="24"/>
              </w:rPr>
              <w:t>5.1. По проблем 1:</w:t>
            </w:r>
          </w:p>
          <w:tbl>
            <w:tblPr>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471"/>
              <w:gridCol w:w="1786"/>
              <w:gridCol w:w="1865"/>
              <w:gridCol w:w="1984"/>
            </w:tblGrid>
            <w:tr w:rsidR="006C14B1" w:rsidRPr="006C14B1" w:rsidTr="00AA077D">
              <w:trPr>
                <w:trHeight w:val="357"/>
              </w:trPr>
              <w:tc>
                <w:tcPr>
                  <w:tcW w:w="2257" w:type="dxa"/>
                  <w:gridSpan w:val="2"/>
                  <w:tcBorders>
                    <w:top w:val="single" w:sz="12" w:space="0" w:color="auto"/>
                    <w:left w:val="single" w:sz="12" w:space="0" w:color="auto"/>
                    <w:bottom w:val="single" w:sz="12" w:space="0" w:color="auto"/>
                    <w:right w:val="single" w:sz="12" w:space="0" w:color="auto"/>
                    <w:tl2br w:val="single" w:sz="12" w:space="0" w:color="auto"/>
                  </w:tcBorders>
                  <w:shd w:val="clear" w:color="auto" w:fill="D9D9D9"/>
                </w:tcPr>
                <w:p w:rsidR="006C14B1" w:rsidRPr="006C14B1" w:rsidRDefault="006C14B1" w:rsidP="006C14B1">
                  <w:pPr>
                    <w:contextualSpacing/>
                    <w:jc w:val="center"/>
                    <w:rPr>
                      <w:b/>
                      <w:color w:val="000000" w:themeColor="text1"/>
                    </w:rPr>
                  </w:pPr>
                </w:p>
              </w:tc>
              <w:tc>
                <w:tcPr>
                  <w:tcW w:w="1865" w:type="dxa"/>
                  <w:tcBorders>
                    <w:top w:val="single" w:sz="12" w:space="0" w:color="auto"/>
                    <w:left w:val="single" w:sz="12" w:space="0" w:color="auto"/>
                    <w:bottom w:val="single" w:sz="12" w:space="0" w:color="auto"/>
                    <w:right w:val="single" w:sz="12" w:space="0" w:color="auto"/>
                  </w:tcBorders>
                  <w:shd w:val="clear" w:color="auto" w:fill="D9D9D9"/>
                  <w:vAlign w:val="center"/>
                </w:tcPr>
                <w:p w:rsidR="006C14B1" w:rsidRPr="006C14B1" w:rsidRDefault="006C14B1" w:rsidP="006C14B1">
                  <w:pPr>
                    <w:ind w:left="-160"/>
                    <w:contextualSpacing/>
                    <w:jc w:val="center"/>
                    <w:rPr>
                      <w:b/>
                      <w:color w:val="000000" w:themeColor="text1"/>
                    </w:rPr>
                  </w:pPr>
                  <w:r w:rsidRPr="006C14B1">
                    <w:rPr>
                      <w:b/>
                      <w:color w:val="000000" w:themeColor="text1"/>
                    </w:rPr>
                    <w:t>Вариант 1</w:t>
                  </w:r>
                </w:p>
                <w:p w:rsidR="006C14B1" w:rsidRPr="006C14B1" w:rsidRDefault="006C14B1" w:rsidP="006C14B1">
                  <w:pPr>
                    <w:ind w:left="-160"/>
                    <w:contextualSpacing/>
                    <w:jc w:val="center"/>
                    <w:rPr>
                      <w:b/>
                      <w:color w:val="000000" w:themeColor="text1"/>
                    </w:rPr>
                  </w:pPr>
                  <w:r w:rsidRPr="006C14B1">
                    <w:rPr>
                      <w:b/>
                      <w:color w:val="000000" w:themeColor="text1"/>
                    </w:rPr>
                    <w:t xml:space="preserve"> „Без действие“</w:t>
                  </w:r>
                </w:p>
              </w:tc>
              <w:tc>
                <w:tcPr>
                  <w:tcW w:w="1984" w:type="dxa"/>
                  <w:tcBorders>
                    <w:top w:val="single" w:sz="12" w:space="0" w:color="auto"/>
                    <w:left w:val="single" w:sz="12" w:space="0" w:color="auto"/>
                    <w:bottom w:val="single" w:sz="12" w:space="0" w:color="auto"/>
                    <w:right w:val="single" w:sz="12" w:space="0" w:color="auto"/>
                  </w:tcBorders>
                  <w:shd w:val="clear" w:color="auto" w:fill="D9D9D9"/>
                  <w:vAlign w:val="center"/>
                </w:tcPr>
                <w:p w:rsidR="006C14B1" w:rsidRPr="006C14B1" w:rsidRDefault="006C14B1" w:rsidP="006C14B1">
                  <w:pPr>
                    <w:ind w:left="-160"/>
                    <w:contextualSpacing/>
                    <w:jc w:val="center"/>
                    <w:rPr>
                      <w:b/>
                      <w:color w:val="000000" w:themeColor="text1"/>
                    </w:rPr>
                  </w:pPr>
                  <w:r w:rsidRPr="006C14B1">
                    <w:rPr>
                      <w:b/>
                      <w:color w:val="000000" w:themeColor="text1"/>
                    </w:rPr>
                    <w:t>Вариант 2</w:t>
                  </w:r>
                </w:p>
              </w:tc>
            </w:tr>
            <w:tr w:rsidR="006C14B1" w:rsidRPr="006C14B1" w:rsidTr="00AA077D">
              <w:trPr>
                <w:trHeight w:val="2628"/>
              </w:trPr>
              <w:tc>
                <w:tcPr>
                  <w:tcW w:w="471" w:type="dxa"/>
                  <w:tcBorders>
                    <w:top w:val="single" w:sz="12" w:space="0" w:color="auto"/>
                    <w:left w:val="single" w:sz="12" w:space="0" w:color="auto"/>
                    <w:right w:val="single" w:sz="12" w:space="0" w:color="auto"/>
                  </w:tcBorders>
                  <w:shd w:val="clear" w:color="auto" w:fill="D9D9D9" w:themeFill="background1" w:themeFillShade="D9"/>
                  <w:textDirection w:val="btLr"/>
                  <w:vAlign w:val="center"/>
                </w:tcPr>
                <w:p w:rsidR="006C14B1" w:rsidRPr="006C14B1" w:rsidRDefault="006C14B1" w:rsidP="006C14B1">
                  <w:pPr>
                    <w:widowControl w:val="0"/>
                    <w:kinsoku w:val="0"/>
                    <w:overflowPunct w:val="0"/>
                    <w:autoSpaceDE w:val="0"/>
                    <w:autoSpaceDN w:val="0"/>
                    <w:adjustRightInd w:val="0"/>
                    <w:spacing w:before="28"/>
                    <w:ind w:left="113" w:right="113"/>
                    <w:jc w:val="center"/>
                    <w:rPr>
                      <w:color w:val="000000" w:themeColor="text1"/>
                      <w:w w:val="105"/>
                    </w:rPr>
                  </w:pPr>
                  <w:r w:rsidRPr="006C14B1">
                    <w:rPr>
                      <w:b/>
                      <w:bCs/>
                      <w:i/>
                      <w:iCs/>
                      <w:color w:val="000000" w:themeColor="text1"/>
                    </w:rPr>
                    <w:t>Ефективност</w:t>
                  </w:r>
                </w:p>
              </w:tc>
              <w:tc>
                <w:tcPr>
                  <w:tcW w:w="1786" w:type="dxa"/>
                  <w:tcBorders>
                    <w:top w:val="single" w:sz="12" w:space="0" w:color="auto"/>
                    <w:left w:val="single" w:sz="12" w:space="0" w:color="auto"/>
                    <w:right w:val="single" w:sz="12" w:space="0" w:color="auto"/>
                  </w:tcBorders>
                  <w:shd w:val="clear" w:color="auto" w:fill="FFFFFF"/>
                  <w:vAlign w:val="center"/>
                </w:tcPr>
                <w:p w:rsidR="006C14B1" w:rsidRPr="006C14B1" w:rsidRDefault="006C14B1" w:rsidP="006C14B1">
                  <w:pPr>
                    <w:widowControl w:val="0"/>
                    <w:kinsoku w:val="0"/>
                    <w:overflowPunct w:val="0"/>
                    <w:autoSpaceDE w:val="0"/>
                    <w:autoSpaceDN w:val="0"/>
                    <w:adjustRightInd w:val="0"/>
                    <w:spacing w:before="28"/>
                    <w:ind w:left="113"/>
                    <w:rPr>
                      <w:color w:val="000000" w:themeColor="text1"/>
                      <w:w w:val="105"/>
                      <w:sz w:val="18"/>
                      <w:szCs w:val="18"/>
                    </w:rPr>
                  </w:pPr>
                  <w:r w:rsidRPr="006C14B1">
                    <w:rPr>
                      <w:color w:val="000000" w:themeColor="text1"/>
                      <w:w w:val="105"/>
                    </w:rPr>
                    <w:t xml:space="preserve">Цел 1: </w:t>
                  </w:r>
                  <w:r w:rsidRPr="006C14B1">
                    <w:rPr>
                      <w:b/>
                      <w:color w:val="000000" w:themeColor="text1"/>
                      <w:sz w:val="18"/>
                      <w:szCs w:val="18"/>
                    </w:rPr>
                    <w:t>„П</w:t>
                  </w:r>
                  <w:r w:rsidRPr="006C14B1">
                    <w:rPr>
                      <w:rFonts w:eastAsiaTheme="minorHAnsi"/>
                      <w:b/>
                      <w:color w:val="000000" w:themeColor="text1"/>
                      <w:sz w:val="18"/>
                      <w:szCs w:val="18"/>
                    </w:rPr>
                    <w:t xml:space="preserve">рецизиране и адаптиране на механизма за </w:t>
                  </w:r>
                  <w:r w:rsidRPr="006C14B1">
                    <w:rPr>
                      <w:rFonts w:eastAsiaTheme="minorHAnsi" w:cstheme="minorBidi"/>
                      <w:b/>
                      <w:color w:val="000000" w:themeColor="text1"/>
                      <w:sz w:val="18"/>
                      <w:szCs w:val="18"/>
                    </w:rPr>
                    <w:t>изчисляване на размера на нетните разходи и определяне на несправедливата финансова тежест от предоставянето на универсалната пощенска услуга“</w:t>
                  </w:r>
                </w:p>
                <w:p w:rsidR="006C14B1" w:rsidRPr="006C14B1" w:rsidRDefault="006C14B1" w:rsidP="006C14B1">
                  <w:pPr>
                    <w:widowControl w:val="0"/>
                    <w:kinsoku w:val="0"/>
                    <w:overflowPunct w:val="0"/>
                    <w:autoSpaceDE w:val="0"/>
                    <w:autoSpaceDN w:val="0"/>
                    <w:adjustRightInd w:val="0"/>
                    <w:spacing w:before="28"/>
                    <w:ind w:left="113"/>
                    <w:rPr>
                      <w:color w:val="000000" w:themeColor="text1"/>
                      <w:w w:val="105"/>
                    </w:rPr>
                  </w:pPr>
                </w:p>
                <w:p w:rsidR="006C14B1" w:rsidRPr="006C14B1" w:rsidRDefault="006C14B1" w:rsidP="006C14B1">
                  <w:pPr>
                    <w:widowControl w:val="0"/>
                    <w:kinsoku w:val="0"/>
                    <w:overflowPunct w:val="0"/>
                    <w:autoSpaceDE w:val="0"/>
                    <w:autoSpaceDN w:val="0"/>
                    <w:adjustRightInd w:val="0"/>
                    <w:spacing w:before="33"/>
                    <w:ind w:left="113"/>
                    <w:rPr>
                      <w:color w:val="000000" w:themeColor="text1"/>
                      <w:w w:val="105"/>
                    </w:rPr>
                  </w:pPr>
                </w:p>
              </w:tc>
              <w:tc>
                <w:tcPr>
                  <w:tcW w:w="1865" w:type="dxa"/>
                  <w:tcBorders>
                    <w:top w:val="single" w:sz="12" w:space="0" w:color="auto"/>
                    <w:left w:val="single" w:sz="12" w:space="0" w:color="auto"/>
                    <w:right w:val="single" w:sz="12" w:space="0" w:color="auto"/>
                  </w:tcBorders>
                  <w:shd w:val="clear" w:color="auto" w:fill="FFFFFF"/>
                  <w:vAlign w:val="center"/>
                </w:tcPr>
                <w:p w:rsidR="006C14B1" w:rsidRPr="006C14B1" w:rsidRDefault="006C14B1" w:rsidP="006C14B1">
                  <w:pPr>
                    <w:widowControl w:val="0"/>
                    <w:kinsoku w:val="0"/>
                    <w:overflowPunct w:val="0"/>
                    <w:autoSpaceDE w:val="0"/>
                    <w:autoSpaceDN w:val="0"/>
                    <w:adjustRightInd w:val="0"/>
                    <w:spacing w:before="47" w:line="247" w:lineRule="auto"/>
                    <w:ind w:left="64" w:right="61" w:hanging="4"/>
                    <w:jc w:val="center"/>
                    <w:rPr>
                      <w:color w:val="000000" w:themeColor="text1"/>
                    </w:rPr>
                  </w:pPr>
                  <w:r w:rsidRPr="006C14B1">
                    <w:rPr>
                      <w:color w:val="000000" w:themeColor="text1"/>
                    </w:rPr>
                    <w:t>3</w:t>
                  </w:r>
                </w:p>
              </w:tc>
              <w:tc>
                <w:tcPr>
                  <w:tcW w:w="1984" w:type="dxa"/>
                  <w:tcBorders>
                    <w:top w:val="single" w:sz="12" w:space="0" w:color="auto"/>
                    <w:left w:val="single" w:sz="12" w:space="0" w:color="auto"/>
                    <w:right w:val="single" w:sz="12" w:space="0" w:color="auto"/>
                  </w:tcBorders>
                  <w:shd w:val="clear" w:color="auto" w:fill="FFFFFF"/>
                  <w:vAlign w:val="center"/>
                </w:tcPr>
                <w:p w:rsidR="006C14B1" w:rsidRPr="006C14B1" w:rsidRDefault="006C14B1" w:rsidP="006C14B1">
                  <w:pPr>
                    <w:widowControl w:val="0"/>
                    <w:kinsoku w:val="0"/>
                    <w:overflowPunct w:val="0"/>
                    <w:autoSpaceDE w:val="0"/>
                    <w:autoSpaceDN w:val="0"/>
                    <w:adjustRightInd w:val="0"/>
                    <w:spacing w:before="28"/>
                    <w:ind w:right="1"/>
                    <w:jc w:val="center"/>
                    <w:rPr>
                      <w:color w:val="000000" w:themeColor="text1"/>
                      <w:w w:val="111"/>
                    </w:rPr>
                  </w:pPr>
                </w:p>
                <w:p w:rsidR="006C14B1" w:rsidRPr="006C14B1" w:rsidRDefault="006C14B1" w:rsidP="006C14B1">
                  <w:pPr>
                    <w:widowControl w:val="0"/>
                    <w:kinsoku w:val="0"/>
                    <w:overflowPunct w:val="0"/>
                    <w:autoSpaceDE w:val="0"/>
                    <w:autoSpaceDN w:val="0"/>
                    <w:adjustRightInd w:val="0"/>
                    <w:spacing w:before="28"/>
                    <w:ind w:right="1"/>
                    <w:jc w:val="center"/>
                    <w:rPr>
                      <w:color w:val="000000" w:themeColor="text1"/>
                      <w:w w:val="111"/>
                    </w:rPr>
                  </w:pPr>
                  <w:r w:rsidRPr="006C14B1">
                    <w:rPr>
                      <w:color w:val="000000" w:themeColor="text1"/>
                      <w:w w:val="111"/>
                    </w:rPr>
                    <w:t>1</w:t>
                  </w:r>
                </w:p>
                <w:p w:rsidR="006C14B1" w:rsidRPr="006C14B1" w:rsidRDefault="006C14B1" w:rsidP="006C14B1">
                  <w:pPr>
                    <w:widowControl w:val="0"/>
                    <w:kinsoku w:val="0"/>
                    <w:overflowPunct w:val="0"/>
                    <w:autoSpaceDE w:val="0"/>
                    <w:autoSpaceDN w:val="0"/>
                    <w:adjustRightInd w:val="0"/>
                    <w:spacing w:before="40"/>
                    <w:ind w:right="1"/>
                    <w:jc w:val="center"/>
                    <w:rPr>
                      <w:color w:val="000000" w:themeColor="text1"/>
                      <w:w w:val="111"/>
                    </w:rPr>
                  </w:pPr>
                </w:p>
              </w:tc>
            </w:tr>
            <w:tr w:rsidR="006C14B1" w:rsidRPr="006C14B1" w:rsidTr="00AA077D">
              <w:trPr>
                <w:trHeight w:val="1909"/>
              </w:trPr>
              <w:tc>
                <w:tcPr>
                  <w:tcW w:w="471" w:type="dxa"/>
                  <w:tcBorders>
                    <w:top w:val="single" w:sz="12" w:space="0" w:color="auto"/>
                    <w:left w:val="single" w:sz="12" w:space="0" w:color="auto"/>
                    <w:right w:val="single" w:sz="12" w:space="0" w:color="auto"/>
                  </w:tcBorders>
                  <w:shd w:val="clear" w:color="auto" w:fill="D9D9D9"/>
                  <w:textDirection w:val="btLr"/>
                  <w:vAlign w:val="center"/>
                </w:tcPr>
                <w:p w:rsidR="006C14B1" w:rsidRPr="006C14B1" w:rsidRDefault="006C14B1" w:rsidP="006C14B1">
                  <w:pPr>
                    <w:widowControl w:val="0"/>
                    <w:kinsoku w:val="0"/>
                    <w:overflowPunct w:val="0"/>
                    <w:autoSpaceDE w:val="0"/>
                    <w:autoSpaceDN w:val="0"/>
                    <w:adjustRightInd w:val="0"/>
                    <w:spacing w:before="18"/>
                    <w:ind w:left="113" w:right="113"/>
                    <w:jc w:val="center"/>
                    <w:rPr>
                      <w:b/>
                      <w:bCs/>
                      <w:i/>
                      <w:iCs/>
                      <w:color w:val="000000" w:themeColor="text1"/>
                    </w:rPr>
                  </w:pPr>
                  <w:r w:rsidRPr="006C14B1">
                    <w:rPr>
                      <w:b/>
                      <w:bCs/>
                      <w:i/>
                      <w:iCs/>
                      <w:color w:val="000000" w:themeColor="text1"/>
                    </w:rPr>
                    <w:t>Ефикасност</w:t>
                  </w:r>
                </w:p>
              </w:tc>
              <w:tc>
                <w:tcPr>
                  <w:tcW w:w="1786" w:type="dxa"/>
                  <w:tcBorders>
                    <w:top w:val="single" w:sz="12" w:space="0" w:color="auto"/>
                    <w:left w:val="single" w:sz="12" w:space="0" w:color="auto"/>
                    <w:right w:val="single" w:sz="12" w:space="0" w:color="auto"/>
                  </w:tcBorders>
                  <w:shd w:val="clear" w:color="auto" w:fill="FFFFFF"/>
                  <w:vAlign w:val="center"/>
                </w:tcPr>
                <w:p w:rsidR="006C14B1" w:rsidRPr="006C14B1" w:rsidRDefault="006C14B1" w:rsidP="006C14B1">
                  <w:pPr>
                    <w:widowControl w:val="0"/>
                    <w:kinsoku w:val="0"/>
                    <w:overflowPunct w:val="0"/>
                    <w:autoSpaceDE w:val="0"/>
                    <w:autoSpaceDN w:val="0"/>
                    <w:adjustRightInd w:val="0"/>
                    <w:spacing w:before="28"/>
                    <w:ind w:left="113"/>
                    <w:rPr>
                      <w:color w:val="000000" w:themeColor="text1"/>
                      <w:w w:val="105"/>
                      <w:sz w:val="18"/>
                      <w:szCs w:val="18"/>
                    </w:rPr>
                  </w:pPr>
                  <w:r w:rsidRPr="006C14B1">
                    <w:rPr>
                      <w:color w:val="000000" w:themeColor="text1"/>
                      <w:w w:val="105"/>
                    </w:rPr>
                    <w:t xml:space="preserve">Цел 1: </w:t>
                  </w:r>
                  <w:r w:rsidRPr="006C14B1">
                    <w:rPr>
                      <w:b/>
                      <w:color w:val="000000" w:themeColor="text1"/>
                      <w:sz w:val="18"/>
                      <w:szCs w:val="18"/>
                    </w:rPr>
                    <w:t>„П</w:t>
                  </w:r>
                  <w:r w:rsidRPr="006C14B1">
                    <w:rPr>
                      <w:rFonts w:eastAsiaTheme="minorHAnsi"/>
                      <w:b/>
                      <w:color w:val="000000" w:themeColor="text1"/>
                      <w:sz w:val="18"/>
                      <w:szCs w:val="18"/>
                    </w:rPr>
                    <w:t xml:space="preserve">рецизиране и адаптиране на механизма за </w:t>
                  </w:r>
                  <w:r w:rsidRPr="006C14B1">
                    <w:rPr>
                      <w:rFonts w:eastAsiaTheme="minorHAnsi" w:cstheme="minorBidi"/>
                      <w:b/>
                      <w:color w:val="000000" w:themeColor="text1"/>
                      <w:sz w:val="18"/>
                      <w:szCs w:val="18"/>
                    </w:rPr>
                    <w:t>изчисляване на размера на нетните разходи и определяне на несправедливата финансова тежест от предоставянето на универсалната пощенска услуга“</w:t>
                  </w:r>
                </w:p>
                <w:p w:rsidR="006C14B1" w:rsidRPr="006C14B1" w:rsidDel="00512211" w:rsidRDefault="006C14B1" w:rsidP="006C14B1">
                  <w:pPr>
                    <w:widowControl w:val="0"/>
                    <w:kinsoku w:val="0"/>
                    <w:overflowPunct w:val="0"/>
                    <w:autoSpaceDE w:val="0"/>
                    <w:autoSpaceDN w:val="0"/>
                    <w:adjustRightInd w:val="0"/>
                    <w:spacing w:before="18"/>
                    <w:ind w:left="113"/>
                    <w:rPr>
                      <w:b/>
                      <w:bCs/>
                      <w:i/>
                      <w:iCs/>
                      <w:color w:val="000000" w:themeColor="text1"/>
                    </w:rPr>
                  </w:pPr>
                </w:p>
                <w:p w:rsidR="006C14B1" w:rsidRPr="006C14B1" w:rsidRDefault="006C14B1" w:rsidP="006C14B1">
                  <w:pPr>
                    <w:widowControl w:val="0"/>
                    <w:kinsoku w:val="0"/>
                    <w:overflowPunct w:val="0"/>
                    <w:autoSpaceDE w:val="0"/>
                    <w:autoSpaceDN w:val="0"/>
                    <w:adjustRightInd w:val="0"/>
                    <w:spacing w:before="33"/>
                    <w:rPr>
                      <w:b/>
                      <w:bCs/>
                      <w:i/>
                      <w:iCs/>
                      <w:color w:val="000000" w:themeColor="text1"/>
                    </w:rPr>
                  </w:pPr>
                </w:p>
              </w:tc>
              <w:tc>
                <w:tcPr>
                  <w:tcW w:w="1865" w:type="dxa"/>
                  <w:tcBorders>
                    <w:top w:val="single" w:sz="12" w:space="0" w:color="auto"/>
                    <w:left w:val="single" w:sz="12" w:space="0" w:color="auto"/>
                    <w:right w:val="single" w:sz="12" w:space="0" w:color="auto"/>
                  </w:tcBorders>
                  <w:shd w:val="clear" w:color="auto" w:fill="FFFFFF"/>
                  <w:vAlign w:val="center"/>
                </w:tcPr>
                <w:p w:rsidR="006C14B1" w:rsidRPr="006C14B1" w:rsidRDefault="006C14B1" w:rsidP="006C14B1">
                  <w:pPr>
                    <w:widowControl w:val="0"/>
                    <w:kinsoku w:val="0"/>
                    <w:overflowPunct w:val="0"/>
                    <w:autoSpaceDE w:val="0"/>
                    <w:autoSpaceDN w:val="0"/>
                    <w:adjustRightInd w:val="0"/>
                    <w:spacing w:before="47" w:line="247" w:lineRule="auto"/>
                    <w:ind w:left="64" w:right="61" w:hanging="4"/>
                    <w:jc w:val="center"/>
                    <w:rPr>
                      <w:color w:val="000000" w:themeColor="text1"/>
                    </w:rPr>
                  </w:pPr>
                  <w:r w:rsidRPr="006C14B1">
                    <w:rPr>
                      <w:color w:val="000000" w:themeColor="text1"/>
                    </w:rPr>
                    <w:t>3</w:t>
                  </w:r>
                </w:p>
              </w:tc>
              <w:tc>
                <w:tcPr>
                  <w:tcW w:w="1984" w:type="dxa"/>
                  <w:tcBorders>
                    <w:top w:val="single" w:sz="12" w:space="0" w:color="auto"/>
                    <w:left w:val="single" w:sz="12" w:space="0" w:color="auto"/>
                    <w:right w:val="single" w:sz="12" w:space="0" w:color="auto"/>
                  </w:tcBorders>
                  <w:shd w:val="clear" w:color="auto" w:fill="FFFFFF"/>
                  <w:vAlign w:val="center"/>
                </w:tcPr>
                <w:p w:rsidR="006C14B1" w:rsidRPr="006C14B1" w:rsidRDefault="006C14B1" w:rsidP="006C14B1">
                  <w:pPr>
                    <w:widowControl w:val="0"/>
                    <w:kinsoku w:val="0"/>
                    <w:overflowPunct w:val="0"/>
                    <w:autoSpaceDE w:val="0"/>
                    <w:autoSpaceDN w:val="0"/>
                    <w:adjustRightInd w:val="0"/>
                    <w:spacing w:before="33"/>
                    <w:ind w:left="21" w:right="21"/>
                    <w:jc w:val="center"/>
                    <w:rPr>
                      <w:color w:val="000000" w:themeColor="text1"/>
                    </w:rPr>
                  </w:pPr>
                  <w:r w:rsidRPr="006C14B1">
                    <w:rPr>
                      <w:color w:val="000000" w:themeColor="text1"/>
                    </w:rPr>
                    <w:t>1</w:t>
                  </w:r>
                </w:p>
              </w:tc>
            </w:tr>
            <w:tr w:rsidR="006C14B1" w:rsidRPr="006C14B1" w:rsidTr="00AA077D">
              <w:trPr>
                <w:trHeight w:val="1939"/>
              </w:trPr>
              <w:tc>
                <w:tcPr>
                  <w:tcW w:w="471" w:type="dxa"/>
                  <w:tcBorders>
                    <w:top w:val="single" w:sz="12" w:space="0" w:color="auto"/>
                    <w:left w:val="single" w:sz="12" w:space="0" w:color="auto"/>
                    <w:right w:val="single" w:sz="12" w:space="0" w:color="auto"/>
                  </w:tcBorders>
                  <w:shd w:val="clear" w:color="auto" w:fill="D9D9D9"/>
                  <w:textDirection w:val="btLr"/>
                  <w:vAlign w:val="center"/>
                </w:tcPr>
                <w:p w:rsidR="006C14B1" w:rsidRPr="006C14B1" w:rsidRDefault="006C14B1" w:rsidP="006C14B1">
                  <w:pPr>
                    <w:widowControl w:val="0"/>
                    <w:kinsoku w:val="0"/>
                    <w:overflowPunct w:val="0"/>
                    <w:autoSpaceDE w:val="0"/>
                    <w:autoSpaceDN w:val="0"/>
                    <w:adjustRightInd w:val="0"/>
                    <w:spacing w:before="33"/>
                    <w:ind w:left="113" w:right="113"/>
                    <w:jc w:val="center"/>
                    <w:rPr>
                      <w:b/>
                      <w:bCs/>
                      <w:i/>
                      <w:iCs/>
                      <w:color w:val="000000" w:themeColor="text1"/>
                    </w:rPr>
                  </w:pPr>
                  <w:r w:rsidRPr="006C14B1">
                    <w:rPr>
                      <w:b/>
                      <w:bCs/>
                      <w:i/>
                      <w:iCs/>
                      <w:color w:val="000000" w:themeColor="text1"/>
                    </w:rPr>
                    <w:t>Съгласуваност</w:t>
                  </w:r>
                </w:p>
              </w:tc>
              <w:tc>
                <w:tcPr>
                  <w:tcW w:w="1786" w:type="dxa"/>
                  <w:tcBorders>
                    <w:top w:val="single" w:sz="12" w:space="0" w:color="auto"/>
                    <w:left w:val="single" w:sz="12" w:space="0" w:color="auto"/>
                    <w:right w:val="single" w:sz="12" w:space="0" w:color="auto"/>
                  </w:tcBorders>
                  <w:shd w:val="clear" w:color="auto" w:fill="FFFFFF"/>
                  <w:vAlign w:val="center"/>
                </w:tcPr>
                <w:p w:rsidR="006C14B1" w:rsidRPr="006C14B1" w:rsidRDefault="006C14B1" w:rsidP="006C14B1">
                  <w:pPr>
                    <w:widowControl w:val="0"/>
                    <w:kinsoku w:val="0"/>
                    <w:overflowPunct w:val="0"/>
                    <w:autoSpaceDE w:val="0"/>
                    <w:autoSpaceDN w:val="0"/>
                    <w:adjustRightInd w:val="0"/>
                    <w:spacing w:before="28"/>
                    <w:ind w:left="113"/>
                    <w:rPr>
                      <w:color w:val="000000" w:themeColor="text1"/>
                      <w:w w:val="105"/>
                      <w:sz w:val="18"/>
                      <w:szCs w:val="18"/>
                    </w:rPr>
                  </w:pPr>
                  <w:r w:rsidRPr="006C14B1">
                    <w:rPr>
                      <w:color w:val="000000" w:themeColor="text1"/>
                      <w:w w:val="105"/>
                    </w:rPr>
                    <w:t xml:space="preserve">Цел 1: </w:t>
                  </w:r>
                  <w:r w:rsidRPr="006C14B1">
                    <w:rPr>
                      <w:b/>
                      <w:color w:val="000000" w:themeColor="text1"/>
                      <w:sz w:val="18"/>
                      <w:szCs w:val="18"/>
                    </w:rPr>
                    <w:t>„П</w:t>
                  </w:r>
                  <w:r w:rsidRPr="006C14B1">
                    <w:rPr>
                      <w:rFonts w:eastAsiaTheme="minorHAnsi"/>
                      <w:b/>
                      <w:color w:val="000000" w:themeColor="text1"/>
                      <w:sz w:val="18"/>
                      <w:szCs w:val="18"/>
                    </w:rPr>
                    <w:t xml:space="preserve">рецизиране и адаптиране на механизма за </w:t>
                  </w:r>
                  <w:r w:rsidRPr="006C14B1">
                    <w:rPr>
                      <w:rFonts w:eastAsiaTheme="minorHAnsi" w:cstheme="minorBidi"/>
                      <w:b/>
                      <w:color w:val="000000" w:themeColor="text1"/>
                      <w:sz w:val="18"/>
                      <w:szCs w:val="18"/>
                    </w:rPr>
                    <w:t>изчисляване на размера на нетните разходи и определяне на несправедливата финансова тежест от предоставянето на универсалната пощенска услуга“</w:t>
                  </w:r>
                </w:p>
                <w:p w:rsidR="006C14B1" w:rsidRPr="006C14B1" w:rsidDel="00512211" w:rsidRDefault="006C14B1" w:rsidP="006C14B1">
                  <w:pPr>
                    <w:widowControl w:val="0"/>
                    <w:kinsoku w:val="0"/>
                    <w:overflowPunct w:val="0"/>
                    <w:autoSpaceDE w:val="0"/>
                    <w:autoSpaceDN w:val="0"/>
                    <w:adjustRightInd w:val="0"/>
                    <w:spacing w:before="33"/>
                    <w:ind w:left="113"/>
                    <w:rPr>
                      <w:b/>
                      <w:bCs/>
                      <w:i/>
                      <w:iCs/>
                      <w:color w:val="000000" w:themeColor="text1"/>
                    </w:rPr>
                  </w:pPr>
                </w:p>
                <w:p w:rsidR="006C14B1" w:rsidRPr="006C14B1" w:rsidRDefault="006C14B1" w:rsidP="006C14B1">
                  <w:pPr>
                    <w:widowControl w:val="0"/>
                    <w:kinsoku w:val="0"/>
                    <w:overflowPunct w:val="0"/>
                    <w:autoSpaceDE w:val="0"/>
                    <w:autoSpaceDN w:val="0"/>
                    <w:adjustRightInd w:val="0"/>
                    <w:spacing w:before="33"/>
                    <w:ind w:left="113"/>
                    <w:rPr>
                      <w:b/>
                      <w:bCs/>
                      <w:i/>
                      <w:iCs/>
                      <w:color w:val="000000" w:themeColor="text1"/>
                    </w:rPr>
                  </w:pPr>
                </w:p>
              </w:tc>
              <w:tc>
                <w:tcPr>
                  <w:tcW w:w="1865" w:type="dxa"/>
                  <w:tcBorders>
                    <w:top w:val="single" w:sz="12" w:space="0" w:color="auto"/>
                    <w:left w:val="single" w:sz="12" w:space="0" w:color="auto"/>
                    <w:right w:val="single" w:sz="12" w:space="0" w:color="auto"/>
                  </w:tcBorders>
                  <w:shd w:val="clear" w:color="auto" w:fill="FFFFFF"/>
                  <w:vAlign w:val="center"/>
                </w:tcPr>
                <w:p w:rsidR="006C14B1" w:rsidRPr="006C14B1" w:rsidRDefault="006C14B1" w:rsidP="006C14B1">
                  <w:pPr>
                    <w:widowControl w:val="0"/>
                    <w:kinsoku w:val="0"/>
                    <w:overflowPunct w:val="0"/>
                    <w:autoSpaceDE w:val="0"/>
                    <w:autoSpaceDN w:val="0"/>
                    <w:adjustRightInd w:val="0"/>
                    <w:spacing w:before="47" w:line="247" w:lineRule="auto"/>
                    <w:ind w:left="64" w:right="61" w:hanging="4"/>
                    <w:jc w:val="center"/>
                    <w:rPr>
                      <w:color w:val="000000" w:themeColor="text1"/>
                    </w:rPr>
                  </w:pPr>
                  <w:r w:rsidRPr="006C14B1">
                    <w:rPr>
                      <w:color w:val="000000" w:themeColor="text1"/>
                    </w:rPr>
                    <w:t>3</w:t>
                  </w:r>
                </w:p>
              </w:tc>
              <w:tc>
                <w:tcPr>
                  <w:tcW w:w="1984" w:type="dxa"/>
                  <w:tcBorders>
                    <w:top w:val="single" w:sz="12" w:space="0" w:color="auto"/>
                    <w:left w:val="single" w:sz="12" w:space="0" w:color="auto"/>
                    <w:right w:val="single" w:sz="12" w:space="0" w:color="auto"/>
                  </w:tcBorders>
                  <w:shd w:val="clear" w:color="auto" w:fill="FFFFFF"/>
                  <w:vAlign w:val="center"/>
                </w:tcPr>
                <w:p w:rsidR="006C14B1" w:rsidRPr="006C14B1" w:rsidRDefault="006C14B1" w:rsidP="006C14B1">
                  <w:pPr>
                    <w:widowControl w:val="0"/>
                    <w:kinsoku w:val="0"/>
                    <w:overflowPunct w:val="0"/>
                    <w:autoSpaceDE w:val="0"/>
                    <w:autoSpaceDN w:val="0"/>
                    <w:adjustRightInd w:val="0"/>
                    <w:spacing w:before="47" w:line="247" w:lineRule="auto"/>
                    <w:ind w:left="21" w:right="16"/>
                    <w:jc w:val="center"/>
                    <w:rPr>
                      <w:color w:val="000000" w:themeColor="text1"/>
                    </w:rPr>
                  </w:pPr>
                  <w:r w:rsidRPr="006C14B1">
                    <w:rPr>
                      <w:color w:val="000000" w:themeColor="text1"/>
                    </w:rPr>
                    <w:t>1</w:t>
                  </w:r>
                </w:p>
              </w:tc>
            </w:tr>
          </w:tbl>
          <w:p w:rsidR="006C14B1" w:rsidRPr="006C14B1" w:rsidRDefault="006C14B1" w:rsidP="006C14B1">
            <w:pPr>
              <w:spacing w:after="120"/>
              <w:jc w:val="center"/>
              <w:rPr>
                <w:i/>
                <w:color w:val="000000" w:themeColor="text1"/>
              </w:rPr>
            </w:pPr>
          </w:p>
          <w:p w:rsidR="006C14B1" w:rsidRPr="006C14B1" w:rsidRDefault="006C14B1" w:rsidP="006C14B1">
            <w:pPr>
              <w:spacing w:after="120"/>
              <w:jc w:val="center"/>
              <w:rPr>
                <w:i/>
                <w:color w:val="000000" w:themeColor="text1"/>
                <w:sz w:val="16"/>
                <w:szCs w:val="16"/>
              </w:rPr>
            </w:pPr>
            <w:r w:rsidRPr="006C14B1">
              <w:rPr>
                <w:i/>
                <w:color w:val="000000" w:themeColor="text1"/>
                <w:sz w:val="16"/>
                <w:szCs w:val="16"/>
              </w:rPr>
              <w:t>1.1. Сравнете вариантите чрез сравняване на ключовите им положителни и отрицателни въздействия.</w:t>
            </w:r>
          </w:p>
          <w:p w:rsidR="006C14B1" w:rsidRPr="006C14B1" w:rsidRDefault="006C14B1" w:rsidP="006C14B1">
            <w:pPr>
              <w:spacing w:after="120"/>
              <w:jc w:val="center"/>
              <w:rPr>
                <w:i/>
                <w:color w:val="000000" w:themeColor="text1"/>
                <w:sz w:val="16"/>
                <w:szCs w:val="16"/>
              </w:rPr>
            </w:pPr>
            <w:r w:rsidRPr="006C14B1">
              <w:rPr>
                <w:i/>
                <w:color w:val="000000" w:themeColor="text1"/>
                <w:sz w:val="16"/>
                <w:szCs w:val="16"/>
              </w:rPr>
              <w:t>1.2. Посочете степента, в която вариантите ще изпълнят определените цели, съгласно основните критерии за сравняване на вариантите:</w:t>
            </w:r>
          </w:p>
          <w:p w:rsidR="006C14B1" w:rsidRPr="006C14B1" w:rsidRDefault="006C14B1" w:rsidP="006C14B1">
            <w:pPr>
              <w:spacing w:after="120"/>
              <w:jc w:val="center"/>
              <w:rPr>
                <w:i/>
                <w:color w:val="000000" w:themeColor="text1"/>
                <w:sz w:val="16"/>
                <w:szCs w:val="16"/>
              </w:rPr>
            </w:pPr>
            <w:r w:rsidRPr="006C14B1">
              <w:rPr>
                <w:i/>
                <w:color w:val="000000" w:themeColor="text1"/>
                <w:sz w:val="16"/>
                <w:szCs w:val="16"/>
              </w:rPr>
              <w:t>ефективност, чрез която се измерва степента, до която вариантите постигат целите на предложението;</w:t>
            </w:r>
          </w:p>
          <w:p w:rsidR="006C14B1" w:rsidRPr="006C14B1" w:rsidRDefault="006C14B1" w:rsidP="006C14B1">
            <w:pPr>
              <w:spacing w:after="120"/>
              <w:jc w:val="center"/>
              <w:rPr>
                <w:i/>
                <w:color w:val="000000" w:themeColor="text1"/>
                <w:sz w:val="16"/>
                <w:szCs w:val="16"/>
              </w:rPr>
            </w:pPr>
            <w:r w:rsidRPr="006C14B1">
              <w:rPr>
                <w:i/>
                <w:color w:val="000000" w:themeColor="text1"/>
                <w:sz w:val="16"/>
                <w:szCs w:val="16"/>
              </w:rPr>
              <w:t>ефикасност, която отразява степента, до която целите могат да бъдат постигнати при определено ниво на ресурсите или при най-малко разходи;</w:t>
            </w:r>
          </w:p>
          <w:p w:rsidR="006C14B1" w:rsidRPr="006C14B1" w:rsidRDefault="006C14B1" w:rsidP="006C14B1">
            <w:pPr>
              <w:spacing w:after="120"/>
              <w:jc w:val="center"/>
              <w:rPr>
                <w:b/>
                <w:i/>
                <w:color w:val="000000" w:themeColor="text1"/>
                <w:sz w:val="16"/>
                <w:szCs w:val="16"/>
              </w:rPr>
            </w:pPr>
            <w:r w:rsidRPr="006C14B1">
              <w:rPr>
                <w:i/>
                <w:color w:val="000000" w:themeColor="text1"/>
                <w:sz w:val="16"/>
                <w:szCs w:val="16"/>
              </w:rPr>
              <w:t>съгласуваност, която показва степента, до която вариантите съответстват на действащите стратегически документи.</w:t>
            </w:r>
          </w:p>
        </w:tc>
      </w:tr>
      <w:tr w:rsidR="006C14B1" w:rsidRPr="006C14B1" w:rsidTr="00AA077D">
        <w:tc>
          <w:tcPr>
            <w:tcW w:w="10266" w:type="dxa"/>
            <w:gridSpan w:val="3"/>
          </w:tcPr>
          <w:p w:rsidR="006C14B1" w:rsidRPr="006C14B1" w:rsidRDefault="006C14B1" w:rsidP="006C14B1">
            <w:pPr>
              <w:spacing w:before="120" w:after="120"/>
              <w:jc w:val="both"/>
              <w:rPr>
                <w:b/>
                <w:color w:val="000000" w:themeColor="text1"/>
                <w:sz w:val="24"/>
                <w:szCs w:val="24"/>
              </w:rPr>
            </w:pPr>
            <w:r w:rsidRPr="006C14B1">
              <w:rPr>
                <w:b/>
                <w:color w:val="000000" w:themeColor="text1"/>
                <w:sz w:val="24"/>
                <w:szCs w:val="24"/>
              </w:rPr>
              <w:t>5.</w:t>
            </w:r>
            <w:r w:rsidRPr="006C14B1">
              <w:rPr>
                <w:b/>
                <w:color w:val="000000" w:themeColor="text1"/>
                <w:sz w:val="24"/>
                <w:szCs w:val="24"/>
                <w:lang w:val="en-US"/>
              </w:rPr>
              <w:t>n</w:t>
            </w:r>
            <w:r w:rsidRPr="006C14B1">
              <w:rPr>
                <w:b/>
                <w:color w:val="000000" w:themeColor="text1"/>
                <w:sz w:val="24"/>
                <w:szCs w:val="24"/>
              </w:rPr>
              <w:t>. По проблем n:</w:t>
            </w:r>
          </w:p>
          <w:p w:rsidR="006C14B1" w:rsidRPr="006C14B1" w:rsidRDefault="006C14B1" w:rsidP="006C14B1">
            <w:pPr>
              <w:spacing w:before="120" w:after="120"/>
              <w:jc w:val="center"/>
              <w:rPr>
                <w:color w:val="000000" w:themeColor="text1"/>
                <w:sz w:val="24"/>
                <w:szCs w:val="24"/>
              </w:rPr>
            </w:pPr>
            <w:r w:rsidRPr="006C14B1">
              <w:rPr>
                <w:i/>
                <w:color w:val="000000" w:themeColor="text1"/>
                <w:sz w:val="16"/>
                <w:szCs w:val="16"/>
              </w:rPr>
              <w:t>* При повече от един поставен проблем мултиплицирайте таблицата за всеки отделен проблем.</w:t>
            </w:r>
          </w:p>
        </w:tc>
      </w:tr>
      <w:tr w:rsidR="006C14B1" w:rsidRPr="006C14B1" w:rsidTr="00AA077D">
        <w:tc>
          <w:tcPr>
            <w:tcW w:w="10266" w:type="dxa"/>
            <w:gridSpan w:val="3"/>
          </w:tcPr>
          <w:p w:rsidR="006C14B1" w:rsidRPr="006C14B1" w:rsidRDefault="006C14B1" w:rsidP="006C14B1">
            <w:pPr>
              <w:spacing w:before="120" w:after="120"/>
              <w:jc w:val="both"/>
              <w:rPr>
                <w:b/>
                <w:color w:val="000000" w:themeColor="text1"/>
                <w:sz w:val="24"/>
                <w:szCs w:val="24"/>
              </w:rPr>
            </w:pPr>
            <w:r w:rsidRPr="006C14B1">
              <w:rPr>
                <w:b/>
                <w:color w:val="000000" w:themeColor="text1"/>
                <w:sz w:val="24"/>
                <w:szCs w:val="24"/>
              </w:rPr>
              <w:t>6. Избор на препоръчителен вариант:</w:t>
            </w:r>
          </w:p>
          <w:p w:rsidR="006C14B1" w:rsidRPr="006C14B1" w:rsidRDefault="006C14B1" w:rsidP="006C14B1">
            <w:pPr>
              <w:spacing w:before="120" w:after="120"/>
              <w:jc w:val="both"/>
              <w:rPr>
                <w:color w:val="000000" w:themeColor="text1"/>
                <w:sz w:val="24"/>
                <w:szCs w:val="24"/>
              </w:rPr>
            </w:pPr>
            <w:r w:rsidRPr="006C14B1">
              <w:rPr>
                <w:b/>
                <w:color w:val="000000" w:themeColor="text1"/>
                <w:sz w:val="24"/>
                <w:szCs w:val="24"/>
              </w:rPr>
              <w:t xml:space="preserve">По проблем 1: Вариант 2 „Приемане на проекта на Постановление на Министерския съвет за изменение на Методика за изчисляване на нетните разходи от извършване на универсалната пощенска услуга и за определяне на критерии за наличие на несправедлива финансова тежест“ </w:t>
            </w:r>
            <w:r w:rsidRPr="006C14B1">
              <w:rPr>
                <w:color w:val="000000" w:themeColor="text1"/>
                <w:sz w:val="24"/>
                <w:szCs w:val="24"/>
              </w:rPr>
              <w:t>е препоръчителен вариант на действие спрямо решаването на посочения проблем. Вариант 2 се отличава с най-висока степен на ефективност, ефикасност и съгласуваност, с оглед на справедливото компенсиране на оператора със задължението за предоставяне на УПУ в Република България.</w:t>
            </w:r>
          </w:p>
          <w:p w:rsidR="006C14B1" w:rsidRPr="006C14B1" w:rsidRDefault="006C14B1" w:rsidP="006C14B1">
            <w:pPr>
              <w:spacing w:after="120"/>
              <w:jc w:val="center"/>
              <w:rPr>
                <w:color w:val="000000" w:themeColor="text1"/>
                <w:sz w:val="24"/>
                <w:szCs w:val="24"/>
              </w:rPr>
            </w:pPr>
            <w:r w:rsidRPr="006C14B1">
              <w:rPr>
                <w:i/>
                <w:color w:val="000000" w:themeColor="text1"/>
                <w:sz w:val="16"/>
                <w:szCs w:val="16"/>
              </w:rPr>
              <w:t>Посочете препоръчителните варианти за решаване на поставения проблем/проблеми.</w:t>
            </w:r>
          </w:p>
        </w:tc>
      </w:tr>
      <w:tr w:rsidR="006C14B1" w:rsidRPr="006C14B1" w:rsidTr="00AA077D">
        <w:tc>
          <w:tcPr>
            <w:tcW w:w="10266" w:type="dxa"/>
            <w:gridSpan w:val="3"/>
          </w:tcPr>
          <w:p w:rsidR="006C14B1" w:rsidRPr="006C14B1" w:rsidRDefault="006C14B1" w:rsidP="006C14B1">
            <w:pPr>
              <w:rPr>
                <w:b/>
                <w:color w:val="000000" w:themeColor="text1"/>
                <w:sz w:val="24"/>
                <w:szCs w:val="24"/>
              </w:rPr>
            </w:pPr>
            <w:r w:rsidRPr="006C14B1">
              <w:rPr>
                <w:b/>
                <w:color w:val="000000" w:themeColor="text1"/>
                <w:sz w:val="24"/>
                <w:szCs w:val="24"/>
              </w:rPr>
              <w:t>6.1. Промяна в административната тежест за физическите и юридическите лица от прилагането на препоръчителния вариант (включително по отделните проблеми):</w:t>
            </w:r>
          </w:p>
          <w:p w:rsidR="006C14B1" w:rsidRPr="006C14B1" w:rsidRDefault="006C14B1" w:rsidP="006C14B1">
            <w:pPr>
              <w:rPr>
                <w:b/>
                <w:color w:val="000000" w:themeColor="text1"/>
                <w:sz w:val="24"/>
                <w:szCs w:val="24"/>
              </w:rPr>
            </w:pPr>
            <w:r w:rsidRPr="006C14B1">
              <w:rPr>
                <w:b/>
                <w:color w:val="000000" w:themeColor="text1"/>
                <w:sz w:val="24"/>
                <w:szCs w:val="24"/>
              </w:rPr>
              <w:t>По проблем 1 „П</w:t>
            </w:r>
            <w:r w:rsidRPr="006C14B1">
              <w:rPr>
                <w:rFonts w:eastAsiaTheme="minorHAnsi" w:cstheme="minorBidi"/>
                <w:b/>
                <w:color w:val="000000" w:themeColor="text1"/>
                <w:sz w:val="24"/>
                <w:szCs w:val="24"/>
              </w:rPr>
              <w:t>рецизиране и адаптиране на механизма за компенсиране на несправедливата финансова тежест от предоставянето на универсалната пощенска услуга“</w:t>
            </w:r>
          </w:p>
          <w:p w:rsidR="006C14B1" w:rsidRPr="006C14B1" w:rsidRDefault="006C14B1" w:rsidP="006C14B1">
            <w:pPr>
              <w:spacing w:before="120" w:after="120"/>
              <w:rPr>
                <w:color w:val="000000" w:themeColor="text1"/>
                <w:sz w:val="24"/>
                <w:szCs w:val="24"/>
              </w:rPr>
            </w:pPr>
            <w:r w:rsidRPr="006C14B1">
              <w:rPr>
                <w:color w:val="000000" w:themeColor="text1"/>
                <w:sz w:val="24"/>
                <w:szCs w:val="24"/>
              </w:rPr>
              <w:object w:dxaOrig="225" w:dyaOrig="225" w14:anchorId="692F8929">
                <v:shape id="_x0000_i1063" type="#_x0000_t75" style="width:108pt;height:18pt" o:ole="">
                  <v:imagedata r:id="rId10" o:title=""/>
                </v:shape>
                <w:control r:id="rId11" w:name="OptionButton3" w:shapeid="_x0000_i1063"/>
              </w:object>
            </w:r>
          </w:p>
          <w:p w:rsidR="006C14B1" w:rsidRPr="006C14B1" w:rsidRDefault="006C14B1" w:rsidP="006C14B1">
            <w:pPr>
              <w:rPr>
                <w:color w:val="000000" w:themeColor="text1"/>
                <w:sz w:val="24"/>
                <w:szCs w:val="24"/>
              </w:rPr>
            </w:pPr>
            <w:r w:rsidRPr="006C14B1">
              <w:rPr>
                <w:color w:val="000000" w:themeColor="text1"/>
                <w:sz w:val="24"/>
                <w:szCs w:val="24"/>
                <w:lang w:val="en-GB"/>
              </w:rPr>
              <w:object w:dxaOrig="225" w:dyaOrig="225" w14:anchorId="5FADE0CE">
                <v:shape id="_x0000_i1065" type="#_x0000_t75" style="width:108pt;height:18pt" o:ole="">
                  <v:imagedata r:id="rId12" o:title=""/>
                </v:shape>
                <w:control r:id="rId13" w:name="OptionButton4" w:shapeid="_x0000_i1065"/>
              </w:object>
            </w:r>
          </w:p>
          <w:p w:rsidR="006C14B1" w:rsidRPr="006C14B1" w:rsidRDefault="006C14B1" w:rsidP="006C14B1">
            <w:pPr>
              <w:spacing w:before="120" w:after="120"/>
              <w:rPr>
                <w:color w:val="000000" w:themeColor="text1"/>
                <w:sz w:val="24"/>
                <w:szCs w:val="24"/>
              </w:rPr>
            </w:pPr>
            <w:r w:rsidRPr="006C14B1">
              <w:rPr>
                <w:color w:val="000000" w:themeColor="text1"/>
                <w:sz w:val="24"/>
                <w:szCs w:val="24"/>
                <w:lang w:val="en-GB"/>
              </w:rPr>
              <w:object w:dxaOrig="225" w:dyaOrig="225" w14:anchorId="2C9622CB">
                <v:shape id="_x0000_i1067" type="#_x0000_t75" style="width:108pt;height:18pt" o:ole="">
                  <v:imagedata r:id="rId14" o:title=""/>
                </v:shape>
                <w:control r:id="rId15" w:name="OptionButton5" w:shapeid="_x0000_i1067"/>
              </w:object>
            </w:r>
          </w:p>
          <w:p w:rsidR="006C14B1" w:rsidRPr="006C14B1" w:rsidRDefault="006C14B1" w:rsidP="006C14B1">
            <w:pPr>
              <w:spacing w:after="120"/>
              <w:jc w:val="center"/>
              <w:rPr>
                <w:i/>
                <w:color w:val="000000" w:themeColor="text1"/>
                <w:sz w:val="16"/>
                <w:szCs w:val="16"/>
              </w:rPr>
            </w:pPr>
            <w:r w:rsidRPr="006C14B1">
              <w:rPr>
                <w:i/>
                <w:color w:val="000000" w:themeColor="text1"/>
                <w:sz w:val="16"/>
                <w:szCs w:val="16"/>
              </w:rPr>
              <w:t>1.1. Изборът следва да е съотносим с посочените специфични въздействия на препоръчителния вариант за решаване на всеки проблем.</w:t>
            </w:r>
          </w:p>
          <w:p w:rsidR="006C14B1" w:rsidRPr="006C14B1" w:rsidRDefault="006C14B1" w:rsidP="006C14B1">
            <w:pPr>
              <w:spacing w:after="120"/>
              <w:jc w:val="center"/>
              <w:rPr>
                <w:i/>
                <w:color w:val="000000" w:themeColor="text1"/>
              </w:rPr>
            </w:pPr>
            <w:r w:rsidRPr="006C14B1">
              <w:rPr>
                <w:i/>
                <w:color w:val="000000" w:themeColor="text1"/>
                <w:sz w:val="16"/>
                <w:szCs w:val="16"/>
              </w:rPr>
              <w:t>1.2. Ако се предвижда въвеждането на такса, представете образуването на нейния размер съгласно Методиката по чл. 7а от Закона за ограничаване на административното регулиране и административния контрол върху стопанската дейност.</w:t>
            </w:r>
          </w:p>
        </w:tc>
      </w:tr>
      <w:tr w:rsidR="006C14B1" w:rsidRPr="006C14B1" w:rsidTr="00AA077D">
        <w:tc>
          <w:tcPr>
            <w:tcW w:w="10266" w:type="dxa"/>
            <w:gridSpan w:val="3"/>
          </w:tcPr>
          <w:p w:rsidR="006C14B1" w:rsidRPr="006C14B1" w:rsidRDefault="006C14B1" w:rsidP="006C14B1">
            <w:pPr>
              <w:spacing w:before="120" w:after="120"/>
              <w:rPr>
                <w:b/>
                <w:color w:val="000000" w:themeColor="text1"/>
                <w:sz w:val="24"/>
                <w:szCs w:val="24"/>
              </w:rPr>
            </w:pPr>
            <w:r w:rsidRPr="006C14B1">
              <w:rPr>
                <w:b/>
                <w:color w:val="000000" w:themeColor="text1"/>
                <w:sz w:val="24"/>
                <w:szCs w:val="24"/>
              </w:rPr>
              <w:t>6.2. Създават ли се нови/засягат ли се съществуващи регулаторни режими и услуги от прилагането на препоръчителния вариант (включително по отделните проблеми)?</w:t>
            </w:r>
          </w:p>
          <w:p w:rsidR="006C14B1" w:rsidRPr="006C14B1" w:rsidRDefault="006C14B1" w:rsidP="006C14B1">
            <w:pPr>
              <w:spacing w:before="120" w:after="120"/>
              <w:rPr>
                <w:color w:val="000000" w:themeColor="text1"/>
                <w:sz w:val="24"/>
                <w:szCs w:val="24"/>
                <w:lang w:val="en-GB"/>
              </w:rPr>
            </w:pPr>
            <w:r w:rsidRPr="006C14B1">
              <w:rPr>
                <w:color w:val="000000" w:themeColor="text1"/>
                <w:sz w:val="24"/>
                <w:szCs w:val="24"/>
                <w:lang w:val="en-GB"/>
              </w:rPr>
              <w:object w:dxaOrig="225" w:dyaOrig="225" w14:anchorId="16C18510">
                <v:shape id="_x0000_i1069" type="#_x0000_t75" style="width:108pt;height:18pt" o:ole="">
                  <v:imagedata r:id="rId16" o:title=""/>
                </v:shape>
                <w:control r:id="rId17" w:name="OptionButton16" w:shapeid="_x0000_i1069"/>
              </w:object>
            </w:r>
          </w:p>
          <w:p w:rsidR="006C14B1" w:rsidRPr="006C14B1" w:rsidRDefault="006C14B1" w:rsidP="006C14B1">
            <w:pPr>
              <w:spacing w:before="120" w:after="120"/>
              <w:rPr>
                <w:color w:val="000000" w:themeColor="text1"/>
                <w:sz w:val="24"/>
                <w:szCs w:val="24"/>
              </w:rPr>
            </w:pPr>
            <w:r w:rsidRPr="006C14B1">
              <w:rPr>
                <w:color w:val="000000" w:themeColor="text1"/>
                <w:sz w:val="24"/>
                <w:szCs w:val="24"/>
              </w:rPr>
              <w:t>…………………………………………………………………..……………………… ………………………………………………………………………………………….</w:t>
            </w:r>
          </w:p>
          <w:p w:rsidR="006C14B1" w:rsidRPr="006C14B1" w:rsidRDefault="006C14B1" w:rsidP="006C14B1">
            <w:pPr>
              <w:spacing w:before="120" w:after="120"/>
              <w:rPr>
                <w:color w:val="000000" w:themeColor="text1"/>
                <w:sz w:val="24"/>
                <w:szCs w:val="24"/>
              </w:rPr>
            </w:pPr>
            <w:r w:rsidRPr="006C14B1">
              <w:rPr>
                <w:color w:val="000000" w:themeColor="text1"/>
                <w:sz w:val="24"/>
                <w:szCs w:val="24"/>
                <w:lang w:val="en-GB"/>
              </w:rPr>
              <w:object w:dxaOrig="225" w:dyaOrig="225" w14:anchorId="191A7CF3">
                <v:shape id="_x0000_i1071" type="#_x0000_t75" style="width:108pt;height:18pt" o:ole="">
                  <v:imagedata r:id="rId18" o:title=""/>
                </v:shape>
                <w:control r:id="rId19" w:name="OptionButton17" w:shapeid="_x0000_i1071"/>
              </w:object>
            </w:r>
          </w:p>
          <w:p w:rsidR="006C14B1" w:rsidRPr="006C14B1" w:rsidRDefault="006C14B1" w:rsidP="006C14B1">
            <w:pPr>
              <w:spacing w:after="120"/>
              <w:jc w:val="center"/>
              <w:rPr>
                <w:i/>
                <w:color w:val="000000" w:themeColor="text1"/>
                <w:sz w:val="16"/>
                <w:szCs w:val="16"/>
              </w:rPr>
            </w:pPr>
            <w:r w:rsidRPr="006C14B1">
              <w:rPr>
                <w:i/>
                <w:color w:val="000000" w:themeColor="text1"/>
                <w:sz w:val="16"/>
                <w:szCs w:val="16"/>
              </w:rPr>
              <w:t>1.1. Изборът следва да е съотносим с посочените специфични въздействия на избрания вариант.</w:t>
            </w:r>
          </w:p>
          <w:p w:rsidR="006C14B1" w:rsidRPr="006C14B1" w:rsidRDefault="006C14B1" w:rsidP="006C14B1">
            <w:pPr>
              <w:spacing w:after="120"/>
              <w:jc w:val="center"/>
              <w:rPr>
                <w:i/>
                <w:color w:val="000000" w:themeColor="text1"/>
                <w:sz w:val="16"/>
                <w:szCs w:val="16"/>
              </w:rPr>
            </w:pPr>
            <w:r w:rsidRPr="006C14B1">
              <w:rPr>
                <w:i/>
                <w:color w:val="000000" w:themeColor="text1"/>
                <w:sz w:val="16"/>
                <w:szCs w:val="16"/>
              </w:rPr>
              <w:t>1.2. В случай че се предвижда създаване нов регулаторен режим, посочете неговия вид (за стопанска дейност: лицензионен, регистрационен; за отделна стелка или действие: разрешителен, уведомителен; удостоверителен и по какъв начин това съответства с постигането на целите).</w:t>
            </w:r>
          </w:p>
          <w:p w:rsidR="006C14B1" w:rsidRPr="006C14B1" w:rsidRDefault="006C14B1" w:rsidP="006C14B1">
            <w:pPr>
              <w:spacing w:after="120"/>
              <w:jc w:val="center"/>
              <w:rPr>
                <w:i/>
                <w:color w:val="000000" w:themeColor="text1"/>
                <w:sz w:val="16"/>
                <w:szCs w:val="16"/>
              </w:rPr>
            </w:pPr>
            <w:r w:rsidRPr="006C14B1">
              <w:rPr>
                <w:i/>
                <w:color w:val="000000" w:themeColor="text1"/>
                <w:sz w:val="16"/>
                <w:szCs w:val="16"/>
              </w:rPr>
              <w:t>1.3. Мотивирайте създаването на новия регулаторен режим съгласно изискванията на чл. 3, ал. 4  от Закона за ограничаване на административното регулиране и административния контрол върху стопанската дейност.</w:t>
            </w:r>
          </w:p>
          <w:p w:rsidR="006C14B1" w:rsidRPr="006C14B1" w:rsidRDefault="006C14B1" w:rsidP="006C14B1">
            <w:pPr>
              <w:spacing w:after="120"/>
              <w:jc w:val="center"/>
              <w:rPr>
                <w:i/>
                <w:color w:val="000000" w:themeColor="text1"/>
                <w:sz w:val="16"/>
                <w:szCs w:val="16"/>
              </w:rPr>
            </w:pPr>
            <w:r w:rsidRPr="006C14B1">
              <w:rPr>
                <w:i/>
                <w:color w:val="000000" w:themeColor="text1"/>
                <w:sz w:val="16"/>
                <w:szCs w:val="16"/>
              </w:rPr>
              <w:t>1.4. Посочете предложените нови регулаторни режими отговарят ли на изискванията на чл. 10 – 12 от Закона за дейностите по предоставяне на услуги.</w:t>
            </w:r>
          </w:p>
          <w:p w:rsidR="006C14B1" w:rsidRPr="006C14B1" w:rsidRDefault="006C14B1" w:rsidP="006C14B1">
            <w:pPr>
              <w:spacing w:after="120"/>
              <w:jc w:val="center"/>
              <w:rPr>
                <w:i/>
                <w:color w:val="000000" w:themeColor="text1"/>
                <w:sz w:val="16"/>
                <w:szCs w:val="16"/>
              </w:rPr>
            </w:pPr>
            <w:r w:rsidRPr="006C14B1">
              <w:rPr>
                <w:i/>
                <w:color w:val="000000" w:themeColor="text1"/>
                <w:sz w:val="16"/>
                <w:szCs w:val="16"/>
              </w:rPr>
              <w:t>1.5. Посочете изпълнено ли е изискването на § 2 от Допълнителните разпоредби на Закона за дейностите по предоставяне на услуги.</w:t>
            </w:r>
          </w:p>
          <w:p w:rsidR="006C14B1" w:rsidRPr="006C14B1" w:rsidRDefault="006C14B1" w:rsidP="006C14B1">
            <w:pPr>
              <w:spacing w:after="120"/>
              <w:jc w:val="center"/>
              <w:rPr>
                <w:i/>
                <w:color w:val="000000" w:themeColor="text1"/>
              </w:rPr>
            </w:pPr>
            <w:r w:rsidRPr="006C14B1">
              <w:rPr>
                <w:i/>
                <w:color w:val="000000" w:themeColor="text1"/>
                <w:sz w:val="16"/>
                <w:szCs w:val="16"/>
              </w:rPr>
              <w:t>1.6. В случай че се изменят регулаторни режими или административни услуги, посочете промяната.</w:t>
            </w:r>
          </w:p>
        </w:tc>
      </w:tr>
      <w:tr w:rsidR="006C14B1" w:rsidRPr="006C14B1" w:rsidTr="00AA077D">
        <w:tc>
          <w:tcPr>
            <w:tcW w:w="10266" w:type="dxa"/>
            <w:gridSpan w:val="3"/>
          </w:tcPr>
          <w:p w:rsidR="006C14B1" w:rsidRPr="006C14B1" w:rsidRDefault="006C14B1" w:rsidP="006C14B1">
            <w:pPr>
              <w:rPr>
                <w:b/>
                <w:color w:val="000000" w:themeColor="text1"/>
                <w:sz w:val="24"/>
                <w:szCs w:val="24"/>
              </w:rPr>
            </w:pPr>
            <w:r w:rsidRPr="006C14B1">
              <w:rPr>
                <w:b/>
                <w:color w:val="000000" w:themeColor="text1"/>
                <w:sz w:val="24"/>
                <w:szCs w:val="24"/>
              </w:rPr>
              <w:t>6.3. Създават ли се нови регистри от прилагането на препоръчителния вариант (включително по отделните проблеми)?</w:t>
            </w:r>
          </w:p>
          <w:p w:rsidR="006C14B1" w:rsidRPr="006C14B1" w:rsidRDefault="006C14B1" w:rsidP="006C14B1">
            <w:pPr>
              <w:spacing w:before="120" w:after="120"/>
              <w:jc w:val="both"/>
              <w:rPr>
                <w:i/>
                <w:color w:val="000000" w:themeColor="text1"/>
                <w:sz w:val="24"/>
                <w:szCs w:val="24"/>
                <w:lang w:val="en-GB"/>
              </w:rPr>
            </w:pPr>
            <w:r w:rsidRPr="006C14B1">
              <w:rPr>
                <w:i/>
                <w:color w:val="000000" w:themeColor="text1"/>
                <w:sz w:val="24"/>
                <w:szCs w:val="24"/>
                <w:lang w:val="en-GB"/>
              </w:rPr>
              <w:object w:dxaOrig="225" w:dyaOrig="225" w14:anchorId="28382A5B">
                <v:shape id="_x0000_i1073" type="#_x0000_t75" style="width:108pt;height:18pt" o:ole="">
                  <v:imagedata r:id="rId16" o:title=""/>
                </v:shape>
                <w:control r:id="rId20" w:name="OptionButton18" w:shapeid="_x0000_i1073"/>
              </w:object>
            </w:r>
          </w:p>
          <w:p w:rsidR="006C14B1" w:rsidRPr="006C14B1" w:rsidRDefault="006C14B1" w:rsidP="006C14B1">
            <w:pPr>
              <w:spacing w:before="120" w:after="120"/>
              <w:jc w:val="both"/>
              <w:rPr>
                <w:i/>
                <w:color w:val="000000" w:themeColor="text1"/>
                <w:sz w:val="24"/>
                <w:szCs w:val="24"/>
              </w:rPr>
            </w:pPr>
            <w:r w:rsidRPr="006C14B1">
              <w:rPr>
                <w:color w:val="000000" w:themeColor="text1"/>
                <w:sz w:val="24"/>
                <w:szCs w:val="24"/>
              </w:rPr>
              <w:t>…………………………………………………………………..……………………… ………………………………………………………………………………………….</w:t>
            </w:r>
          </w:p>
          <w:p w:rsidR="006C14B1" w:rsidRPr="006C14B1" w:rsidRDefault="006C14B1" w:rsidP="006C14B1">
            <w:pPr>
              <w:spacing w:before="120" w:after="120"/>
              <w:jc w:val="both"/>
              <w:rPr>
                <w:color w:val="000000" w:themeColor="text1"/>
                <w:sz w:val="24"/>
                <w:szCs w:val="24"/>
              </w:rPr>
            </w:pPr>
            <w:r w:rsidRPr="006C14B1">
              <w:rPr>
                <w:color w:val="000000" w:themeColor="text1"/>
                <w:sz w:val="24"/>
                <w:szCs w:val="24"/>
                <w:lang w:val="en-GB"/>
              </w:rPr>
              <w:object w:dxaOrig="225" w:dyaOrig="225" w14:anchorId="0DBDA1C1">
                <v:shape id="_x0000_i1075" type="#_x0000_t75" style="width:108pt;height:18pt" o:ole="">
                  <v:imagedata r:id="rId18" o:title=""/>
                </v:shape>
                <w:control r:id="rId21" w:name="OptionButton19" w:shapeid="_x0000_i1075"/>
              </w:object>
            </w:r>
          </w:p>
          <w:p w:rsidR="006C14B1" w:rsidRPr="006C14B1" w:rsidRDefault="006C14B1" w:rsidP="006C14B1">
            <w:pPr>
              <w:spacing w:after="120"/>
              <w:jc w:val="center"/>
              <w:rPr>
                <w:color w:val="000000" w:themeColor="text1"/>
                <w:sz w:val="24"/>
                <w:szCs w:val="24"/>
              </w:rPr>
            </w:pPr>
            <w:r w:rsidRPr="006C14B1">
              <w:rPr>
                <w:i/>
                <w:color w:val="000000" w:themeColor="text1"/>
                <w:sz w:val="16"/>
                <w:szCs w:val="16"/>
              </w:rPr>
              <w:t>Когато отговорът е „Да“, посочете регистрите, които се създават и по какъв начин те ще бъдат интегрирани в общата регистрова инфраструктура.</w:t>
            </w:r>
          </w:p>
        </w:tc>
      </w:tr>
      <w:tr w:rsidR="006C14B1" w:rsidRPr="006C14B1" w:rsidTr="00AA077D">
        <w:tc>
          <w:tcPr>
            <w:tcW w:w="10266" w:type="dxa"/>
            <w:gridSpan w:val="3"/>
          </w:tcPr>
          <w:p w:rsidR="006C14B1" w:rsidRPr="006C14B1" w:rsidRDefault="006C14B1" w:rsidP="006C14B1">
            <w:pPr>
              <w:rPr>
                <w:b/>
                <w:color w:val="000000" w:themeColor="text1"/>
                <w:sz w:val="24"/>
                <w:szCs w:val="24"/>
              </w:rPr>
            </w:pPr>
            <w:r w:rsidRPr="006C14B1">
              <w:rPr>
                <w:b/>
                <w:color w:val="000000" w:themeColor="text1"/>
                <w:sz w:val="24"/>
                <w:szCs w:val="24"/>
              </w:rPr>
              <w:t>6.4. По какъв начин препоръчителният вариант въздейства върху микро-, малките и средните предприятия (МСП)</w:t>
            </w:r>
            <w:r w:rsidRPr="006C14B1">
              <w:rPr>
                <w:color w:val="000000" w:themeColor="text1"/>
                <w:lang w:eastAsia="bg-BG"/>
              </w:rPr>
              <w:t xml:space="preserve"> </w:t>
            </w:r>
            <w:r w:rsidRPr="006C14B1">
              <w:rPr>
                <w:b/>
                <w:color w:val="000000" w:themeColor="text1"/>
                <w:sz w:val="24"/>
                <w:szCs w:val="24"/>
              </w:rPr>
              <w:t>(включително по отделните проблеми)?</w:t>
            </w:r>
          </w:p>
          <w:p w:rsidR="006C14B1" w:rsidRPr="006C14B1" w:rsidRDefault="006C14B1" w:rsidP="006C14B1">
            <w:pPr>
              <w:spacing w:before="120" w:after="120"/>
              <w:rPr>
                <w:rFonts w:ascii="Calibri" w:eastAsia="MS Mincho" w:hAnsi="Calibri" w:cs="MS Mincho"/>
                <w:color w:val="000000" w:themeColor="text1"/>
                <w:sz w:val="24"/>
                <w:szCs w:val="24"/>
              </w:rPr>
            </w:pPr>
            <w:r w:rsidRPr="006C14B1">
              <w:rPr>
                <w:rFonts w:ascii="Calibri" w:eastAsia="MS Mincho" w:hAnsi="Calibri" w:cs="MS Mincho"/>
                <w:color w:val="000000" w:themeColor="text1"/>
                <w:sz w:val="24"/>
                <w:szCs w:val="24"/>
                <w:lang w:val="en-GB"/>
              </w:rPr>
              <w:object w:dxaOrig="225" w:dyaOrig="225" w14:anchorId="3EF32189">
                <v:shape id="_x0000_i1077" type="#_x0000_t75" style="width:259.5pt;height:18pt" o:ole="">
                  <v:imagedata r:id="rId22" o:title=""/>
                </v:shape>
                <w:control r:id="rId23" w:name="OptionButton6" w:shapeid="_x0000_i1077"/>
              </w:object>
            </w:r>
          </w:p>
          <w:p w:rsidR="006C14B1" w:rsidRPr="006C14B1" w:rsidRDefault="006C14B1" w:rsidP="006C14B1">
            <w:pPr>
              <w:spacing w:before="120" w:after="120"/>
              <w:rPr>
                <w:rFonts w:ascii="Calibri" w:eastAsia="MS Mincho" w:hAnsi="Calibri" w:cs="MS Mincho"/>
                <w:color w:val="000000" w:themeColor="text1"/>
                <w:sz w:val="24"/>
                <w:szCs w:val="24"/>
              </w:rPr>
            </w:pPr>
            <w:r w:rsidRPr="006C14B1">
              <w:rPr>
                <w:rFonts w:ascii="Calibri" w:eastAsia="MS Mincho" w:hAnsi="Calibri" w:cs="MS Mincho"/>
                <w:color w:val="000000" w:themeColor="text1"/>
                <w:sz w:val="24"/>
                <w:szCs w:val="24"/>
                <w:lang w:val="en-GB"/>
              </w:rPr>
              <w:object w:dxaOrig="225" w:dyaOrig="225" w14:anchorId="105A55FF">
                <v:shape id="_x0000_i1079" type="#_x0000_t75" style="width:161.25pt;height:18pt" o:ole="">
                  <v:imagedata r:id="rId24" o:title=""/>
                </v:shape>
                <w:control r:id="rId25" w:name="OptionButton7" w:shapeid="_x0000_i1079"/>
              </w:object>
            </w:r>
          </w:p>
          <w:p w:rsidR="006C14B1" w:rsidRPr="006C14B1" w:rsidRDefault="006C14B1" w:rsidP="006C14B1">
            <w:pPr>
              <w:spacing w:after="120"/>
              <w:jc w:val="center"/>
              <w:rPr>
                <w:color w:val="000000" w:themeColor="text1"/>
                <w:sz w:val="24"/>
                <w:szCs w:val="24"/>
              </w:rPr>
            </w:pPr>
            <w:r w:rsidRPr="006C14B1">
              <w:rPr>
                <w:i/>
                <w:color w:val="000000" w:themeColor="text1"/>
                <w:sz w:val="16"/>
                <w:szCs w:val="16"/>
              </w:rPr>
              <w:t>Изборът следва да е съотносим с посочените специфични въздействия на препоръчителния вариант.</w:t>
            </w:r>
          </w:p>
        </w:tc>
      </w:tr>
      <w:tr w:rsidR="006C14B1" w:rsidRPr="006C14B1" w:rsidTr="00AA077D">
        <w:tc>
          <w:tcPr>
            <w:tcW w:w="10266" w:type="dxa"/>
            <w:gridSpan w:val="3"/>
          </w:tcPr>
          <w:p w:rsidR="006C14B1" w:rsidRPr="006C14B1" w:rsidRDefault="006C14B1" w:rsidP="006C14B1">
            <w:pPr>
              <w:spacing w:before="120" w:after="120"/>
              <w:jc w:val="both"/>
              <w:rPr>
                <w:b/>
                <w:color w:val="000000" w:themeColor="text1"/>
                <w:sz w:val="24"/>
                <w:szCs w:val="24"/>
              </w:rPr>
            </w:pPr>
            <w:r w:rsidRPr="006C14B1">
              <w:rPr>
                <w:b/>
                <w:color w:val="000000" w:themeColor="text1"/>
                <w:sz w:val="24"/>
                <w:szCs w:val="24"/>
              </w:rPr>
              <w:t>6.5. Потенциални рискове от прилагането на препоръчителния вариант (включително по отделните проблеми):</w:t>
            </w:r>
          </w:p>
          <w:p w:rsidR="006C14B1" w:rsidRPr="006C14B1" w:rsidRDefault="006C14B1" w:rsidP="006C14B1">
            <w:pPr>
              <w:jc w:val="both"/>
              <w:rPr>
                <w:b/>
                <w:color w:val="000000" w:themeColor="text1"/>
                <w:sz w:val="24"/>
                <w:szCs w:val="24"/>
              </w:rPr>
            </w:pPr>
            <w:r w:rsidRPr="006C14B1">
              <w:rPr>
                <w:b/>
                <w:color w:val="000000" w:themeColor="text1"/>
                <w:sz w:val="24"/>
                <w:szCs w:val="24"/>
              </w:rPr>
              <w:t>По проблем 1 „П</w:t>
            </w:r>
            <w:r w:rsidRPr="006C14B1">
              <w:rPr>
                <w:rFonts w:eastAsiaTheme="minorHAnsi"/>
                <w:b/>
                <w:color w:val="000000" w:themeColor="text1"/>
                <w:sz w:val="24"/>
                <w:szCs w:val="24"/>
              </w:rPr>
              <w:t xml:space="preserve">рецизиране и адаптиране на механизма за </w:t>
            </w:r>
            <w:r w:rsidRPr="006C14B1">
              <w:rPr>
                <w:rFonts w:eastAsiaTheme="minorHAnsi" w:cstheme="minorBidi"/>
                <w:b/>
                <w:color w:val="000000" w:themeColor="text1"/>
                <w:sz w:val="24"/>
                <w:szCs w:val="24"/>
              </w:rPr>
              <w:t>изчисляване на размера на нетните разходи и определяне на несправедливата финансова тежест от предоставянето на универсалната пощенска услуга“</w:t>
            </w:r>
          </w:p>
          <w:p w:rsidR="006C14B1" w:rsidRPr="006C14B1" w:rsidRDefault="006C14B1" w:rsidP="006C14B1">
            <w:pPr>
              <w:spacing w:after="120"/>
              <w:jc w:val="both"/>
              <w:rPr>
                <w:i/>
                <w:color w:val="000000" w:themeColor="text1"/>
                <w:sz w:val="16"/>
                <w:szCs w:val="16"/>
              </w:rPr>
            </w:pPr>
            <w:r w:rsidRPr="006C14B1">
              <w:rPr>
                <w:color w:val="000000" w:themeColor="text1"/>
                <w:sz w:val="24"/>
                <w:szCs w:val="24"/>
              </w:rPr>
              <w:t>Не са идентифицирани потенциални рискове от прилагането на вариант 2 „Приемане на проекта на Постановление на Министерския съвет за изменение на Методика за изчисляване на нетните разходи от извършване на универсалната пощенска услуга и за определяне на критерии за наличие на несправедлива финансова тежест“.</w:t>
            </w:r>
          </w:p>
          <w:p w:rsidR="006C14B1" w:rsidRPr="006C14B1" w:rsidRDefault="006C14B1" w:rsidP="006C14B1">
            <w:pPr>
              <w:spacing w:after="120"/>
              <w:jc w:val="both"/>
              <w:rPr>
                <w:b/>
                <w:color w:val="000000" w:themeColor="text1"/>
                <w:sz w:val="24"/>
                <w:szCs w:val="24"/>
              </w:rPr>
            </w:pPr>
            <w:r w:rsidRPr="006C14B1">
              <w:rPr>
                <w:i/>
                <w:color w:val="000000" w:themeColor="text1"/>
                <w:sz w:val="16"/>
                <w:szCs w:val="16"/>
              </w:rPr>
              <w:t xml:space="preserve"> Посочете възможните рискове от прилагането на препоръчителния вариант, различни от отрицателните въздействия, напр. възникване на съдебни спорове и др.</w:t>
            </w:r>
          </w:p>
        </w:tc>
      </w:tr>
      <w:tr w:rsidR="006C14B1" w:rsidRPr="006C14B1" w:rsidTr="00AA077D">
        <w:tc>
          <w:tcPr>
            <w:tcW w:w="10266" w:type="dxa"/>
            <w:gridSpan w:val="3"/>
          </w:tcPr>
          <w:p w:rsidR="006C14B1" w:rsidRPr="006C14B1" w:rsidRDefault="006C14B1" w:rsidP="006C14B1">
            <w:pPr>
              <w:rPr>
                <w:b/>
                <w:color w:val="000000" w:themeColor="text1"/>
                <w:sz w:val="24"/>
                <w:szCs w:val="24"/>
              </w:rPr>
            </w:pPr>
            <w:r w:rsidRPr="006C14B1">
              <w:rPr>
                <w:b/>
                <w:color w:val="000000" w:themeColor="text1"/>
                <w:sz w:val="24"/>
                <w:szCs w:val="24"/>
              </w:rPr>
              <w:t>7. Консултации:</w:t>
            </w:r>
          </w:p>
          <w:p w:rsidR="006C14B1" w:rsidRPr="006C14B1" w:rsidRDefault="006C14B1" w:rsidP="006C14B1">
            <w:pPr>
              <w:spacing w:before="120" w:after="120"/>
              <w:rPr>
                <w:color w:val="000000" w:themeColor="text1"/>
                <w:sz w:val="24"/>
                <w:szCs w:val="24"/>
              </w:rPr>
            </w:pPr>
            <w:r w:rsidRPr="006C14B1">
              <w:rPr>
                <w:color w:val="000000" w:themeColor="text1"/>
                <w:sz w:val="24"/>
                <w:szCs w:val="24"/>
                <w:lang w:val="en-GB"/>
              </w:rPr>
              <w:object w:dxaOrig="225" w:dyaOrig="225" w14:anchorId="74A1C737">
                <v:shape id="_x0000_i1081" type="#_x0000_t75" style="width:498.75pt;height:18pt" o:ole="">
                  <v:imagedata r:id="rId26" o:title=""/>
                </v:shape>
                <w:control r:id="rId27" w:name="OptionButton13" w:shapeid="_x0000_i1081"/>
              </w:object>
            </w:r>
          </w:p>
          <w:p w:rsidR="006C14B1" w:rsidRPr="006C14B1" w:rsidRDefault="006C14B1" w:rsidP="006C14B1">
            <w:pPr>
              <w:rPr>
                <w:color w:val="000000" w:themeColor="text1"/>
                <w:sz w:val="24"/>
                <w:szCs w:val="24"/>
              </w:rPr>
            </w:pPr>
          </w:p>
          <w:p w:rsidR="006C14B1" w:rsidRPr="006C14B1" w:rsidRDefault="006C14B1" w:rsidP="006C14B1">
            <w:pPr>
              <w:rPr>
                <w:color w:val="000000" w:themeColor="text1"/>
                <w:sz w:val="24"/>
                <w:szCs w:val="24"/>
              </w:rPr>
            </w:pPr>
            <w:r w:rsidRPr="006C14B1">
              <w:rPr>
                <w:color w:val="000000" w:themeColor="text1"/>
                <w:sz w:val="24"/>
                <w:szCs w:val="24"/>
              </w:rPr>
              <w:t>……………………………………………………………..………………………………</w:t>
            </w:r>
          </w:p>
          <w:p w:rsidR="006C14B1" w:rsidRPr="006C14B1" w:rsidRDefault="006C14B1" w:rsidP="006C14B1">
            <w:pPr>
              <w:rPr>
                <w:color w:val="000000" w:themeColor="text1"/>
                <w:sz w:val="24"/>
                <w:szCs w:val="24"/>
              </w:rPr>
            </w:pPr>
            <w:r w:rsidRPr="006C14B1">
              <w:rPr>
                <w:color w:val="000000" w:themeColor="text1"/>
                <w:sz w:val="24"/>
                <w:szCs w:val="24"/>
              </w:rPr>
              <w:t>……………………………………………………………………………………………..</w:t>
            </w:r>
          </w:p>
          <w:p w:rsidR="006C14B1" w:rsidRPr="006C14B1" w:rsidRDefault="006C14B1" w:rsidP="006C14B1">
            <w:pPr>
              <w:rPr>
                <w:color w:val="000000" w:themeColor="text1"/>
                <w:sz w:val="24"/>
                <w:szCs w:val="24"/>
              </w:rPr>
            </w:pPr>
            <w:r w:rsidRPr="006C14B1">
              <w:rPr>
                <w:color w:val="000000" w:themeColor="text1"/>
                <w:sz w:val="24"/>
                <w:szCs w:val="24"/>
              </w:rPr>
              <w:t>……………………………………………………………………………………………..</w:t>
            </w:r>
          </w:p>
          <w:p w:rsidR="006C14B1" w:rsidRPr="006C14B1" w:rsidRDefault="006C14B1" w:rsidP="006C14B1">
            <w:pPr>
              <w:spacing w:after="120"/>
              <w:jc w:val="center"/>
              <w:rPr>
                <w:i/>
                <w:color w:val="000000" w:themeColor="text1"/>
                <w:sz w:val="16"/>
                <w:szCs w:val="16"/>
              </w:rPr>
            </w:pPr>
            <w:r w:rsidRPr="006C14B1">
              <w:rPr>
                <w:i/>
                <w:color w:val="000000" w:themeColor="text1"/>
                <w:sz w:val="16"/>
                <w:szCs w:val="16"/>
              </w:rPr>
              <w:t>Посочете основните заинтересовани страни, с които са проведени консултации. Посочете резултатите от консултациите, включително на ниво ЕС: спорни въпроси, многократно поставяни въпроси и др.</w:t>
            </w:r>
          </w:p>
          <w:p w:rsidR="006C14B1" w:rsidRPr="006C14B1" w:rsidRDefault="006C14B1" w:rsidP="006C14B1">
            <w:pPr>
              <w:spacing w:after="120"/>
              <w:jc w:val="center"/>
              <w:rPr>
                <w:i/>
                <w:color w:val="000000" w:themeColor="text1"/>
                <w:sz w:val="16"/>
                <w:szCs w:val="16"/>
              </w:rPr>
            </w:pPr>
          </w:p>
          <w:p w:rsidR="006C14B1" w:rsidRPr="006C14B1" w:rsidRDefault="006C14B1" w:rsidP="006C14B1">
            <w:pPr>
              <w:spacing w:before="120" w:after="120"/>
              <w:rPr>
                <w:i/>
                <w:color w:val="000000" w:themeColor="text1"/>
                <w:sz w:val="24"/>
                <w:szCs w:val="24"/>
              </w:rPr>
            </w:pPr>
            <w:r w:rsidRPr="006C14B1">
              <w:rPr>
                <w:i/>
                <w:color w:val="000000" w:themeColor="text1"/>
                <w:sz w:val="24"/>
                <w:szCs w:val="24"/>
                <w:lang w:val="en-GB"/>
              </w:rPr>
              <w:object w:dxaOrig="225" w:dyaOrig="225" w14:anchorId="7D646FEE">
                <v:shape id="_x0000_i1083" type="#_x0000_t75" style="width:502.5pt;height:18pt" o:ole="">
                  <v:imagedata r:id="rId28" o:title=""/>
                </v:shape>
                <w:control r:id="rId29" w:name="OptionButton15" w:shapeid="_x0000_i1083"/>
              </w:object>
            </w:r>
          </w:p>
          <w:p w:rsidR="006C14B1" w:rsidRPr="006C14B1" w:rsidRDefault="006C14B1" w:rsidP="006C14B1">
            <w:pPr>
              <w:rPr>
                <w:color w:val="000000" w:themeColor="text1"/>
                <w:sz w:val="24"/>
                <w:szCs w:val="24"/>
              </w:rPr>
            </w:pPr>
          </w:p>
          <w:p w:rsidR="006C14B1" w:rsidRPr="006C14B1" w:rsidRDefault="006C14B1" w:rsidP="006C14B1">
            <w:pPr>
              <w:rPr>
                <w:color w:val="000000" w:themeColor="text1"/>
                <w:sz w:val="24"/>
                <w:szCs w:val="24"/>
              </w:rPr>
            </w:pPr>
            <w:r w:rsidRPr="006C14B1">
              <w:rPr>
                <w:color w:val="000000" w:themeColor="text1"/>
                <w:sz w:val="24"/>
                <w:szCs w:val="24"/>
              </w:rPr>
              <w:t>Проектът на Закон за изменение на Закона за пощенските услуги ще бъде публикуван на Портала за обществени консултации за срок от 30 дни.</w:t>
            </w:r>
          </w:p>
          <w:p w:rsidR="006C14B1" w:rsidRPr="006C14B1" w:rsidRDefault="006C14B1" w:rsidP="006C14B1">
            <w:pPr>
              <w:spacing w:after="120"/>
              <w:jc w:val="center"/>
              <w:rPr>
                <w:i/>
                <w:color w:val="000000" w:themeColor="text1"/>
                <w:sz w:val="24"/>
                <w:szCs w:val="24"/>
              </w:rPr>
            </w:pPr>
            <w:r w:rsidRPr="006C14B1">
              <w:rPr>
                <w:i/>
                <w:color w:val="000000" w:themeColor="text1"/>
                <w:sz w:val="16"/>
                <w:szCs w:val="16"/>
              </w:rPr>
              <w:t>Обобщете най-важните въпроси за обществени консултации. Посочете индикативен график за тяхното провеждане и видовете консултационни процедури.</w:t>
            </w:r>
          </w:p>
        </w:tc>
      </w:tr>
      <w:tr w:rsidR="006C14B1" w:rsidRPr="006C14B1" w:rsidTr="00AA077D">
        <w:tc>
          <w:tcPr>
            <w:tcW w:w="10266" w:type="dxa"/>
            <w:gridSpan w:val="3"/>
          </w:tcPr>
          <w:p w:rsidR="006C14B1" w:rsidRPr="006C14B1" w:rsidRDefault="006C14B1" w:rsidP="006C14B1">
            <w:pPr>
              <w:jc w:val="both"/>
              <w:rPr>
                <w:b/>
                <w:color w:val="000000" w:themeColor="text1"/>
                <w:sz w:val="24"/>
                <w:szCs w:val="24"/>
              </w:rPr>
            </w:pPr>
            <w:r w:rsidRPr="006C14B1">
              <w:rPr>
                <w:b/>
                <w:color w:val="000000" w:themeColor="text1"/>
                <w:sz w:val="24"/>
                <w:szCs w:val="24"/>
              </w:rPr>
              <w:t>8. Приемането на нормативния акт произтича ли от правото на Европейския съюз?</w:t>
            </w:r>
          </w:p>
          <w:p w:rsidR="006C14B1" w:rsidRPr="006C14B1" w:rsidRDefault="006C14B1" w:rsidP="006C14B1">
            <w:pPr>
              <w:spacing w:before="120" w:after="120"/>
              <w:rPr>
                <w:rFonts w:ascii="Calibri" w:eastAsia="MS Mincho" w:hAnsi="Calibri" w:cs="MS Mincho"/>
                <w:color w:val="000000" w:themeColor="text1"/>
                <w:sz w:val="24"/>
                <w:szCs w:val="24"/>
              </w:rPr>
            </w:pPr>
            <w:r w:rsidRPr="006C14B1">
              <w:rPr>
                <w:rFonts w:ascii="MS Mincho" w:eastAsia="MS Mincho" w:hAnsi="MS Mincho" w:cs="MS Mincho"/>
                <w:color w:val="000000" w:themeColor="text1"/>
                <w:sz w:val="24"/>
                <w:szCs w:val="24"/>
                <w:lang w:val="en-GB"/>
              </w:rPr>
              <w:object w:dxaOrig="225" w:dyaOrig="225" w14:anchorId="1126ED7B">
                <v:shape id="_x0000_i1085" type="#_x0000_t75" style="width:108pt;height:18pt" o:ole="">
                  <v:imagedata r:id="rId16" o:title=""/>
                </v:shape>
                <w:control r:id="rId30" w:name="OptionButton9" w:shapeid="_x0000_i1085"/>
              </w:object>
            </w:r>
          </w:p>
          <w:p w:rsidR="006C14B1" w:rsidRPr="006C14B1" w:rsidRDefault="006C14B1" w:rsidP="006C14B1">
            <w:pPr>
              <w:spacing w:before="120" w:after="120"/>
              <w:rPr>
                <w:rFonts w:ascii="Calibri" w:eastAsia="MS Mincho" w:hAnsi="Calibri" w:cs="MS Mincho"/>
                <w:color w:val="000000" w:themeColor="text1"/>
                <w:sz w:val="24"/>
                <w:szCs w:val="24"/>
                <w:lang w:val="en-US"/>
              </w:rPr>
            </w:pPr>
            <w:r w:rsidRPr="006C14B1">
              <w:rPr>
                <w:rFonts w:ascii="MS Mincho" w:eastAsia="MS Mincho" w:hAnsi="MS Mincho" w:cs="MS Mincho"/>
                <w:color w:val="000000" w:themeColor="text1"/>
                <w:sz w:val="24"/>
                <w:szCs w:val="24"/>
                <w:lang w:val="en-GB"/>
              </w:rPr>
              <w:object w:dxaOrig="225" w:dyaOrig="225" w14:anchorId="1D715071">
                <v:shape id="_x0000_i1087" type="#_x0000_t75" style="width:108pt;height:18pt" o:ole="">
                  <v:imagedata r:id="rId18" o:title=""/>
                </v:shape>
                <w:control r:id="rId31" w:name="OptionButton10" w:shapeid="_x0000_i1087"/>
              </w:object>
            </w:r>
          </w:p>
          <w:p w:rsidR="006C14B1" w:rsidRPr="006C14B1" w:rsidRDefault="006C14B1" w:rsidP="006C14B1">
            <w:pPr>
              <w:rPr>
                <w:i/>
                <w:color w:val="000000" w:themeColor="text1"/>
                <w:sz w:val="24"/>
                <w:szCs w:val="24"/>
              </w:rPr>
            </w:pPr>
            <w:r w:rsidRPr="006C14B1">
              <w:rPr>
                <w:color w:val="000000" w:themeColor="text1"/>
                <w:sz w:val="24"/>
                <w:szCs w:val="24"/>
              </w:rPr>
              <w:t xml:space="preserve">…………………………………………………………………..……………………… </w:t>
            </w:r>
          </w:p>
          <w:p w:rsidR="006C14B1" w:rsidRPr="006C14B1" w:rsidRDefault="006C14B1" w:rsidP="006C14B1">
            <w:pPr>
              <w:spacing w:after="120"/>
              <w:jc w:val="center"/>
              <w:rPr>
                <w:i/>
                <w:color w:val="000000" w:themeColor="text1"/>
                <w:sz w:val="16"/>
                <w:szCs w:val="16"/>
              </w:rPr>
            </w:pPr>
            <w:r w:rsidRPr="006C14B1">
              <w:rPr>
                <w:i/>
                <w:color w:val="000000" w:themeColor="text1"/>
                <w:sz w:val="16"/>
                <w:szCs w:val="16"/>
              </w:rPr>
              <w:t>1.1. Посочете изискванията на правото на Европейския съюз, включително информацията по т. 6.2 и 6.3, дали е извършена оценка на въздействието на ниво Европейски съюз, и я приложете (или посочете връзка към източник).</w:t>
            </w:r>
          </w:p>
          <w:p w:rsidR="006C14B1" w:rsidRPr="006C14B1" w:rsidRDefault="006C14B1" w:rsidP="006C14B1">
            <w:pPr>
              <w:spacing w:after="120"/>
              <w:jc w:val="center"/>
              <w:rPr>
                <w:i/>
                <w:color w:val="000000" w:themeColor="text1"/>
              </w:rPr>
            </w:pPr>
            <w:r w:rsidRPr="006C14B1">
              <w:rPr>
                <w:i/>
                <w:color w:val="000000" w:themeColor="text1"/>
                <w:sz w:val="16"/>
                <w:szCs w:val="16"/>
              </w:rPr>
              <w:t xml:space="preserve">1.2. Изборът трябва да съответства на посоченото в раздел 1, съгласно неговата т. 1.5. </w:t>
            </w:r>
          </w:p>
        </w:tc>
      </w:tr>
      <w:tr w:rsidR="006C14B1" w:rsidRPr="006C14B1" w:rsidTr="00AA077D">
        <w:tc>
          <w:tcPr>
            <w:tcW w:w="10266" w:type="dxa"/>
            <w:gridSpan w:val="3"/>
          </w:tcPr>
          <w:p w:rsidR="006C14B1" w:rsidRPr="006C14B1" w:rsidRDefault="006C14B1" w:rsidP="006C14B1">
            <w:pPr>
              <w:jc w:val="both"/>
              <w:rPr>
                <w:b/>
                <w:color w:val="000000" w:themeColor="text1"/>
                <w:sz w:val="24"/>
                <w:szCs w:val="24"/>
              </w:rPr>
            </w:pPr>
            <w:r w:rsidRPr="006C14B1">
              <w:rPr>
                <w:b/>
                <w:color w:val="000000" w:themeColor="text1"/>
                <w:sz w:val="24"/>
                <w:szCs w:val="24"/>
              </w:rPr>
              <w:t>9.  Изисква ли се извършване на цялостна предварителна оценка на въздействието поради очаквани значителни последици?</w:t>
            </w:r>
          </w:p>
          <w:p w:rsidR="006C14B1" w:rsidRPr="006C14B1" w:rsidRDefault="006C14B1" w:rsidP="006C14B1">
            <w:pPr>
              <w:spacing w:before="120" w:after="120"/>
              <w:jc w:val="both"/>
              <w:rPr>
                <w:rFonts w:ascii="Calibri" w:hAnsi="Calibri" w:cs="Segoe UI Symbol"/>
                <w:b/>
                <w:color w:val="000000" w:themeColor="text1"/>
                <w:sz w:val="24"/>
                <w:szCs w:val="24"/>
              </w:rPr>
            </w:pPr>
            <w:r w:rsidRPr="006C14B1">
              <w:rPr>
                <w:rFonts w:ascii="Hebar" w:hAnsi="Hebar" w:cs="Segoe UI Symbol"/>
                <w:b/>
                <w:color w:val="000000" w:themeColor="text1"/>
                <w:sz w:val="24"/>
                <w:szCs w:val="24"/>
                <w:lang w:val="en-GB"/>
              </w:rPr>
              <w:object w:dxaOrig="225" w:dyaOrig="225" w14:anchorId="1F27C0D7">
                <v:shape id="_x0000_i1089" type="#_x0000_t75" style="width:108pt;height:18pt" o:ole="">
                  <v:imagedata r:id="rId16" o:title=""/>
                </v:shape>
                <w:control r:id="rId32" w:name="OptionButton20" w:shapeid="_x0000_i1089"/>
              </w:object>
            </w:r>
          </w:p>
          <w:p w:rsidR="006C14B1" w:rsidRPr="006C14B1" w:rsidRDefault="006C14B1" w:rsidP="006C14B1">
            <w:pPr>
              <w:spacing w:before="120" w:after="120"/>
              <w:jc w:val="both"/>
              <w:rPr>
                <w:rFonts w:ascii="Calibri" w:hAnsi="Calibri" w:cs="Segoe UI Symbol"/>
                <w:b/>
                <w:color w:val="000000" w:themeColor="text1"/>
                <w:sz w:val="24"/>
                <w:szCs w:val="24"/>
              </w:rPr>
            </w:pPr>
            <w:r w:rsidRPr="006C14B1">
              <w:rPr>
                <w:rFonts w:ascii="Hebar" w:hAnsi="Hebar" w:cs="Segoe UI Symbol"/>
                <w:b/>
                <w:color w:val="000000" w:themeColor="text1"/>
                <w:sz w:val="24"/>
                <w:szCs w:val="24"/>
                <w:lang w:val="en-GB"/>
              </w:rPr>
              <w:object w:dxaOrig="225" w:dyaOrig="225" w14:anchorId="531DBE03">
                <v:shape id="_x0000_i1091" type="#_x0000_t75" style="width:108pt;height:18pt" o:ole="">
                  <v:imagedata r:id="rId18" o:title=""/>
                </v:shape>
                <w:control r:id="rId33" w:name="OptionButton21" w:shapeid="_x0000_i1091"/>
              </w:object>
            </w:r>
          </w:p>
          <w:p w:rsidR="006C14B1" w:rsidRPr="006C14B1" w:rsidRDefault="006C14B1" w:rsidP="006C14B1">
            <w:pPr>
              <w:spacing w:after="120"/>
              <w:jc w:val="center"/>
              <w:rPr>
                <w:b/>
                <w:color w:val="000000" w:themeColor="text1"/>
                <w:sz w:val="24"/>
                <w:szCs w:val="24"/>
              </w:rPr>
            </w:pPr>
            <w:r w:rsidRPr="006C14B1">
              <w:rPr>
                <w:i/>
                <w:color w:val="000000" w:themeColor="text1"/>
                <w:sz w:val="16"/>
                <w:szCs w:val="16"/>
              </w:rPr>
              <w:t>(преценка съгласно чл. 20, ал. 3, т. 2 от Закона за нормативните актове)</w:t>
            </w:r>
          </w:p>
        </w:tc>
      </w:tr>
      <w:tr w:rsidR="006C14B1" w:rsidRPr="006C14B1" w:rsidTr="00AA077D">
        <w:tc>
          <w:tcPr>
            <w:tcW w:w="10266" w:type="dxa"/>
            <w:gridSpan w:val="3"/>
          </w:tcPr>
          <w:p w:rsidR="006C14B1" w:rsidRPr="006C14B1" w:rsidRDefault="006C14B1" w:rsidP="006C14B1">
            <w:pPr>
              <w:jc w:val="both"/>
              <w:rPr>
                <w:b/>
                <w:color w:val="000000" w:themeColor="text1"/>
                <w:sz w:val="24"/>
                <w:szCs w:val="24"/>
              </w:rPr>
            </w:pPr>
            <w:r w:rsidRPr="006C14B1">
              <w:rPr>
                <w:b/>
                <w:color w:val="000000" w:themeColor="text1"/>
                <w:sz w:val="24"/>
                <w:szCs w:val="24"/>
              </w:rPr>
              <w:t>10. Приложения:</w:t>
            </w:r>
          </w:p>
          <w:p w:rsidR="006C14B1" w:rsidRPr="006C14B1" w:rsidRDefault="006C14B1" w:rsidP="006C14B1">
            <w:pPr>
              <w:rPr>
                <w:i/>
                <w:color w:val="000000" w:themeColor="text1"/>
                <w:sz w:val="24"/>
                <w:szCs w:val="24"/>
              </w:rPr>
            </w:pPr>
            <w:r w:rsidRPr="006C14B1">
              <w:rPr>
                <w:color w:val="000000" w:themeColor="text1"/>
                <w:sz w:val="24"/>
                <w:szCs w:val="24"/>
              </w:rPr>
              <w:t>…………………………………………………………………..……………………… ………………………………………………………………………………………….</w:t>
            </w:r>
          </w:p>
          <w:p w:rsidR="006C14B1" w:rsidRPr="006C14B1" w:rsidRDefault="006C14B1" w:rsidP="006C14B1">
            <w:pPr>
              <w:spacing w:after="120"/>
              <w:jc w:val="center"/>
              <w:rPr>
                <w:b/>
                <w:color w:val="000000" w:themeColor="text1"/>
                <w:sz w:val="24"/>
                <w:szCs w:val="24"/>
              </w:rPr>
            </w:pPr>
            <w:r w:rsidRPr="006C14B1">
              <w:rPr>
                <w:i/>
                <w:color w:val="000000" w:themeColor="text1"/>
                <w:sz w:val="16"/>
                <w:szCs w:val="16"/>
              </w:rPr>
              <w:t>Приложете необходимата допълнителна информация и документи.</w:t>
            </w:r>
          </w:p>
        </w:tc>
      </w:tr>
      <w:tr w:rsidR="006C14B1" w:rsidRPr="006C14B1" w:rsidTr="00AA077D">
        <w:tc>
          <w:tcPr>
            <w:tcW w:w="10266" w:type="dxa"/>
            <w:gridSpan w:val="3"/>
          </w:tcPr>
          <w:p w:rsidR="006C14B1" w:rsidRPr="006C14B1" w:rsidRDefault="006C14B1" w:rsidP="006C14B1">
            <w:pPr>
              <w:jc w:val="both"/>
              <w:rPr>
                <w:b/>
                <w:color w:val="000000" w:themeColor="text1"/>
                <w:sz w:val="24"/>
                <w:szCs w:val="24"/>
              </w:rPr>
            </w:pPr>
            <w:r w:rsidRPr="006C14B1">
              <w:rPr>
                <w:b/>
                <w:color w:val="000000" w:themeColor="text1"/>
                <w:sz w:val="24"/>
                <w:szCs w:val="24"/>
              </w:rPr>
              <w:t>11. Информационни източници:</w:t>
            </w:r>
          </w:p>
          <w:p w:rsidR="006C14B1" w:rsidRPr="006C14B1" w:rsidRDefault="006C14B1" w:rsidP="006C14B1">
            <w:pPr>
              <w:rPr>
                <w:i/>
                <w:color w:val="000000" w:themeColor="text1"/>
                <w:sz w:val="24"/>
                <w:szCs w:val="24"/>
              </w:rPr>
            </w:pPr>
            <w:r w:rsidRPr="006C14B1">
              <w:rPr>
                <w:color w:val="000000" w:themeColor="text1"/>
                <w:sz w:val="24"/>
                <w:szCs w:val="24"/>
              </w:rPr>
              <w:t>…………………………………………………………………..……………………… ………………………………………………………………………………………….</w:t>
            </w:r>
          </w:p>
          <w:p w:rsidR="006C14B1" w:rsidRPr="006C14B1" w:rsidRDefault="006C14B1" w:rsidP="006C14B1">
            <w:pPr>
              <w:spacing w:after="120"/>
              <w:jc w:val="center"/>
              <w:rPr>
                <w:b/>
                <w:color w:val="000000" w:themeColor="text1"/>
                <w:sz w:val="24"/>
                <w:szCs w:val="24"/>
              </w:rPr>
            </w:pPr>
            <w:r w:rsidRPr="006C14B1">
              <w:rPr>
                <w:i/>
                <w:color w:val="000000" w:themeColor="text1"/>
                <w:sz w:val="16"/>
                <w:szCs w:val="16"/>
              </w:rPr>
              <w:t>Посочете изчерпателен списък на информационните източници, които са послужили за оценка на въздействията на отделните варианти и при избора на вариант за действие: регистри, бази данни, аналитични материали и др.</w:t>
            </w:r>
          </w:p>
        </w:tc>
      </w:tr>
      <w:tr w:rsidR="006C14B1" w:rsidRPr="006C14B1" w:rsidTr="00AA077D">
        <w:tc>
          <w:tcPr>
            <w:tcW w:w="10266" w:type="dxa"/>
            <w:gridSpan w:val="3"/>
          </w:tcPr>
          <w:p w:rsidR="006C14B1" w:rsidRPr="006C14B1" w:rsidRDefault="006C14B1" w:rsidP="006C14B1">
            <w:pPr>
              <w:rPr>
                <w:b/>
                <w:color w:val="000000" w:themeColor="text1"/>
                <w:sz w:val="24"/>
                <w:szCs w:val="24"/>
              </w:rPr>
            </w:pPr>
            <w:r w:rsidRPr="006C14B1">
              <w:rPr>
                <w:b/>
                <w:color w:val="000000" w:themeColor="text1"/>
                <w:sz w:val="24"/>
                <w:szCs w:val="24"/>
              </w:rPr>
              <w:t>12. Име, длъжност, дата и подпис на директора на дирекцията, отговорна за извършването на частичната предварителна оценка на въздействието:</w:t>
            </w:r>
          </w:p>
          <w:p w:rsidR="006C14B1" w:rsidRPr="006C14B1" w:rsidRDefault="006C14B1" w:rsidP="006C14B1">
            <w:pPr>
              <w:rPr>
                <w:b/>
                <w:color w:val="000000" w:themeColor="text1"/>
                <w:sz w:val="24"/>
                <w:szCs w:val="24"/>
              </w:rPr>
            </w:pPr>
          </w:p>
          <w:p w:rsidR="006C14B1" w:rsidRPr="006C14B1" w:rsidRDefault="006C14B1" w:rsidP="006C14B1">
            <w:pPr>
              <w:spacing w:before="120" w:after="120"/>
              <w:rPr>
                <w:b/>
                <w:color w:val="000000" w:themeColor="text1"/>
                <w:sz w:val="24"/>
                <w:szCs w:val="24"/>
              </w:rPr>
            </w:pPr>
            <w:r w:rsidRPr="006C14B1">
              <w:rPr>
                <w:b/>
                <w:color w:val="000000" w:themeColor="text1"/>
                <w:sz w:val="24"/>
                <w:szCs w:val="24"/>
              </w:rPr>
              <w:t xml:space="preserve">Име и длъжност:   </w:t>
            </w:r>
            <w:r w:rsidR="00875226">
              <w:rPr>
                <w:b/>
                <w:color w:val="000000" w:themeColor="text1"/>
                <w:sz w:val="24"/>
                <w:szCs w:val="24"/>
              </w:rPr>
              <w:t>Боряна Стоева</w:t>
            </w:r>
            <w:r w:rsidRPr="006C14B1">
              <w:rPr>
                <w:b/>
                <w:color w:val="000000" w:themeColor="text1"/>
                <w:sz w:val="24"/>
                <w:szCs w:val="24"/>
              </w:rPr>
              <w:t xml:space="preserve"> – директор на дирекция „</w:t>
            </w:r>
            <w:r w:rsidR="00875226">
              <w:rPr>
                <w:b/>
                <w:color w:val="000000" w:themeColor="text1"/>
                <w:sz w:val="24"/>
                <w:szCs w:val="24"/>
              </w:rPr>
              <w:t>Регулиране</w:t>
            </w:r>
            <w:r w:rsidRPr="006C14B1">
              <w:rPr>
                <w:b/>
                <w:color w:val="000000" w:themeColor="text1"/>
                <w:sz w:val="24"/>
                <w:szCs w:val="24"/>
              </w:rPr>
              <w:t>“</w:t>
            </w:r>
          </w:p>
          <w:p w:rsidR="006C14B1" w:rsidRPr="006C14B1" w:rsidRDefault="006C14B1" w:rsidP="006C14B1">
            <w:pPr>
              <w:spacing w:before="120" w:after="120"/>
              <w:rPr>
                <w:b/>
                <w:color w:val="000000" w:themeColor="text1"/>
                <w:sz w:val="24"/>
                <w:szCs w:val="24"/>
              </w:rPr>
            </w:pPr>
            <w:r w:rsidRPr="006C14B1">
              <w:rPr>
                <w:b/>
                <w:color w:val="000000" w:themeColor="text1"/>
                <w:sz w:val="24"/>
                <w:szCs w:val="24"/>
              </w:rPr>
              <w:t xml:space="preserve">Дата:   </w:t>
            </w:r>
          </w:p>
          <w:p w:rsidR="006C14B1" w:rsidRPr="006C14B1" w:rsidRDefault="006C14B1" w:rsidP="006C14B1">
            <w:pPr>
              <w:spacing w:before="120" w:after="120"/>
              <w:rPr>
                <w:color w:val="000000" w:themeColor="text1"/>
                <w:sz w:val="24"/>
                <w:szCs w:val="24"/>
              </w:rPr>
            </w:pPr>
            <w:r w:rsidRPr="006C14B1">
              <w:rPr>
                <w:b/>
                <w:color w:val="000000" w:themeColor="text1"/>
                <w:sz w:val="24"/>
                <w:szCs w:val="24"/>
              </w:rPr>
              <w:t>Подпис:</w:t>
            </w:r>
            <w:r w:rsidRPr="006C14B1">
              <w:rPr>
                <w:color w:val="000000" w:themeColor="text1"/>
                <w:sz w:val="24"/>
                <w:szCs w:val="24"/>
              </w:rPr>
              <w:t xml:space="preserve">   </w:t>
            </w:r>
          </w:p>
          <w:p w:rsidR="006C14B1" w:rsidRPr="006C14B1" w:rsidRDefault="006C14B1" w:rsidP="006C14B1">
            <w:pPr>
              <w:spacing w:before="120" w:after="120"/>
              <w:ind w:firstLine="1008"/>
              <w:rPr>
                <w:b/>
                <w:color w:val="000000" w:themeColor="text1"/>
                <w:sz w:val="24"/>
                <w:szCs w:val="24"/>
              </w:rPr>
            </w:pPr>
          </w:p>
        </w:tc>
      </w:tr>
    </w:tbl>
    <w:p w:rsidR="0067693A" w:rsidRDefault="0067693A"/>
    <w:sectPr w:rsidR="0067693A">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5002EFF" w:usb1="C000E47F" w:usb2="0000002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ebar">
    <w:altName w:val="Corbel"/>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B9C"/>
    <w:multiLevelType w:val="hybridMultilevel"/>
    <w:tmpl w:val="A3F20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36728"/>
    <w:multiLevelType w:val="hybridMultilevel"/>
    <w:tmpl w:val="C7DE0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77267"/>
    <w:multiLevelType w:val="hybridMultilevel"/>
    <w:tmpl w:val="97BC7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0660A"/>
    <w:multiLevelType w:val="multilevel"/>
    <w:tmpl w:val="BDFCE21A"/>
    <w:lvl w:ilvl="0">
      <w:start w:val="1"/>
      <w:numFmt w:val="decimal"/>
      <w:lvlText w:val="%1."/>
      <w:lvlJc w:val="left"/>
      <w:pPr>
        <w:ind w:left="720" w:hanging="360"/>
      </w:pPr>
      <w:rPr>
        <w:rFonts w:hint="default"/>
      </w:rPr>
    </w:lvl>
    <w:lvl w:ilvl="1">
      <w:start w:val="5"/>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E665A9"/>
    <w:multiLevelType w:val="hybridMultilevel"/>
    <w:tmpl w:val="AEBE2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BB3589E"/>
    <w:multiLevelType w:val="hybridMultilevel"/>
    <w:tmpl w:val="E05022E6"/>
    <w:lvl w:ilvl="0" w:tplc="A79C8348">
      <w:start w:val="1"/>
      <w:numFmt w:val="decimal"/>
      <w:lvlText w:val="%1."/>
      <w:lvlJc w:val="left"/>
      <w:pPr>
        <w:ind w:left="376" w:hanging="360"/>
      </w:pPr>
      <w:rPr>
        <w:rFonts w:hint="default"/>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6" w15:restartNumberingAfterBreak="0">
    <w:nsid w:val="52665729"/>
    <w:multiLevelType w:val="hybridMultilevel"/>
    <w:tmpl w:val="28C6B258"/>
    <w:lvl w:ilvl="0" w:tplc="A79C8348">
      <w:start w:val="1"/>
      <w:numFmt w:val="decimal"/>
      <w:lvlText w:val="%1."/>
      <w:lvlJc w:val="left"/>
      <w:pPr>
        <w:ind w:left="392" w:hanging="360"/>
      </w:pPr>
      <w:rPr>
        <w:rFonts w:hint="default"/>
      </w:rPr>
    </w:lvl>
    <w:lvl w:ilvl="1" w:tplc="04020019" w:tentative="1">
      <w:start w:val="1"/>
      <w:numFmt w:val="lowerLetter"/>
      <w:lvlText w:val="%2."/>
      <w:lvlJc w:val="left"/>
      <w:pPr>
        <w:ind w:left="1456" w:hanging="360"/>
      </w:pPr>
    </w:lvl>
    <w:lvl w:ilvl="2" w:tplc="0402001B" w:tentative="1">
      <w:start w:val="1"/>
      <w:numFmt w:val="lowerRoman"/>
      <w:lvlText w:val="%3."/>
      <w:lvlJc w:val="right"/>
      <w:pPr>
        <w:ind w:left="2176" w:hanging="180"/>
      </w:pPr>
    </w:lvl>
    <w:lvl w:ilvl="3" w:tplc="0402000F" w:tentative="1">
      <w:start w:val="1"/>
      <w:numFmt w:val="decimal"/>
      <w:lvlText w:val="%4."/>
      <w:lvlJc w:val="left"/>
      <w:pPr>
        <w:ind w:left="2896" w:hanging="360"/>
      </w:pPr>
    </w:lvl>
    <w:lvl w:ilvl="4" w:tplc="04020019" w:tentative="1">
      <w:start w:val="1"/>
      <w:numFmt w:val="lowerLetter"/>
      <w:lvlText w:val="%5."/>
      <w:lvlJc w:val="left"/>
      <w:pPr>
        <w:ind w:left="3616" w:hanging="360"/>
      </w:pPr>
    </w:lvl>
    <w:lvl w:ilvl="5" w:tplc="0402001B" w:tentative="1">
      <w:start w:val="1"/>
      <w:numFmt w:val="lowerRoman"/>
      <w:lvlText w:val="%6."/>
      <w:lvlJc w:val="right"/>
      <w:pPr>
        <w:ind w:left="4336" w:hanging="180"/>
      </w:pPr>
    </w:lvl>
    <w:lvl w:ilvl="6" w:tplc="0402000F" w:tentative="1">
      <w:start w:val="1"/>
      <w:numFmt w:val="decimal"/>
      <w:lvlText w:val="%7."/>
      <w:lvlJc w:val="left"/>
      <w:pPr>
        <w:ind w:left="5056" w:hanging="360"/>
      </w:pPr>
    </w:lvl>
    <w:lvl w:ilvl="7" w:tplc="04020019" w:tentative="1">
      <w:start w:val="1"/>
      <w:numFmt w:val="lowerLetter"/>
      <w:lvlText w:val="%8."/>
      <w:lvlJc w:val="left"/>
      <w:pPr>
        <w:ind w:left="5776" w:hanging="360"/>
      </w:pPr>
    </w:lvl>
    <w:lvl w:ilvl="8" w:tplc="0402001B" w:tentative="1">
      <w:start w:val="1"/>
      <w:numFmt w:val="lowerRoman"/>
      <w:lvlText w:val="%9."/>
      <w:lvlJc w:val="right"/>
      <w:pPr>
        <w:ind w:left="6496" w:hanging="180"/>
      </w:pPr>
    </w:lvl>
  </w:abstractNum>
  <w:abstractNum w:abstractNumId="7" w15:restartNumberingAfterBreak="0">
    <w:nsid w:val="6D3C6E72"/>
    <w:multiLevelType w:val="hybridMultilevel"/>
    <w:tmpl w:val="366C25FE"/>
    <w:lvl w:ilvl="0" w:tplc="E5AEDB9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5078B7"/>
    <w:multiLevelType w:val="multilevel"/>
    <w:tmpl w:val="AD4CD66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F663F99"/>
    <w:multiLevelType w:val="hybridMultilevel"/>
    <w:tmpl w:val="76E49E9E"/>
    <w:lvl w:ilvl="0" w:tplc="0826D2BE">
      <w:start w:val="1"/>
      <w:numFmt w:val="decimal"/>
      <w:lvlText w:val="%1."/>
      <w:lvlJc w:val="left"/>
      <w:pPr>
        <w:ind w:left="502"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1"/>
  </w:num>
  <w:num w:numId="5">
    <w:abstractNumId w:val="5"/>
  </w:num>
  <w:num w:numId="6">
    <w:abstractNumId w:val="7"/>
  </w:num>
  <w:num w:numId="7">
    <w:abstractNumId w:val="6"/>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4B1"/>
    <w:rsid w:val="00014291"/>
    <w:rsid w:val="00043F32"/>
    <w:rsid w:val="00093976"/>
    <w:rsid w:val="000B3615"/>
    <w:rsid w:val="000B5EF4"/>
    <w:rsid w:val="000D312C"/>
    <w:rsid w:val="000D764E"/>
    <w:rsid w:val="001435ED"/>
    <w:rsid w:val="00191DC3"/>
    <w:rsid w:val="001B53F8"/>
    <w:rsid w:val="001E6FEF"/>
    <w:rsid w:val="001F624F"/>
    <w:rsid w:val="0020326F"/>
    <w:rsid w:val="00252EA8"/>
    <w:rsid w:val="00260430"/>
    <w:rsid w:val="00267BC8"/>
    <w:rsid w:val="002A723F"/>
    <w:rsid w:val="002B6561"/>
    <w:rsid w:val="002C221D"/>
    <w:rsid w:val="003000C4"/>
    <w:rsid w:val="00302436"/>
    <w:rsid w:val="00342AEA"/>
    <w:rsid w:val="00393C60"/>
    <w:rsid w:val="003E4967"/>
    <w:rsid w:val="004530D9"/>
    <w:rsid w:val="004A7565"/>
    <w:rsid w:val="0052617A"/>
    <w:rsid w:val="00527B02"/>
    <w:rsid w:val="005D116A"/>
    <w:rsid w:val="00620542"/>
    <w:rsid w:val="0067693A"/>
    <w:rsid w:val="006A1E64"/>
    <w:rsid w:val="006C14B1"/>
    <w:rsid w:val="00760548"/>
    <w:rsid w:val="007C32E9"/>
    <w:rsid w:val="007E6117"/>
    <w:rsid w:val="00852F83"/>
    <w:rsid w:val="00875226"/>
    <w:rsid w:val="00884BFD"/>
    <w:rsid w:val="008B0774"/>
    <w:rsid w:val="008E608C"/>
    <w:rsid w:val="00906C44"/>
    <w:rsid w:val="00911186"/>
    <w:rsid w:val="009207A6"/>
    <w:rsid w:val="0096368D"/>
    <w:rsid w:val="00967B69"/>
    <w:rsid w:val="00993654"/>
    <w:rsid w:val="009E14A4"/>
    <w:rsid w:val="00A65344"/>
    <w:rsid w:val="00A814BC"/>
    <w:rsid w:val="00A97C97"/>
    <w:rsid w:val="00AA4168"/>
    <w:rsid w:val="00AC62F3"/>
    <w:rsid w:val="00B018BE"/>
    <w:rsid w:val="00B3413C"/>
    <w:rsid w:val="00B50274"/>
    <w:rsid w:val="00B51B2D"/>
    <w:rsid w:val="00B52274"/>
    <w:rsid w:val="00B5359D"/>
    <w:rsid w:val="00B618A5"/>
    <w:rsid w:val="00B75306"/>
    <w:rsid w:val="00B76D4C"/>
    <w:rsid w:val="00B83759"/>
    <w:rsid w:val="00B97212"/>
    <w:rsid w:val="00BB3017"/>
    <w:rsid w:val="00C24324"/>
    <w:rsid w:val="00C75A96"/>
    <w:rsid w:val="00C93E3B"/>
    <w:rsid w:val="00CD3AA4"/>
    <w:rsid w:val="00CF02AD"/>
    <w:rsid w:val="00D0086A"/>
    <w:rsid w:val="00D82C7C"/>
    <w:rsid w:val="00DC723E"/>
    <w:rsid w:val="00DE27DA"/>
    <w:rsid w:val="00DF7822"/>
    <w:rsid w:val="00E72B73"/>
    <w:rsid w:val="00EA248B"/>
    <w:rsid w:val="00EE2C9A"/>
    <w:rsid w:val="00EE35BF"/>
    <w:rsid w:val="00F0693C"/>
    <w:rsid w:val="00F11DFF"/>
    <w:rsid w:val="00F32860"/>
    <w:rsid w:val="00F55547"/>
    <w:rsid w:val="00F677F9"/>
    <w:rsid w:val="00F86F50"/>
    <w:rsid w:val="00F97824"/>
    <w:rsid w:val="00FC441D"/>
    <w:rsid w:val="00FC5531"/>
    <w:rsid w:val="00FD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74D4E6A7"/>
  <w15:chartTrackingRefBased/>
  <w15:docId w15:val="{7ACE5A5F-0781-4889-9C96-E9186BED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B69"/>
    <w:rPr>
      <w:lang w:val="bg-BG"/>
    </w:rPr>
  </w:style>
  <w:style w:type="paragraph" w:styleId="Heading1">
    <w:name w:val="heading 1"/>
    <w:basedOn w:val="Normal"/>
    <w:next w:val="Normal"/>
    <w:link w:val="Heading1Char"/>
    <w:qFormat/>
    <w:rsid w:val="00967B69"/>
    <w:pPr>
      <w:keepNext/>
      <w:jc w:val="center"/>
      <w:outlineLvl w:val="0"/>
    </w:pPr>
    <w:rPr>
      <w:rFonts w:eastAsia="Arial Narrow"/>
      <w:b/>
      <w:w w:val="150"/>
      <w:sz w:val="36"/>
    </w:rPr>
  </w:style>
  <w:style w:type="paragraph" w:styleId="Heading2">
    <w:name w:val="heading 2"/>
    <w:basedOn w:val="Normal"/>
    <w:next w:val="Normal"/>
    <w:link w:val="Heading2Char"/>
    <w:qFormat/>
    <w:rsid w:val="00967B69"/>
    <w:pPr>
      <w:keepNext/>
      <w:autoSpaceDE w:val="0"/>
      <w:autoSpaceDN w:val="0"/>
      <w:adjustRightInd w:val="0"/>
      <w:spacing w:after="360" w:line="384" w:lineRule="atLeast"/>
      <w:jc w:val="center"/>
      <w:outlineLvl w:val="1"/>
    </w:pPr>
    <w:rPr>
      <w:rFonts w:ascii="Arial" w:hAnsi="Arial"/>
      <w:b/>
      <w:bCs/>
      <w:caps/>
      <w:sz w:val="30"/>
      <w:szCs w:val="30"/>
    </w:rPr>
  </w:style>
  <w:style w:type="paragraph" w:styleId="Heading3">
    <w:name w:val="heading 3"/>
    <w:basedOn w:val="Normal"/>
    <w:next w:val="Normal"/>
    <w:link w:val="Heading3Char"/>
    <w:qFormat/>
    <w:rsid w:val="00967B69"/>
    <w:pPr>
      <w:keepNext/>
      <w:tabs>
        <w:tab w:val="left" w:pos="1134"/>
      </w:tabs>
      <w:ind w:firstLine="851"/>
      <w:jc w:val="center"/>
      <w:outlineLvl w:val="2"/>
    </w:pPr>
    <w:rPr>
      <w:rFonts w:eastAsia="Arial Narrow"/>
      <w:b/>
      <w:bCs/>
      <w:sz w:val="24"/>
    </w:rPr>
  </w:style>
  <w:style w:type="paragraph" w:styleId="Heading4">
    <w:name w:val="heading 4"/>
    <w:basedOn w:val="Normal"/>
    <w:next w:val="Normal"/>
    <w:link w:val="Heading4Char"/>
    <w:qFormat/>
    <w:rsid w:val="00967B69"/>
    <w:pPr>
      <w:keepNext/>
      <w:tabs>
        <w:tab w:val="left" w:pos="851"/>
      </w:tabs>
      <w:ind w:left="851" w:hanging="284"/>
      <w:jc w:val="both"/>
      <w:outlineLvl w:val="3"/>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B69"/>
    <w:rPr>
      <w:rFonts w:eastAsia="Arial Narrow"/>
      <w:b/>
      <w:w w:val="150"/>
      <w:sz w:val="36"/>
      <w:lang w:val="bg-BG"/>
    </w:rPr>
  </w:style>
  <w:style w:type="character" w:customStyle="1" w:styleId="Heading2Char">
    <w:name w:val="Heading 2 Char"/>
    <w:basedOn w:val="DefaultParagraphFont"/>
    <w:link w:val="Heading2"/>
    <w:rsid w:val="00967B69"/>
    <w:rPr>
      <w:rFonts w:ascii="Arial" w:hAnsi="Arial"/>
      <w:b/>
      <w:bCs/>
      <w:caps/>
      <w:sz w:val="30"/>
      <w:szCs w:val="30"/>
      <w:lang w:val="bg-BG"/>
    </w:rPr>
  </w:style>
  <w:style w:type="character" w:customStyle="1" w:styleId="Heading3Char">
    <w:name w:val="Heading 3 Char"/>
    <w:basedOn w:val="DefaultParagraphFont"/>
    <w:link w:val="Heading3"/>
    <w:rsid w:val="00967B69"/>
    <w:rPr>
      <w:rFonts w:eastAsia="Arial Narrow"/>
      <w:b/>
      <w:bCs/>
      <w:sz w:val="24"/>
      <w:lang w:val="bg-BG"/>
    </w:rPr>
  </w:style>
  <w:style w:type="character" w:customStyle="1" w:styleId="Heading4Char">
    <w:name w:val="Heading 4 Char"/>
    <w:basedOn w:val="DefaultParagraphFont"/>
    <w:link w:val="Heading4"/>
    <w:rsid w:val="00967B69"/>
    <w:rPr>
      <w:i/>
      <w:iCs/>
      <w:sz w:val="24"/>
      <w:lang w:val="bg-BG"/>
    </w:rPr>
  </w:style>
  <w:style w:type="paragraph" w:styleId="Title">
    <w:name w:val="Title"/>
    <w:basedOn w:val="Normal"/>
    <w:link w:val="TitleChar"/>
    <w:qFormat/>
    <w:rsid w:val="00967B69"/>
    <w:pPr>
      <w:jc w:val="center"/>
    </w:pPr>
    <w:rPr>
      <w:b/>
      <w:sz w:val="24"/>
    </w:rPr>
  </w:style>
  <w:style w:type="character" w:customStyle="1" w:styleId="TitleChar">
    <w:name w:val="Title Char"/>
    <w:basedOn w:val="DefaultParagraphFont"/>
    <w:link w:val="Title"/>
    <w:rsid w:val="00967B69"/>
    <w:rPr>
      <w:b/>
      <w:sz w:val="24"/>
      <w:lang w:val="bg-BG"/>
    </w:rPr>
  </w:style>
  <w:style w:type="paragraph" w:styleId="NoSpacing">
    <w:name w:val="No Spacing"/>
    <w:uiPriority w:val="1"/>
    <w:qFormat/>
    <w:rsid w:val="00967B69"/>
    <w:rPr>
      <w:rFonts w:asciiTheme="minorHAnsi" w:eastAsiaTheme="minorHAnsi" w:hAnsiTheme="minorHAnsi" w:cstheme="minorBidi"/>
      <w:sz w:val="22"/>
      <w:szCs w:val="22"/>
    </w:rPr>
  </w:style>
  <w:style w:type="paragraph" w:styleId="CommentText">
    <w:name w:val="annotation text"/>
    <w:basedOn w:val="Normal"/>
    <w:link w:val="CommentTextChar"/>
    <w:uiPriority w:val="99"/>
    <w:semiHidden/>
    <w:unhideWhenUsed/>
    <w:rsid w:val="006C14B1"/>
  </w:style>
  <w:style w:type="character" w:customStyle="1" w:styleId="CommentTextChar">
    <w:name w:val="Comment Text Char"/>
    <w:basedOn w:val="DefaultParagraphFont"/>
    <w:link w:val="CommentText"/>
    <w:uiPriority w:val="99"/>
    <w:semiHidden/>
    <w:rsid w:val="006C14B1"/>
    <w:rPr>
      <w:lang w:val="bg-BG"/>
    </w:rPr>
  </w:style>
  <w:style w:type="character" w:styleId="CommentReference">
    <w:name w:val="annotation reference"/>
    <w:basedOn w:val="DefaultParagraphFont"/>
    <w:uiPriority w:val="99"/>
    <w:semiHidden/>
    <w:unhideWhenUsed/>
    <w:rsid w:val="006C14B1"/>
    <w:rPr>
      <w:sz w:val="16"/>
      <w:szCs w:val="16"/>
    </w:rPr>
  </w:style>
  <w:style w:type="paragraph" w:styleId="BalloonText">
    <w:name w:val="Balloon Text"/>
    <w:basedOn w:val="Normal"/>
    <w:link w:val="BalloonTextChar"/>
    <w:uiPriority w:val="99"/>
    <w:semiHidden/>
    <w:unhideWhenUsed/>
    <w:rsid w:val="006C14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4B1"/>
    <w:rPr>
      <w:rFonts w:ascii="Segoe UI" w:hAnsi="Segoe UI" w:cs="Segoe UI"/>
      <w:sz w:val="18"/>
      <w:szCs w:val="18"/>
      <w:lang w:val="bg-BG"/>
    </w:rPr>
  </w:style>
  <w:style w:type="paragraph" w:styleId="ListParagraph">
    <w:name w:val="List Paragraph"/>
    <w:basedOn w:val="Normal"/>
    <w:link w:val="ListParagraphChar"/>
    <w:uiPriority w:val="34"/>
    <w:qFormat/>
    <w:rsid w:val="00DF7822"/>
    <w:pPr>
      <w:ind w:left="720"/>
      <w:contextualSpacing/>
    </w:pPr>
  </w:style>
  <w:style w:type="paragraph" w:customStyle="1" w:styleId="CharCharCharChar">
    <w:name w:val="Char Char Char Char"/>
    <w:basedOn w:val="Normal"/>
    <w:rsid w:val="00302436"/>
    <w:pPr>
      <w:tabs>
        <w:tab w:val="left" w:pos="709"/>
      </w:tabs>
    </w:pPr>
    <w:rPr>
      <w:rFonts w:ascii="Tahoma" w:hAnsi="Tahoma" w:cs="Tahoma"/>
      <w:sz w:val="24"/>
      <w:szCs w:val="24"/>
      <w:lang w:val="pl-PL" w:eastAsia="pl-PL"/>
    </w:rPr>
  </w:style>
  <w:style w:type="paragraph" w:styleId="z-TopofForm">
    <w:name w:val="HTML Top of Form"/>
    <w:basedOn w:val="Normal"/>
    <w:next w:val="Normal"/>
    <w:link w:val="z-TopofFormChar"/>
    <w:hidden/>
    <w:uiPriority w:val="99"/>
    <w:semiHidden/>
    <w:unhideWhenUsed/>
    <w:rsid w:val="002604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60430"/>
    <w:rPr>
      <w:rFonts w:ascii="Arial" w:hAnsi="Arial" w:cs="Arial"/>
      <w:vanish/>
      <w:sz w:val="16"/>
      <w:szCs w:val="16"/>
      <w:lang w:val="bg-BG"/>
    </w:rPr>
  </w:style>
  <w:style w:type="paragraph" w:styleId="z-BottomofForm">
    <w:name w:val="HTML Bottom of Form"/>
    <w:basedOn w:val="Normal"/>
    <w:next w:val="Normal"/>
    <w:link w:val="z-BottomofFormChar"/>
    <w:hidden/>
    <w:uiPriority w:val="99"/>
    <w:semiHidden/>
    <w:unhideWhenUsed/>
    <w:rsid w:val="002604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60430"/>
    <w:rPr>
      <w:rFonts w:ascii="Arial" w:hAnsi="Arial" w:cs="Arial"/>
      <w:vanish/>
      <w:sz w:val="16"/>
      <w:szCs w:val="16"/>
      <w:lang w:val="bg-BG"/>
    </w:rPr>
  </w:style>
  <w:style w:type="paragraph" w:styleId="CommentSubject">
    <w:name w:val="annotation subject"/>
    <w:basedOn w:val="CommentText"/>
    <w:next w:val="CommentText"/>
    <w:link w:val="CommentSubjectChar"/>
    <w:uiPriority w:val="99"/>
    <w:semiHidden/>
    <w:unhideWhenUsed/>
    <w:rsid w:val="00B3413C"/>
    <w:rPr>
      <w:b/>
      <w:bCs/>
    </w:rPr>
  </w:style>
  <w:style w:type="character" w:customStyle="1" w:styleId="CommentSubjectChar">
    <w:name w:val="Comment Subject Char"/>
    <w:basedOn w:val="CommentTextChar"/>
    <w:link w:val="CommentSubject"/>
    <w:uiPriority w:val="99"/>
    <w:semiHidden/>
    <w:rsid w:val="00B3413C"/>
    <w:rPr>
      <w:b/>
      <w:bCs/>
      <w:lang w:val="bg-BG"/>
    </w:rPr>
  </w:style>
  <w:style w:type="paragraph" w:styleId="ListBullet">
    <w:name w:val="List Bullet"/>
    <w:basedOn w:val="Normal"/>
    <w:uiPriority w:val="99"/>
    <w:rsid w:val="00EE35BF"/>
    <w:pPr>
      <w:tabs>
        <w:tab w:val="num" w:pos="340"/>
      </w:tabs>
      <w:spacing w:before="120" w:after="120"/>
      <w:ind w:left="360" w:hanging="360"/>
      <w:contextualSpacing/>
      <w:jc w:val="both"/>
    </w:pPr>
    <w:rPr>
      <w:sz w:val="24"/>
      <w:lang w:val="en-GB" w:eastAsia="en-GB"/>
    </w:rPr>
  </w:style>
  <w:style w:type="character" w:customStyle="1" w:styleId="ListParagraphChar">
    <w:name w:val="List Paragraph Char"/>
    <w:link w:val="ListParagraph"/>
    <w:uiPriority w:val="34"/>
    <w:qFormat/>
    <w:locked/>
    <w:rsid w:val="00EE35BF"/>
    <w:rPr>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image" Target="media/image7.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control" Target="activeX/activeX9.xml"/><Relationship Id="rId34" Type="http://schemas.openxmlformats.org/officeDocument/2006/relationships/fontTable" Target="fontTable.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5" Type="http://schemas.openxmlformats.org/officeDocument/2006/relationships/control" Target="activeX/activeX11.xml"/><Relationship Id="rId33" Type="http://schemas.openxmlformats.org/officeDocument/2006/relationships/control" Target="activeX/activeX17.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control" Target="activeX/activeX8.xml"/><Relationship Id="rId29" Type="http://schemas.openxmlformats.org/officeDocument/2006/relationships/control" Target="activeX/activeX13.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image" Target="media/image9.wmf"/><Relationship Id="rId32" Type="http://schemas.openxmlformats.org/officeDocument/2006/relationships/control" Target="activeX/activeX16.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image" Target="media/image11.wmf"/><Relationship Id="rId10" Type="http://schemas.openxmlformats.org/officeDocument/2006/relationships/image" Target="media/image3.wmf"/><Relationship Id="rId19" Type="http://schemas.openxmlformats.org/officeDocument/2006/relationships/control" Target="activeX/activeX7.xml"/><Relationship Id="rId31" Type="http://schemas.openxmlformats.org/officeDocument/2006/relationships/control" Target="activeX/activeX15.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control" Target="activeX/activeX12.xml"/><Relationship Id="rId30" Type="http://schemas.openxmlformats.org/officeDocument/2006/relationships/control" Target="activeX/activeX14.xml"/><Relationship Id="rId35" Type="http://schemas.openxmlformats.org/officeDocument/2006/relationships/theme" Target="theme/theme1.xml"/><Relationship Id="rId8"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9B52D-720D-43EA-9A61-70F3F0AE7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4632</Words>
  <Characters>26405</Characters>
  <Application>Microsoft Office Word</Application>
  <DocSecurity>4</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Vanya Nikolaeva Vitanova</dc:creator>
  <cp:keywords/>
  <dc:description/>
  <cp:lastModifiedBy>Boryana Ivanova Stoeva</cp:lastModifiedBy>
  <cp:revision>2</cp:revision>
  <dcterms:created xsi:type="dcterms:W3CDTF">2025-11-14T13:31:00Z</dcterms:created>
  <dcterms:modified xsi:type="dcterms:W3CDTF">2025-11-14T13:31:00Z</dcterms:modified>
</cp:coreProperties>
</file>