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20F67" w14:textId="77777777" w:rsidR="00FE1AF2" w:rsidRPr="006843F4" w:rsidRDefault="00FE1AF2" w:rsidP="00FE1AF2">
      <w:pPr>
        <w:jc w:val="center"/>
        <w:rPr>
          <w:b/>
          <w:bCs/>
          <w:sz w:val="24"/>
          <w:szCs w:val="24"/>
        </w:rPr>
      </w:pPr>
      <w:r w:rsidRPr="006843F4">
        <w:rPr>
          <w:b/>
          <w:bCs/>
          <w:sz w:val="24"/>
          <w:szCs w:val="24"/>
          <w:lang w:val="en-US"/>
        </w:rPr>
        <w:t>С</w:t>
      </w:r>
      <w:proofErr w:type="spellStart"/>
      <w:r w:rsidRPr="006843F4">
        <w:rPr>
          <w:b/>
          <w:bCs/>
          <w:sz w:val="24"/>
          <w:szCs w:val="24"/>
        </w:rPr>
        <w:t>правка</w:t>
      </w:r>
      <w:proofErr w:type="spellEnd"/>
    </w:p>
    <w:p w14:paraId="3F65A268" w14:textId="77777777" w:rsidR="009139C3" w:rsidRPr="006843F4" w:rsidRDefault="009139C3" w:rsidP="009139C3">
      <w:pPr>
        <w:jc w:val="center"/>
        <w:rPr>
          <w:b/>
          <w:bCs/>
          <w:sz w:val="24"/>
          <w:szCs w:val="24"/>
        </w:rPr>
      </w:pPr>
      <w:r w:rsidRPr="006843F4">
        <w:rPr>
          <w:b/>
          <w:bCs/>
          <w:sz w:val="24"/>
          <w:szCs w:val="24"/>
        </w:rPr>
        <w:t>за отразяване на постъпилите предложения и становища от обществените консултации по</w:t>
      </w:r>
    </w:p>
    <w:p w14:paraId="39144E44" w14:textId="77777777" w:rsidR="00D80D13" w:rsidRPr="006843F4" w:rsidRDefault="00FE1AF2" w:rsidP="009139C3">
      <w:pPr>
        <w:jc w:val="center"/>
        <w:rPr>
          <w:b/>
          <w:bCs/>
          <w:sz w:val="24"/>
          <w:szCs w:val="24"/>
        </w:rPr>
      </w:pPr>
      <w:r w:rsidRPr="006843F4">
        <w:rPr>
          <w:b/>
          <w:bCs/>
          <w:sz w:val="24"/>
          <w:szCs w:val="24"/>
        </w:rPr>
        <w:t xml:space="preserve"> проект на </w:t>
      </w:r>
    </w:p>
    <w:p w14:paraId="5B0B626A" w14:textId="77777777" w:rsidR="00136BC7" w:rsidRDefault="00DB2810" w:rsidP="00FE1AF2">
      <w:pPr>
        <w:jc w:val="center"/>
        <w:rPr>
          <w:b/>
          <w:bCs/>
          <w:sz w:val="24"/>
          <w:szCs w:val="24"/>
        </w:rPr>
      </w:pPr>
      <w:r w:rsidRPr="006843F4">
        <w:rPr>
          <w:b/>
          <w:bCs/>
          <w:sz w:val="24"/>
          <w:szCs w:val="24"/>
        </w:rPr>
        <w:t xml:space="preserve">Наредба № </w:t>
      </w:r>
      <w:r w:rsidR="00EA5A3B">
        <w:rPr>
          <w:b/>
          <w:bCs/>
          <w:sz w:val="24"/>
          <w:szCs w:val="24"/>
        </w:rPr>
        <w:t>Н-6</w:t>
      </w:r>
      <w:r w:rsidRPr="006843F4">
        <w:rPr>
          <w:b/>
          <w:bCs/>
          <w:sz w:val="24"/>
          <w:szCs w:val="24"/>
        </w:rPr>
        <w:t xml:space="preserve"> за </w:t>
      </w:r>
      <w:r w:rsidR="00EA5A3B">
        <w:rPr>
          <w:b/>
          <w:bCs/>
          <w:sz w:val="24"/>
          <w:szCs w:val="24"/>
        </w:rPr>
        <w:t>условията и реда за експлоатация на безпилотни летателни системи и надзора над техните оператори</w:t>
      </w:r>
      <w:r w:rsidR="009139C3" w:rsidRPr="006843F4">
        <w:rPr>
          <w:b/>
          <w:bCs/>
          <w:sz w:val="24"/>
          <w:szCs w:val="24"/>
        </w:rPr>
        <w:t xml:space="preserve">, </w:t>
      </w:r>
    </w:p>
    <w:p w14:paraId="5ECB62EF" w14:textId="77777777" w:rsidR="00D80D13" w:rsidRPr="006843F4" w:rsidRDefault="009139C3" w:rsidP="00FE1AF2">
      <w:pPr>
        <w:jc w:val="center"/>
        <w:rPr>
          <w:b/>
          <w:bCs/>
          <w:sz w:val="24"/>
          <w:szCs w:val="24"/>
        </w:rPr>
      </w:pPr>
      <w:r w:rsidRPr="006843F4">
        <w:rPr>
          <w:b/>
          <w:bCs/>
          <w:sz w:val="24"/>
          <w:szCs w:val="24"/>
        </w:rPr>
        <w:t>проведени в периода 2</w:t>
      </w:r>
      <w:r w:rsidR="00EA5A3B">
        <w:rPr>
          <w:b/>
          <w:bCs/>
          <w:sz w:val="24"/>
          <w:szCs w:val="24"/>
        </w:rPr>
        <w:t>8</w:t>
      </w:r>
      <w:r w:rsidRPr="006843F4">
        <w:rPr>
          <w:b/>
          <w:bCs/>
          <w:sz w:val="24"/>
          <w:szCs w:val="24"/>
        </w:rPr>
        <w:t>.</w:t>
      </w:r>
      <w:r w:rsidR="00EA5A3B">
        <w:rPr>
          <w:b/>
          <w:bCs/>
          <w:sz w:val="24"/>
          <w:szCs w:val="24"/>
        </w:rPr>
        <w:t>6</w:t>
      </w:r>
      <w:r w:rsidRPr="006843F4">
        <w:rPr>
          <w:b/>
          <w:bCs/>
          <w:sz w:val="24"/>
          <w:szCs w:val="24"/>
        </w:rPr>
        <w:t>.2025 г. - 2</w:t>
      </w:r>
      <w:r w:rsidR="00EA5A3B">
        <w:rPr>
          <w:b/>
          <w:bCs/>
          <w:sz w:val="24"/>
          <w:szCs w:val="24"/>
        </w:rPr>
        <w:t>7</w:t>
      </w:r>
      <w:r w:rsidRPr="006843F4">
        <w:rPr>
          <w:b/>
          <w:bCs/>
          <w:sz w:val="24"/>
          <w:szCs w:val="24"/>
        </w:rPr>
        <w:t>.</w:t>
      </w:r>
      <w:r w:rsidR="00EA5A3B">
        <w:rPr>
          <w:b/>
          <w:bCs/>
          <w:sz w:val="24"/>
          <w:szCs w:val="24"/>
        </w:rPr>
        <w:t>7</w:t>
      </w:r>
      <w:r w:rsidRPr="006843F4">
        <w:rPr>
          <w:b/>
          <w:bCs/>
          <w:sz w:val="24"/>
          <w:szCs w:val="24"/>
        </w:rPr>
        <w:t>.2025 г.</w:t>
      </w:r>
    </w:p>
    <w:p w14:paraId="3B9F5047" w14:textId="77777777" w:rsidR="00FE1AF2" w:rsidRPr="006843F4" w:rsidRDefault="00FE1AF2" w:rsidP="00FE1AF2">
      <w:pPr>
        <w:jc w:val="both"/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4"/>
        <w:gridCol w:w="5006"/>
        <w:gridCol w:w="1921"/>
        <w:gridCol w:w="5551"/>
      </w:tblGrid>
      <w:tr w:rsidR="00FE1AF2" w:rsidRPr="006843F4" w14:paraId="1012F488" w14:textId="77777777" w:rsidTr="00A6068C">
        <w:tc>
          <w:tcPr>
            <w:tcW w:w="2084" w:type="dxa"/>
          </w:tcPr>
          <w:p w14:paraId="69D78B62" w14:textId="77777777" w:rsidR="00FE1AF2" w:rsidRPr="006843F4" w:rsidRDefault="00FE1AF2" w:rsidP="00A6068C">
            <w:pPr>
              <w:autoSpaceDE w:val="0"/>
              <w:autoSpaceDN w:val="0"/>
              <w:jc w:val="center"/>
              <w:rPr>
                <w:b/>
                <w:bCs/>
                <w:sz w:val="24"/>
                <w:szCs w:val="24"/>
                <w:lang w:eastAsia="bg-BG"/>
              </w:rPr>
            </w:pPr>
            <w:r w:rsidRPr="006843F4">
              <w:rPr>
                <w:b/>
                <w:bCs/>
                <w:sz w:val="24"/>
                <w:szCs w:val="24"/>
                <w:lang w:eastAsia="bg-BG"/>
              </w:rPr>
              <w:t>Изготвил становището</w:t>
            </w:r>
          </w:p>
          <w:p w14:paraId="0D0B1568" w14:textId="77777777" w:rsidR="00FE1AF2" w:rsidRPr="006843F4" w:rsidRDefault="00FE1AF2" w:rsidP="00A6068C">
            <w:pPr>
              <w:autoSpaceDE w:val="0"/>
              <w:autoSpaceDN w:val="0"/>
              <w:jc w:val="center"/>
              <w:rPr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5006" w:type="dxa"/>
          </w:tcPr>
          <w:p w14:paraId="7D40F259" w14:textId="77777777" w:rsidR="00FE1AF2" w:rsidRPr="006843F4" w:rsidRDefault="00FE1AF2" w:rsidP="00A6068C">
            <w:pPr>
              <w:autoSpaceDE w:val="0"/>
              <w:autoSpaceDN w:val="0"/>
              <w:jc w:val="center"/>
              <w:rPr>
                <w:b/>
                <w:bCs/>
                <w:sz w:val="24"/>
                <w:szCs w:val="24"/>
                <w:lang w:eastAsia="bg-BG"/>
              </w:rPr>
            </w:pPr>
            <w:r w:rsidRPr="006843F4">
              <w:rPr>
                <w:b/>
                <w:bCs/>
                <w:sz w:val="24"/>
                <w:szCs w:val="24"/>
                <w:lang w:eastAsia="bg-BG"/>
              </w:rPr>
              <w:t>Предложение</w:t>
            </w:r>
          </w:p>
        </w:tc>
        <w:tc>
          <w:tcPr>
            <w:tcW w:w="1921" w:type="dxa"/>
          </w:tcPr>
          <w:p w14:paraId="3F9E29AE" w14:textId="77777777" w:rsidR="00FE1AF2" w:rsidRPr="006843F4" w:rsidRDefault="00FE1AF2" w:rsidP="00A6068C">
            <w:pPr>
              <w:autoSpaceDE w:val="0"/>
              <w:autoSpaceDN w:val="0"/>
              <w:jc w:val="center"/>
              <w:rPr>
                <w:b/>
                <w:bCs/>
                <w:sz w:val="24"/>
                <w:szCs w:val="24"/>
                <w:lang w:eastAsia="bg-BG"/>
              </w:rPr>
            </w:pPr>
            <w:r w:rsidRPr="006843F4">
              <w:rPr>
                <w:b/>
                <w:bCs/>
                <w:sz w:val="24"/>
                <w:szCs w:val="24"/>
                <w:lang w:eastAsia="bg-BG"/>
              </w:rPr>
              <w:t>Приема/не приема предложението</w:t>
            </w:r>
          </w:p>
        </w:tc>
        <w:tc>
          <w:tcPr>
            <w:tcW w:w="5551" w:type="dxa"/>
          </w:tcPr>
          <w:p w14:paraId="31B1E109" w14:textId="77777777" w:rsidR="00FE1AF2" w:rsidRPr="006843F4" w:rsidRDefault="00FE1AF2" w:rsidP="0080083B">
            <w:pPr>
              <w:autoSpaceDE w:val="0"/>
              <w:autoSpaceDN w:val="0"/>
              <w:jc w:val="both"/>
              <w:rPr>
                <w:b/>
                <w:bCs/>
                <w:sz w:val="24"/>
                <w:szCs w:val="24"/>
                <w:lang w:eastAsia="bg-BG"/>
              </w:rPr>
            </w:pPr>
            <w:r w:rsidRPr="006843F4">
              <w:rPr>
                <w:b/>
                <w:bCs/>
                <w:sz w:val="24"/>
                <w:szCs w:val="24"/>
                <w:lang w:eastAsia="bg-BG"/>
              </w:rPr>
              <w:t>Мотиви за неприемане на предложението</w:t>
            </w:r>
          </w:p>
        </w:tc>
      </w:tr>
      <w:tr w:rsidR="008139C6" w:rsidRPr="006843F4" w14:paraId="0D1D43D6" w14:textId="77777777" w:rsidTr="00A6068C">
        <w:tc>
          <w:tcPr>
            <w:tcW w:w="2084" w:type="dxa"/>
            <w:vMerge w:val="restart"/>
          </w:tcPr>
          <w:p w14:paraId="423BCC37" w14:textId="77777777" w:rsidR="008139C6" w:rsidRPr="006843F4" w:rsidRDefault="008139C6" w:rsidP="00A6068C">
            <w:pPr>
              <w:autoSpaceDE w:val="0"/>
              <w:autoSpaceDN w:val="0"/>
              <w:jc w:val="center"/>
              <w:rPr>
                <w:sz w:val="24"/>
                <w:szCs w:val="24"/>
                <w:lang w:eastAsia="bg-BG"/>
              </w:rPr>
            </w:pPr>
            <w:r>
              <w:rPr>
                <w:sz w:val="24"/>
                <w:szCs w:val="24"/>
                <w:lang w:eastAsia="bg-BG"/>
              </w:rPr>
              <w:t xml:space="preserve">ДП </w:t>
            </w:r>
            <w:r w:rsidR="00876C9A">
              <w:rPr>
                <w:sz w:val="24"/>
                <w:szCs w:val="24"/>
                <w:lang w:eastAsia="bg-BG"/>
              </w:rPr>
              <w:t>„</w:t>
            </w:r>
            <w:r>
              <w:rPr>
                <w:sz w:val="24"/>
                <w:szCs w:val="24"/>
                <w:lang w:eastAsia="bg-BG"/>
              </w:rPr>
              <w:t>РВД</w:t>
            </w:r>
            <w:r w:rsidR="00876C9A">
              <w:rPr>
                <w:sz w:val="24"/>
                <w:szCs w:val="24"/>
                <w:lang w:eastAsia="bg-BG"/>
              </w:rPr>
              <w:t>“</w:t>
            </w:r>
          </w:p>
        </w:tc>
        <w:tc>
          <w:tcPr>
            <w:tcW w:w="5006" w:type="dxa"/>
          </w:tcPr>
          <w:p w14:paraId="0B162669" w14:textId="77777777" w:rsidR="003071DB" w:rsidRPr="003071DB" w:rsidRDefault="003071DB" w:rsidP="003071DB">
            <w:pPr>
              <w:pStyle w:val="Body"/>
              <w:tabs>
                <w:tab w:val="left" w:pos="421"/>
              </w:tabs>
              <w:spacing w:before="40" w:after="40"/>
              <w:jc w:val="both"/>
              <w:rPr>
                <w:rFonts w:ascii="Times New Roman" w:hAnsi="Times New Roman"/>
              </w:rPr>
            </w:pPr>
            <w:r w:rsidRPr="003071DB">
              <w:rPr>
                <w:rFonts w:ascii="Times New Roman" w:hAnsi="Times New Roman"/>
              </w:rPr>
              <w:t xml:space="preserve">В чл. 3 да се добави нова ал. 7 с текст: </w:t>
            </w:r>
          </w:p>
          <w:p w14:paraId="6BCC481C" w14:textId="77777777" w:rsidR="00186391" w:rsidRPr="002E38DB" w:rsidRDefault="003071DB" w:rsidP="003071DB">
            <w:pPr>
              <w:pStyle w:val="Body"/>
              <w:tabs>
                <w:tab w:val="left" w:pos="421"/>
              </w:tabs>
              <w:spacing w:before="40" w:after="40"/>
              <w:jc w:val="both"/>
              <w:rPr>
                <w:rFonts w:ascii="Times New Roman" w:hAnsi="Times New Roman"/>
              </w:rPr>
            </w:pPr>
            <w:r w:rsidRPr="003071DB">
              <w:rPr>
                <w:rFonts w:ascii="Times New Roman" w:hAnsi="Times New Roman"/>
              </w:rPr>
              <w:t xml:space="preserve">„(7) Главна дирекция </w:t>
            </w:r>
            <w:r>
              <w:rPr>
                <w:rFonts w:ascii="Times New Roman" w:hAnsi="Times New Roman"/>
              </w:rPr>
              <w:t>„</w:t>
            </w:r>
            <w:r w:rsidRPr="003071DB">
              <w:rPr>
                <w:rFonts w:ascii="Times New Roman" w:hAnsi="Times New Roman"/>
              </w:rPr>
              <w:t>Гражданска въздухоплавателна администрация</w:t>
            </w:r>
            <w:r>
              <w:rPr>
                <w:rFonts w:ascii="Times New Roman" w:hAnsi="Times New Roman"/>
              </w:rPr>
              <w:t>“</w:t>
            </w:r>
            <w:r w:rsidRPr="003071DB">
              <w:rPr>
                <w:rFonts w:ascii="Times New Roman" w:hAnsi="Times New Roman"/>
              </w:rPr>
              <w:t xml:space="preserve"> издава разрешения за експлоатация за полети на БЛС, които ще се провеждат в публикуваните географски зони за БЛС и за полети на БЛС на височина над 120 m терена, които са извън публикуваните географски зони.“</w:t>
            </w:r>
          </w:p>
        </w:tc>
        <w:tc>
          <w:tcPr>
            <w:tcW w:w="1921" w:type="dxa"/>
          </w:tcPr>
          <w:p w14:paraId="16F73C55" w14:textId="77777777" w:rsidR="008139C6" w:rsidRPr="006843F4" w:rsidRDefault="003071DB" w:rsidP="009139C3">
            <w:pPr>
              <w:autoSpaceDE w:val="0"/>
              <w:autoSpaceDN w:val="0"/>
              <w:jc w:val="center"/>
              <w:rPr>
                <w:b/>
                <w:bCs/>
                <w:sz w:val="24"/>
                <w:szCs w:val="24"/>
                <w:lang w:eastAsia="bg-BG"/>
              </w:rPr>
            </w:pPr>
            <w:r w:rsidRPr="003071DB">
              <w:rPr>
                <w:b/>
                <w:bCs/>
                <w:sz w:val="24"/>
                <w:szCs w:val="24"/>
                <w:lang w:eastAsia="bg-BG"/>
              </w:rPr>
              <w:t>Не се приема</w:t>
            </w:r>
            <w:r>
              <w:rPr>
                <w:b/>
                <w:bCs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5551" w:type="dxa"/>
          </w:tcPr>
          <w:p w14:paraId="25D23A8F" w14:textId="77777777" w:rsidR="008139C6" w:rsidRPr="006843F4" w:rsidRDefault="003071DB" w:rsidP="003105F9">
            <w:pPr>
              <w:autoSpaceDE w:val="0"/>
              <w:autoSpaceDN w:val="0"/>
              <w:jc w:val="both"/>
              <w:rPr>
                <w:color w:val="FF0000"/>
                <w:sz w:val="24"/>
                <w:szCs w:val="24"/>
                <w:lang w:eastAsia="bg-BG"/>
              </w:rPr>
            </w:pPr>
            <w:r w:rsidRPr="004B12FC">
              <w:rPr>
                <w:sz w:val="24"/>
                <w:szCs w:val="24"/>
                <w:lang w:eastAsia="bg-BG"/>
              </w:rPr>
              <w:t>В чл. 5, параграф 1 от Регламент за изпълнение (ЕС) 2019/947 е разписано, че компетентният орган, а именно ГД ГВА, издава разрешение за експлоатация, докато в чл. 56, ал. 6 от Наредбата е разписано, че ГД ГВА издава разрешение за полет в географска зона.</w:t>
            </w:r>
          </w:p>
        </w:tc>
      </w:tr>
      <w:tr w:rsidR="003071DB" w:rsidRPr="006843F4" w14:paraId="5DA2D996" w14:textId="77777777" w:rsidTr="00A6068C">
        <w:tc>
          <w:tcPr>
            <w:tcW w:w="2084" w:type="dxa"/>
            <w:vMerge/>
          </w:tcPr>
          <w:p w14:paraId="36C031F3" w14:textId="77777777" w:rsidR="003071DB" w:rsidRDefault="003071DB" w:rsidP="003071DB">
            <w:pPr>
              <w:autoSpaceDE w:val="0"/>
              <w:autoSpaceDN w:val="0"/>
              <w:jc w:val="center"/>
              <w:rPr>
                <w:sz w:val="24"/>
                <w:szCs w:val="24"/>
                <w:lang w:eastAsia="bg-BG"/>
              </w:rPr>
            </w:pPr>
          </w:p>
        </w:tc>
        <w:tc>
          <w:tcPr>
            <w:tcW w:w="5006" w:type="dxa"/>
          </w:tcPr>
          <w:p w14:paraId="0648FC84" w14:textId="12BF33A7" w:rsidR="003071DB" w:rsidRPr="00A3017F" w:rsidRDefault="003071DB" w:rsidP="003071DB">
            <w:pPr>
              <w:pStyle w:val="Body"/>
              <w:tabs>
                <w:tab w:val="left" w:pos="720"/>
              </w:tabs>
              <w:spacing w:before="40" w:after="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чл. 56, ал. 5 да се измени по следния начин: </w:t>
            </w:r>
            <w:r w:rsidRPr="006843F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„(5) </w:t>
            </w:r>
            <w:r w:rsidRPr="00A3017F">
              <w:rPr>
                <w:rFonts w:ascii="Times New Roman" w:hAnsi="Times New Roman"/>
              </w:rPr>
              <w:t>Оператори на БЛС, притежаващи някой от документите изброени в чл. 36, могат да извършват полети с БЛС</w:t>
            </w:r>
            <w:r w:rsidR="008A0B5C" w:rsidRPr="00B16B9B">
              <w:rPr>
                <w:rFonts w:ascii="Times New Roman" w:hAnsi="Times New Roman"/>
              </w:rPr>
              <w:t xml:space="preserve"> могат да извършват полети с БЛС в географски зони, установени с цел за защита на летища</w:t>
            </w:r>
            <w:r>
              <w:rPr>
                <w:rFonts w:ascii="Times New Roman" w:hAnsi="Times New Roman"/>
              </w:rPr>
              <w:t>,</w:t>
            </w:r>
            <w:r w:rsidRPr="00A3017F">
              <w:rPr>
                <w:rFonts w:ascii="Times New Roman" w:hAnsi="Times New Roman"/>
              </w:rPr>
              <w:t xml:space="preserve"> след изрично разрешение на ГД ГВА и когато е изпълнено едно или повече от следните изисквания:</w:t>
            </w:r>
          </w:p>
          <w:p w14:paraId="390C0123" w14:textId="77777777" w:rsidR="003071DB" w:rsidRPr="00A3017F" w:rsidRDefault="003071DB" w:rsidP="003071DB">
            <w:pPr>
              <w:pStyle w:val="Body"/>
              <w:tabs>
                <w:tab w:val="left" w:pos="421"/>
              </w:tabs>
              <w:spacing w:before="40" w:after="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A3017F">
              <w:rPr>
                <w:rFonts w:ascii="Times New Roman" w:hAnsi="Times New Roman"/>
              </w:rPr>
              <w:t>притежаваните от тях документи по чл. 36 с</w:t>
            </w:r>
            <w:r>
              <w:rPr>
                <w:rFonts w:ascii="Times New Roman" w:hAnsi="Times New Roman"/>
              </w:rPr>
              <w:t>ъ</w:t>
            </w:r>
            <w:r w:rsidRPr="00A3017F">
              <w:rPr>
                <w:rFonts w:ascii="Times New Roman" w:hAnsi="Times New Roman"/>
              </w:rPr>
              <w:t>държат конкретни условия за провеждане на такива полети;</w:t>
            </w:r>
          </w:p>
          <w:p w14:paraId="1C946380" w14:textId="77777777" w:rsidR="003071DB" w:rsidRPr="00A3017F" w:rsidRDefault="003071DB" w:rsidP="003071DB">
            <w:pPr>
              <w:pStyle w:val="Body"/>
              <w:tabs>
                <w:tab w:val="left" w:pos="421"/>
              </w:tabs>
              <w:spacing w:before="40" w:after="40"/>
              <w:ind w:left="6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Pr="00A3017F">
              <w:rPr>
                <w:rFonts w:ascii="Times New Roman" w:hAnsi="Times New Roman"/>
              </w:rPr>
              <w:t>представят оценка на експлоатационния риск, както и достатъчни мерки за неговото смекчаване до приемливи нива, за отделен полет или период за провеждане на полети</w:t>
            </w:r>
            <w:r>
              <w:rPr>
                <w:rFonts w:ascii="Times New Roman" w:hAnsi="Times New Roman"/>
              </w:rPr>
              <w:t>;</w:t>
            </w:r>
          </w:p>
          <w:p w14:paraId="03B9D96E" w14:textId="77777777" w:rsidR="003071DB" w:rsidRDefault="003071DB" w:rsidP="003071DB">
            <w:pPr>
              <w:pStyle w:val="Body"/>
              <w:tabs>
                <w:tab w:val="left" w:pos="421"/>
              </w:tabs>
              <w:spacing w:before="40" w:after="40"/>
              <w:ind w:left="6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  <w:r w:rsidRPr="00A3017F">
              <w:rPr>
                <w:rFonts w:ascii="Times New Roman" w:hAnsi="Times New Roman"/>
              </w:rPr>
              <w:t>полетите се извършват в резервирано въздушно пространство</w:t>
            </w:r>
            <w:r>
              <w:rPr>
                <w:rFonts w:ascii="Times New Roman" w:hAnsi="Times New Roman"/>
              </w:rPr>
              <w:t>“.</w:t>
            </w:r>
          </w:p>
          <w:p w14:paraId="0BD6FFB8" w14:textId="77777777" w:rsidR="003071DB" w:rsidRDefault="003071DB" w:rsidP="003071DB">
            <w:pPr>
              <w:pStyle w:val="Body"/>
              <w:tabs>
                <w:tab w:val="left" w:pos="720"/>
              </w:tabs>
              <w:spacing w:before="40" w:after="40"/>
              <w:jc w:val="both"/>
              <w:rPr>
                <w:rFonts w:ascii="Times New Roman" w:hAnsi="Times New Roman"/>
              </w:rPr>
            </w:pPr>
          </w:p>
        </w:tc>
        <w:tc>
          <w:tcPr>
            <w:tcW w:w="1921" w:type="dxa"/>
          </w:tcPr>
          <w:p w14:paraId="521CF682" w14:textId="77777777" w:rsidR="003071DB" w:rsidRPr="00FF33FC" w:rsidRDefault="003071DB" w:rsidP="003071DB">
            <w:pPr>
              <w:autoSpaceDE w:val="0"/>
              <w:autoSpaceDN w:val="0"/>
              <w:jc w:val="center"/>
              <w:rPr>
                <w:b/>
                <w:bCs/>
                <w:sz w:val="24"/>
                <w:szCs w:val="24"/>
                <w:lang w:eastAsia="bg-BG"/>
              </w:rPr>
            </w:pPr>
            <w:r w:rsidRPr="003071DB">
              <w:rPr>
                <w:b/>
                <w:bCs/>
                <w:sz w:val="24"/>
                <w:szCs w:val="24"/>
                <w:lang w:eastAsia="bg-BG"/>
              </w:rPr>
              <w:t>Приема се с редакция.</w:t>
            </w:r>
          </w:p>
        </w:tc>
        <w:tc>
          <w:tcPr>
            <w:tcW w:w="5551" w:type="dxa"/>
          </w:tcPr>
          <w:p w14:paraId="3C29A9B3" w14:textId="77777777" w:rsidR="003071DB" w:rsidRPr="00FF33FC" w:rsidRDefault="003071DB" w:rsidP="003071DB">
            <w:pPr>
              <w:jc w:val="both"/>
              <w:rPr>
                <w:sz w:val="24"/>
                <w:szCs w:val="24"/>
                <w:lang w:val="en-US" w:eastAsia="bg-BG"/>
              </w:rPr>
            </w:pPr>
            <w:r w:rsidRPr="00FF33FC">
              <w:rPr>
                <w:sz w:val="24"/>
                <w:szCs w:val="24"/>
                <w:lang w:eastAsia="bg-BG"/>
              </w:rPr>
              <w:t xml:space="preserve">Отразено в § </w:t>
            </w:r>
            <w:r>
              <w:rPr>
                <w:sz w:val="24"/>
                <w:szCs w:val="24"/>
                <w:lang w:eastAsia="bg-BG"/>
              </w:rPr>
              <w:t>10 относно</w:t>
            </w:r>
            <w:r w:rsidRPr="00FF33FC">
              <w:rPr>
                <w:sz w:val="24"/>
                <w:szCs w:val="24"/>
                <w:lang w:eastAsia="bg-BG"/>
              </w:rPr>
              <w:t xml:space="preserve"> чл. </w:t>
            </w:r>
            <w:r>
              <w:rPr>
                <w:sz w:val="24"/>
                <w:szCs w:val="24"/>
                <w:lang w:eastAsia="bg-BG"/>
              </w:rPr>
              <w:t>56</w:t>
            </w:r>
            <w:r w:rsidRPr="00FF33FC">
              <w:rPr>
                <w:sz w:val="24"/>
                <w:szCs w:val="24"/>
                <w:lang w:eastAsia="bg-BG"/>
              </w:rPr>
              <w:t xml:space="preserve">, ал. </w:t>
            </w:r>
            <w:r>
              <w:rPr>
                <w:sz w:val="24"/>
                <w:szCs w:val="24"/>
                <w:lang w:eastAsia="bg-BG"/>
              </w:rPr>
              <w:t>5, както следва</w:t>
            </w:r>
            <w:r w:rsidRPr="00FF33FC">
              <w:rPr>
                <w:sz w:val="24"/>
                <w:szCs w:val="24"/>
                <w:lang w:eastAsia="bg-BG"/>
              </w:rPr>
              <w:t>:</w:t>
            </w:r>
          </w:p>
          <w:p w14:paraId="06DB9D2E" w14:textId="77777777" w:rsidR="008A0B5C" w:rsidRDefault="008A0B5C" w:rsidP="003071DB">
            <w:pPr>
              <w:autoSpaceDE w:val="0"/>
              <w:autoSpaceDN w:val="0"/>
              <w:jc w:val="both"/>
              <w:rPr>
                <w:sz w:val="24"/>
                <w:szCs w:val="24"/>
                <w:lang w:eastAsia="bg-BG"/>
              </w:rPr>
            </w:pPr>
            <w:r w:rsidRPr="008A0B5C">
              <w:rPr>
                <w:sz w:val="24"/>
                <w:szCs w:val="24"/>
                <w:lang w:eastAsia="bg-BG"/>
              </w:rPr>
              <w:t>„(5) Оператори на БЛС, които не притежават разрешение за експлоатация в специфична категория или удостоверение за оператор на лека БЛС, могат да извършват полети с БЛС в географски зони, установени с цел за защита на летища, след като представят в ГД ГВА оценка на експлоатационния риск, ведно с мерки за неговото смекчаване до приемливи нива и след получаване на разрешението по ал. 7.“</w:t>
            </w:r>
          </w:p>
          <w:p w14:paraId="7212FDE3" w14:textId="16383F28" w:rsidR="003071DB" w:rsidRPr="006843F4" w:rsidRDefault="003071DB" w:rsidP="003071DB">
            <w:pPr>
              <w:autoSpaceDE w:val="0"/>
              <w:autoSpaceDN w:val="0"/>
              <w:jc w:val="both"/>
              <w:rPr>
                <w:color w:val="FF0000"/>
                <w:sz w:val="24"/>
                <w:szCs w:val="24"/>
                <w:lang w:eastAsia="bg-BG"/>
              </w:rPr>
            </w:pPr>
            <w:r w:rsidRPr="00956FA1">
              <w:rPr>
                <w:sz w:val="24"/>
                <w:szCs w:val="24"/>
                <w:lang w:eastAsia="bg-BG"/>
              </w:rPr>
              <w:t xml:space="preserve">Следва да се има предвид, че </w:t>
            </w:r>
            <w:r>
              <w:rPr>
                <w:sz w:val="24"/>
                <w:szCs w:val="24"/>
                <w:lang w:eastAsia="bg-BG"/>
              </w:rPr>
              <w:t>т. 1 и</w:t>
            </w:r>
            <w:r w:rsidRPr="00956FA1">
              <w:rPr>
                <w:sz w:val="24"/>
                <w:szCs w:val="24"/>
                <w:lang w:eastAsia="bg-BG"/>
              </w:rPr>
              <w:t xml:space="preserve"> 3 са резултат от т. 2, поради което не е необходимо да се правят тези уточнения. В допълнение, извършване на оценка на експлоатационния риск преди експлоатация не се изисква за всички документи</w:t>
            </w:r>
            <w:r>
              <w:rPr>
                <w:sz w:val="24"/>
                <w:szCs w:val="24"/>
                <w:lang w:eastAsia="bg-BG"/>
              </w:rPr>
              <w:t>,</w:t>
            </w:r>
            <w:r w:rsidRPr="00956FA1">
              <w:rPr>
                <w:sz w:val="24"/>
                <w:szCs w:val="24"/>
                <w:lang w:eastAsia="bg-BG"/>
              </w:rPr>
              <w:t xml:space="preserve"> изброени в чл. 36, а</w:t>
            </w:r>
            <w:r>
              <w:rPr>
                <w:sz w:val="24"/>
                <w:szCs w:val="24"/>
                <w:lang w:eastAsia="bg-BG"/>
              </w:rPr>
              <w:t xml:space="preserve"> само за тези в т. 3 и</w:t>
            </w:r>
            <w:r w:rsidRPr="00956FA1">
              <w:rPr>
                <w:sz w:val="24"/>
                <w:szCs w:val="24"/>
                <w:lang w:eastAsia="bg-BG"/>
              </w:rPr>
              <w:t xml:space="preserve"> 4, както и не всички разрешителни документи, които се издават от ГД ГВА, съдържат специфични условия за извършване на полети в районите на летищата. </w:t>
            </w:r>
          </w:p>
        </w:tc>
      </w:tr>
      <w:tr w:rsidR="003071DB" w:rsidRPr="006843F4" w14:paraId="5E5B4775" w14:textId="77777777" w:rsidTr="00956FA1">
        <w:trPr>
          <w:trHeight w:val="712"/>
        </w:trPr>
        <w:tc>
          <w:tcPr>
            <w:tcW w:w="2084" w:type="dxa"/>
            <w:vMerge/>
          </w:tcPr>
          <w:p w14:paraId="4B822D87" w14:textId="77777777" w:rsidR="003071DB" w:rsidRDefault="003071DB" w:rsidP="003071DB">
            <w:pPr>
              <w:autoSpaceDE w:val="0"/>
              <w:autoSpaceDN w:val="0"/>
              <w:jc w:val="center"/>
              <w:rPr>
                <w:sz w:val="24"/>
                <w:szCs w:val="24"/>
                <w:lang w:eastAsia="bg-BG"/>
              </w:rPr>
            </w:pPr>
          </w:p>
        </w:tc>
        <w:tc>
          <w:tcPr>
            <w:tcW w:w="5006" w:type="dxa"/>
          </w:tcPr>
          <w:p w14:paraId="5C196C4F" w14:textId="77777777" w:rsidR="003071DB" w:rsidRDefault="003071DB" w:rsidP="003071DB">
            <w:pPr>
              <w:pStyle w:val="Body"/>
              <w:tabs>
                <w:tab w:val="left" w:pos="720"/>
              </w:tabs>
              <w:spacing w:before="40" w:after="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чл. 56, ал. 6 думата „експлоатация“ да се замени с израза „отделен полет или период за провеждане на полети с БЛС“.</w:t>
            </w:r>
          </w:p>
        </w:tc>
        <w:tc>
          <w:tcPr>
            <w:tcW w:w="1921" w:type="dxa"/>
          </w:tcPr>
          <w:p w14:paraId="565CEB7D" w14:textId="77777777" w:rsidR="003071DB" w:rsidRPr="006843F4" w:rsidRDefault="003071DB" w:rsidP="003071DB">
            <w:pPr>
              <w:autoSpaceDE w:val="0"/>
              <w:autoSpaceDN w:val="0"/>
              <w:jc w:val="center"/>
              <w:rPr>
                <w:b/>
                <w:bCs/>
                <w:sz w:val="24"/>
                <w:szCs w:val="24"/>
                <w:lang w:eastAsia="bg-BG"/>
              </w:rPr>
            </w:pPr>
            <w:r>
              <w:rPr>
                <w:b/>
                <w:bCs/>
                <w:sz w:val="24"/>
                <w:szCs w:val="24"/>
                <w:lang w:eastAsia="bg-BG"/>
              </w:rPr>
              <w:t>Приема се.</w:t>
            </w:r>
          </w:p>
        </w:tc>
        <w:tc>
          <w:tcPr>
            <w:tcW w:w="5551" w:type="dxa"/>
          </w:tcPr>
          <w:p w14:paraId="45C2FD9D" w14:textId="77777777" w:rsidR="003071DB" w:rsidRPr="00FF33FC" w:rsidRDefault="003071DB" w:rsidP="003071DB">
            <w:pPr>
              <w:jc w:val="both"/>
              <w:rPr>
                <w:sz w:val="24"/>
                <w:szCs w:val="24"/>
                <w:lang w:val="en-US" w:eastAsia="bg-BG"/>
              </w:rPr>
            </w:pPr>
            <w:r w:rsidRPr="00FF33FC">
              <w:rPr>
                <w:sz w:val="24"/>
                <w:szCs w:val="24"/>
                <w:lang w:eastAsia="bg-BG"/>
              </w:rPr>
              <w:t xml:space="preserve">Отразено в § </w:t>
            </w:r>
            <w:r>
              <w:rPr>
                <w:sz w:val="24"/>
                <w:szCs w:val="24"/>
                <w:lang w:eastAsia="bg-BG"/>
              </w:rPr>
              <w:t>10</w:t>
            </w:r>
            <w:r w:rsidRPr="00FF33FC">
              <w:rPr>
                <w:sz w:val="24"/>
                <w:szCs w:val="24"/>
                <w:lang w:eastAsia="bg-BG"/>
              </w:rPr>
              <w:t xml:space="preserve">, в чл. </w:t>
            </w:r>
            <w:r>
              <w:rPr>
                <w:sz w:val="24"/>
                <w:szCs w:val="24"/>
                <w:lang w:eastAsia="bg-BG"/>
              </w:rPr>
              <w:t>56</w:t>
            </w:r>
            <w:r w:rsidRPr="00FF33FC">
              <w:rPr>
                <w:sz w:val="24"/>
                <w:szCs w:val="24"/>
                <w:lang w:eastAsia="bg-BG"/>
              </w:rPr>
              <w:t xml:space="preserve">, ал. </w:t>
            </w:r>
            <w:r>
              <w:rPr>
                <w:sz w:val="24"/>
                <w:szCs w:val="24"/>
                <w:lang w:eastAsia="bg-BG"/>
              </w:rPr>
              <w:t>7</w:t>
            </w:r>
            <w:r w:rsidRPr="00FF33FC">
              <w:rPr>
                <w:sz w:val="24"/>
                <w:szCs w:val="24"/>
                <w:lang w:eastAsia="bg-BG"/>
              </w:rPr>
              <w:t>:</w:t>
            </w:r>
          </w:p>
          <w:p w14:paraId="64885CC1" w14:textId="77777777" w:rsidR="003071DB" w:rsidRPr="00136BC7" w:rsidRDefault="003071DB" w:rsidP="003071DB">
            <w:pPr>
              <w:spacing w:line="259" w:lineRule="auto"/>
              <w:jc w:val="both"/>
              <w:rPr>
                <w:rFonts w:eastAsia="Times New Roman"/>
                <w:sz w:val="24"/>
                <w:szCs w:val="24"/>
                <w:lang w:eastAsia="bg-BG"/>
                <w14:ligatures w14:val="none"/>
              </w:rPr>
            </w:pPr>
            <w:r>
              <w:rPr>
                <w:rFonts w:eastAsia="Times New Roman"/>
                <w:sz w:val="24"/>
                <w:szCs w:val="24"/>
                <w:lang w:eastAsia="bg-BG"/>
                <w14:ligatures w14:val="none"/>
              </w:rPr>
              <w:t xml:space="preserve">„4. </w:t>
            </w:r>
            <w:r w:rsidRPr="00956FA1">
              <w:rPr>
                <w:rFonts w:eastAsia="Times New Roman"/>
                <w:sz w:val="24"/>
                <w:szCs w:val="24"/>
                <w:lang w:eastAsia="bg-BG"/>
                <w14:ligatures w14:val="none"/>
              </w:rPr>
              <w:t>Досегашната ал. 6 става ал. 7 и в нея думата „експлоатация“ се заменя с „отделен полет или период за провеждане на полети с БЛС“.</w:t>
            </w:r>
          </w:p>
        </w:tc>
      </w:tr>
      <w:tr w:rsidR="003071DB" w:rsidRPr="006843F4" w14:paraId="7184AEDA" w14:textId="77777777" w:rsidTr="00A6068C">
        <w:tc>
          <w:tcPr>
            <w:tcW w:w="2084" w:type="dxa"/>
            <w:vMerge/>
          </w:tcPr>
          <w:p w14:paraId="6ED12A32" w14:textId="77777777" w:rsidR="003071DB" w:rsidRDefault="003071DB" w:rsidP="003071DB">
            <w:pPr>
              <w:autoSpaceDE w:val="0"/>
              <w:autoSpaceDN w:val="0"/>
              <w:jc w:val="center"/>
              <w:rPr>
                <w:sz w:val="24"/>
                <w:szCs w:val="24"/>
                <w:lang w:eastAsia="bg-BG"/>
              </w:rPr>
            </w:pPr>
          </w:p>
        </w:tc>
        <w:tc>
          <w:tcPr>
            <w:tcW w:w="5006" w:type="dxa"/>
          </w:tcPr>
          <w:p w14:paraId="694CA012" w14:textId="77777777" w:rsidR="003071DB" w:rsidRDefault="003071DB" w:rsidP="003071DB">
            <w:pPr>
              <w:pStyle w:val="Body"/>
              <w:tabs>
                <w:tab w:val="left" w:pos="720"/>
              </w:tabs>
              <w:spacing w:before="40" w:after="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чл. 56 да се добави нова ал. 7 с текст:</w:t>
            </w:r>
          </w:p>
          <w:p w14:paraId="3BA5BF8F" w14:textId="6E152D37" w:rsidR="003071DB" w:rsidRDefault="003071DB" w:rsidP="003071DB">
            <w:pPr>
              <w:pStyle w:val="Body"/>
              <w:tabs>
                <w:tab w:val="left" w:pos="720"/>
              </w:tabs>
              <w:spacing w:before="40" w:after="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„</w:t>
            </w:r>
            <w:r>
              <w:rPr>
                <w:rFonts w:ascii="Times New Roman" w:hAnsi="Times New Roman"/>
                <w:lang w:val="en-US"/>
              </w:rPr>
              <w:t>(7)</w:t>
            </w:r>
            <w:r>
              <w:rPr>
                <w:rFonts w:ascii="Times New Roman" w:hAnsi="Times New Roman"/>
              </w:rPr>
              <w:t xml:space="preserve"> К</w:t>
            </w:r>
            <w:r w:rsidRPr="00B11D44">
              <w:rPr>
                <w:rFonts w:ascii="Times New Roman" w:hAnsi="Times New Roman"/>
              </w:rPr>
              <w:t>онкретните условия за провеждане на</w:t>
            </w:r>
            <w:r>
              <w:rPr>
                <w:rFonts w:ascii="Times New Roman" w:hAnsi="Times New Roman"/>
              </w:rPr>
              <w:t xml:space="preserve"> полети, мерките за смекчаване на експлоатационния риск или установяването на резервирано въздушно пространство се съгласуват с доставчика за аеронавигационно обслужване на съответното летище</w:t>
            </w:r>
            <w:r w:rsidR="00811101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r w:rsidR="00811101" w:rsidRPr="00811101">
              <w:rPr>
                <w:rFonts w:ascii="Times New Roman" w:hAnsi="Times New Roman"/>
              </w:rPr>
              <w:t>с летищния оператор, със собственика или с ползвателя на съответното летище.</w:t>
            </w:r>
            <w:r>
              <w:rPr>
                <w:rFonts w:ascii="Times New Roman" w:hAnsi="Times New Roman"/>
              </w:rPr>
              <w:t xml:space="preserve">“ </w:t>
            </w:r>
          </w:p>
          <w:p w14:paraId="60B2B5CD" w14:textId="77777777" w:rsidR="003071DB" w:rsidRDefault="003071DB" w:rsidP="003071DB">
            <w:pPr>
              <w:pStyle w:val="Body"/>
              <w:tabs>
                <w:tab w:val="left" w:pos="720"/>
              </w:tabs>
              <w:spacing w:before="40" w:after="40"/>
              <w:jc w:val="both"/>
              <w:rPr>
                <w:rFonts w:ascii="Times New Roman" w:hAnsi="Times New Roman"/>
              </w:rPr>
            </w:pPr>
          </w:p>
        </w:tc>
        <w:tc>
          <w:tcPr>
            <w:tcW w:w="1921" w:type="dxa"/>
          </w:tcPr>
          <w:p w14:paraId="42F5660B" w14:textId="77777777" w:rsidR="003071DB" w:rsidRPr="007C4C80" w:rsidRDefault="003071DB" w:rsidP="003071DB">
            <w:pPr>
              <w:autoSpaceDE w:val="0"/>
              <w:autoSpaceDN w:val="0"/>
              <w:jc w:val="center"/>
              <w:rPr>
                <w:b/>
                <w:bCs/>
                <w:sz w:val="24"/>
                <w:szCs w:val="24"/>
                <w:lang w:eastAsia="bg-BG"/>
              </w:rPr>
            </w:pPr>
            <w:r>
              <w:rPr>
                <w:b/>
                <w:bCs/>
                <w:sz w:val="24"/>
                <w:szCs w:val="24"/>
                <w:lang w:eastAsia="bg-BG"/>
              </w:rPr>
              <w:t xml:space="preserve">Приема се с редакция. </w:t>
            </w:r>
          </w:p>
        </w:tc>
        <w:tc>
          <w:tcPr>
            <w:tcW w:w="5551" w:type="dxa"/>
          </w:tcPr>
          <w:p w14:paraId="5B589567" w14:textId="77777777" w:rsidR="003071DB" w:rsidRPr="00FF33FC" w:rsidRDefault="003071DB" w:rsidP="003071DB">
            <w:pPr>
              <w:jc w:val="both"/>
              <w:rPr>
                <w:sz w:val="24"/>
                <w:szCs w:val="24"/>
                <w:lang w:val="en-US" w:eastAsia="bg-BG"/>
              </w:rPr>
            </w:pPr>
            <w:r w:rsidRPr="00FF33FC">
              <w:rPr>
                <w:sz w:val="24"/>
                <w:szCs w:val="24"/>
                <w:lang w:eastAsia="bg-BG"/>
              </w:rPr>
              <w:t xml:space="preserve">Отразено в § </w:t>
            </w:r>
            <w:r>
              <w:rPr>
                <w:sz w:val="24"/>
                <w:szCs w:val="24"/>
                <w:lang w:eastAsia="bg-BG"/>
              </w:rPr>
              <w:t>10</w:t>
            </w:r>
            <w:r w:rsidRPr="00FF33FC">
              <w:rPr>
                <w:sz w:val="24"/>
                <w:szCs w:val="24"/>
                <w:lang w:eastAsia="bg-BG"/>
              </w:rPr>
              <w:t xml:space="preserve">, в чл. </w:t>
            </w:r>
            <w:r>
              <w:rPr>
                <w:sz w:val="24"/>
                <w:szCs w:val="24"/>
                <w:lang w:eastAsia="bg-BG"/>
              </w:rPr>
              <w:t>56</w:t>
            </w:r>
            <w:r w:rsidRPr="00FF33FC">
              <w:rPr>
                <w:sz w:val="24"/>
                <w:szCs w:val="24"/>
                <w:lang w:eastAsia="bg-BG"/>
              </w:rPr>
              <w:t xml:space="preserve">, ал. </w:t>
            </w:r>
            <w:r>
              <w:rPr>
                <w:sz w:val="24"/>
                <w:szCs w:val="24"/>
                <w:lang w:eastAsia="bg-BG"/>
              </w:rPr>
              <w:t>6</w:t>
            </w:r>
            <w:r w:rsidRPr="00FF33FC">
              <w:rPr>
                <w:sz w:val="24"/>
                <w:szCs w:val="24"/>
                <w:lang w:eastAsia="bg-BG"/>
              </w:rPr>
              <w:t>:</w:t>
            </w:r>
          </w:p>
          <w:p w14:paraId="70686F59" w14:textId="421D0352" w:rsidR="003071DB" w:rsidRPr="006843F4" w:rsidRDefault="00811101" w:rsidP="003071DB">
            <w:pPr>
              <w:autoSpaceDE w:val="0"/>
              <w:autoSpaceDN w:val="0"/>
              <w:jc w:val="both"/>
              <w:rPr>
                <w:color w:val="FF0000"/>
                <w:sz w:val="24"/>
                <w:szCs w:val="24"/>
                <w:lang w:eastAsia="bg-BG"/>
              </w:rPr>
            </w:pPr>
            <w:r w:rsidRPr="00811101">
              <w:rPr>
                <w:sz w:val="24"/>
                <w:szCs w:val="24"/>
                <w:lang w:eastAsia="bg-BG"/>
              </w:rPr>
              <w:t>„(6) В случай на полети с безпилотни летателни системи в географските зони, определени за защита на летища, конкретните условия за провеждане на полетите, както и мерките за смекчаване, произтичащи от оценката на експлоатационния риск, включително установяването на резервирано въздушно пространство, се съгласуват с органа за обслужване на въздушното движение, ако има такъв, с летищния оператор, със собственика или с ползвателя на съответното летище.“</w:t>
            </w:r>
          </w:p>
        </w:tc>
      </w:tr>
      <w:tr w:rsidR="003071DB" w:rsidRPr="006843F4" w14:paraId="05E28EC7" w14:textId="77777777" w:rsidTr="00A6068C">
        <w:tc>
          <w:tcPr>
            <w:tcW w:w="2084" w:type="dxa"/>
            <w:vMerge/>
          </w:tcPr>
          <w:p w14:paraId="0A34D56A" w14:textId="77777777" w:rsidR="003071DB" w:rsidRDefault="003071DB" w:rsidP="003071DB">
            <w:pPr>
              <w:autoSpaceDE w:val="0"/>
              <w:autoSpaceDN w:val="0"/>
              <w:jc w:val="center"/>
              <w:rPr>
                <w:sz w:val="24"/>
                <w:szCs w:val="24"/>
                <w:lang w:eastAsia="bg-BG"/>
              </w:rPr>
            </w:pPr>
          </w:p>
        </w:tc>
        <w:tc>
          <w:tcPr>
            <w:tcW w:w="5006" w:type="dxa"/>
          </w:tcPr>
          <w:p w14:paraId="27EBEC7F" w14:textId="77777777" w:rsidR="003071DB" w:rsidRDefault="003071DB" w:rsidP="003071DB">
            <w:pPr>
              <w:pStyle w:val="Body"/>
              <w:tabs>
                <w:tab w:val="left" w:pos="720"/>
              </w:tabs>
              <w:spacing w:before="40" w:after="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чл. 57, ал.1 да се добави нова т. 4 с текст: </w:t>
            </w:r>
          </w:p>
          <w:p w14:paraId="20DC8554" w14:textId="77777777" w:rsidR="003071DB" w:rsidRDefault="003071DB" w:rsidP="003071DB">
            <w:pPr>
              <w:pStyle w:val="Body"/>
              <w:tabs>
                <w:tab w:val="left" w:pos="720"/>
              </w:tabs>
              <w:spacing w:before="40" w:after="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„4. на височини, по-големи от 120 м над терена“.</w:t>
            </w:r>
          </w:p>
        </w:tc>
        <w:tc>
          <w:tcPr>
            <w:tcW w:w="1921" w:type="dxa"/>
          </w:tcPr>
          <w:p w14:paraId="46F39C0A" w14:textId="77777777" w:rsidR="003071DB" w:rsidRPr="006843F4" w:rsidRDefault="003071DB" w:rsidP="003071DB">
            <w:pPr>
              <w:autoSpaceDE w:val="0"/>
              <w:autoSpaceDN w:val="0"/>
              <w:jc w:val="center"/>
              <w:rPr>
                <w:b/>
                <w:bCs/>
                <w:sz w:val="24"/>
                <w:szCs w:val="24"/>
                <w:lang w:eastAsia="bg-BG"/>
              </w:rPr>
            </w:pPr>
            <w:r>
              <w:rPr>
                <w:b/>
                <w:bCs/>
                <w:sz w:val="24"/>
                <w:szCs w:val="24"/>
                <w:lang w:eastAsia="bg-BG"/>
              </w:rPr>
              <w:t>Не се приема.</w:t>
            </w:r>
          </w:p>
        </w:tc>
        <w:tc>
          <w:tcPr>
            <w:tcW w:w="5551" w:type="dxa"/>
          </w:tcPr>
          <w:p w14:paraId="0AB61223" w14:textId="77777777" w:rsidR="003071DB" w:rsidRPr="004B12FC" w:rsidRDefault="003071DB" w:rsidP="003071DB">
            <w:pPr>
              <w:autoSpaceDE w:val="0"/>
              <w:autoSpaceDN w:val="0"/>
              <w:jc w:val="both"/>
              <w:rPr>
                <w:color w:val="FF0000"/>
                <w:sz w:val="24"/>
                <w:szCs w:val="24"/>
                <w:lang w:eastAsia="bg-BG"/>
              </w:rPr>
            </w:pPr>
            <w:r w:rsidRPr="004B12FC">
              <w:rPr>
                <w:sz w:val="24"/>
                <w:szCs w:val="24"/>
                <w:lang w:eastAsia="bg-BG"/>
              </w:rPr>
              <w:t xml:space="preserve">Полети над 120 </w:t>
            </w:r>
            <w:r w:rsidRPr="004B12FC">
              <w:rPr>
                <w:sz w:val="24"/>
                <w:szCs w:val="24"/>
                <w:lang w:val="en-US" w:eastAsia="bg-BG"/>
              </w:rPr>
              <w:t>m</w:t>
            </w:r>
            <w:r w:rsidRPr="004B12FC">
              <w:rPr>
                <w:sz w:val="24"/>
                <w:szCs w:val="24"/>
                <w:lang w:eastAsia="bg-BG"/>
              </w:rPr>
              <w:t xml:space="preserve"> се изпълняват в специфична категория, където е необходимо да се изготви оценка на риска, включително и по отношение на въздушния риск, от оператора на БЛС. Изискванията за полети над 120 </w:t>
            </w:r>
            <w:r w:rsidRPr="004B12FC">
              <w:rPr>
                <w:sz w:val="24"/>
                <w:szCs w:val="24"/>
                <w:lang w:val="en-US" w:eastAsia="bg-BG"/>
              </w:rPr>
              <w:t>m</w:t>
            </w:r>
            <w:r w:rsidRPr="004B12FC">
              <w:rPr>
                <w:sz w:val="24"/>
                <w:szCs w:val="24"/>
                <w:lang w:eastAsia="bg-BG"/>
              </w:rPr>
              <w:t xml:space="preserve"> са разписани в чл. 5 във връзка с чл. 4 от Регламент за изпълнение (ЕС) 2019/947 на Комисията от 24 май 2019 година относно правилата и процедурите за експлоатация на безпилотни летателни системи. </w:t>
            </w:r>
          </w:p>
        </w:tc>
      </w:tr>
      <w:tr w:rsidR="003071DB" w:rsidRPr="006843F4" w14:paraId="11681F57" w14:textId="77777777" w:rsidTr="00A6068C">
        <w:tc>
          <w:tcPr>
            <w:tcW w:w="2084" w:type="dxa"/>
            <w:vMerge w:val="restart"/>
          </w:tcPr>
          <w:p w14:paraId="5F8C1566" w14:textId="77777777" w:rsidR="003071DB" w:rsidRDefault="003071DB" w:rsidP="003071DB">
            <w:pPr>
              <w:autoSpaceDE w:val="0"/>
              <w:autoSpaceDN w:val="0"/>
              <w:jc w:val="center"/>
              <w:rPr>
                <w:sz w:val="24"/>
                <w:szCs w:val="24"/>
                <w:lang w:eastAsia="bg-BG"/>
              </w:rPr>
            </w:pPr>
            <w:r>
              <w:rPr>
                <w:sz w:val="24"/>
                <w:szCs w:val="24"/>
                <w:lang w:eastAsia="bg-BG"/>
              </w:rPr>
              <w:t>Стефан Христозов</w:t>
            </w:r>
          </w:p>
        </w:tc>
        <w:tc>
          <w:tcPr>
            <w:tcW w:w="5006" w:type="dxa"/>
          </w:tcPr>
          <w:p w14:paraId="1C1DD13C" w14:textId="77777777" w:rsidR="003071DB" w:rsidRPr="00876C9A" w:rsidRDefault="003071DB" w:rsidP="003071DB">
            <w:pPr>
              <w:pStyle w:val="Body"/>
              <w:tabs>
                <w:tab w:val="left" w:pos="720"/>
              </w:tabs>
              <w:spacing w:before="40" w:after="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чл. 33, т. 1 да се отмени - посочва се, че е служебна информация и може да бъде добита по служебен път; това важи за цялата наредба.</w:t>
            </w:r>
          </w:p>
        </w:tc>
        <w:tc>
          <w:tcPr>
            <w:tcW w:w="1921" w:type="dxa"/>
          </w:tcPr>
          <w:p w14:paraId="3EF0A2D8" w14:textId="77777777" w:rsidR="003071DB" w:rsidRPr="006843F4" w:rsidRDefault="003071DB" w:rsidP="003071DB">
            <w:pPr>
              <w:autoSpaceDE w:val="0"/>
              <w:autoSpaceDN w:val="0"/>
              <w:jc w:val="center"/>
              <w:rPr>
                <w:b/>
                <w:bCs/>
                <w:sz w:val="24"/>
                <w:szCs w:val="24"/>
                <w:lang w:eastAsia="bg-BG"/>
              </w:rPr>
            </w:pPr>
            <w:r>
              <w:rPr>
                <w:b/>
                <w:bCs/>
                <w:sz w:val="24"/>
                <w:szCs w:val="24"/>
                <w:lang w:eastAsia="bg-BG"/>
              </w:rPr>
              <w:t>Не се приема.</w:t>
            </w:r>
          </w:p>
        </w:tc>
        <w:tc>
          <w:tcPr>
            <w:tcW w:w="5551" w:type="dxa"/>
          </w:tcPr>
          <w:p w14:paraId="30A40D37" w14:textId="77777777" w:rsidR="003071DB" w:rsidRPr="00D36EFA" w:rsidRDefault="003071DB" w:rsidP="003071DB">
            <w:pPr>
              <w:autoSpaceDE w:val="0"/>
              <w:autoSpaceDN w:val="0"/>
              <w:jc w:val="both"/>
              <w:rPr>
                <w:sz w:val="24"/>
                <w:szCs w:val="24"/>
                <w:lang w:eastAsia="bg-BG"/>
              </w:rPr>
            </w:pPr>
            <w:r w:rsidRPr="00D36EFA">
              <w:rPr>
                <w:sz w:val="24"/>
                <w:szCs w:val="24"/>
                <w:lang w:eastAsia="bg-BG"/>
              </w:rPr>
              <w:t>Подадената молба за откриване на производство по несъстоятелност не е известен факт към момента на подаване, тъй като за нейното наличие няма официална публичност преди произнасянето на съда. Вписването в Търговския регистър и регистъра на юридическите лица с нестопанска цел относно открито производство се извършва едва след разпореждане на съда, но не и при самото подаване на молба. Следователно администриращият орган няма как да установи по служебен път дали такава молба е била подадена, нито кога, освен ако това не бъде декларирано от самия заявител.</w:t>
            </w:r>
          </w:p>
          <w:p w14:paraId="209BBB2B" w14:textId="77777777" w:rsidR="003071DB" w:rsidRPr="00D36EFA" w:rsidRDefault="003071DB" w:rsidP="003071DB">
            <w:pPr>
              <w:autoSpaceDE w:val="0"/>
              <w:autoSpaceDN w:val="0"/>
              <w:jc w:val="both"/>
              <w:rPr>
                <w:sz w:val="24"/>
                <w:szCs w:val="24"/>
                <w:lang w:eastAsia="bg-BG"/>
              </w:rPr>
            </w:pPr>
            <w:r w:rsidRPr="00D36EFA">
              <w:rPr>
                <w:sz w:val="24"/>
                <w:szCs w:val="24"/>
                <w:lang w:eastAsia="bg-BG"/>
              </w:rPr>
              <w:t>Освен това, изискването за деклариране на подадена молба е превантивна мярка, насочена към своевременното идентифициране на потенциални основания за несъстоятелност, които биха могли да имат значение за преценката по административната процедура.</w:t>
            </w:r>
            <w:r>
              <w:rPr>
                <w:sz w:val="24"/>
                <w:szCs w:val="24"/>
                <w:lang w:eastAsia="bg-BG"/>
              </w:rPr>
              <w:t xml:space="preserve"> Съгласно Търговския закон съществува възможност съдът по несъстоятелност, още на етап подаване на молба за откриване на производство и преди произнасянето по нея да наложи предварителни обезпечителни мерки, които съществено могат да засегнат имуществото на лицето. </w:t>
            </w:r>
            <w:r w:rsidRPr="00D36EFA">
              <w:rPr>
                <w:sz w:val="24"/>
                <w:szCs w:val="24"/>
                <w:lang w:eastAsia="bg-BG"/>
              </w:rPr>
              <w:t>По тази причина текстът на чл. 33, т. 1 следва да бъде запазен, тъй като отпадането му би създало правна несигурност и би затруднило ефективността на административния контрол.</w:t>
            </w:r>
          </w:p>
        </w:tc>
      </w:tr>
      <w:tr w:rsidR="003071DB" w:rsidRPr="006843F4" w14:paraId="4703B9A3" w14:textId="77777777" w:rsidTr="00A6068C">
        <w:tc>
          <w:tcPr>
            <w:tcW w:w="2084" w:type="dxa"/>
            <w:vMerge/>
          </w:tcPr>
          <w:p w14:paraId="6287015A" w14:textId="77777777" w:rsidR="003071DB" w:rsidRDefault="003071DB" w:rsidP="003071DB">
            <w:pPr>
              <w:autoSpaceDE w:val="0"/>
              <w:autoSpaceDN w:val="0"/>
              <w:jc w:val="center"/>
              <w:rPr>
                <w:sz w:val="24"/>
                <w:szCs w:val="24"/>
                <w:lang w:eastAsia="bg-BG"/>
              </w:rPr>
            </w:pPr>
          </w:p>
        </w:tc>
        <w:tc>
          <w:tcPr>
            <w:tcW w:w="5006" w:type="dxa"/>
          </w:tcPr>
          <w:p w14:paraId="704BD519" w14:textId="77777777" w:rsidR="003071DB" w:rsidRDefault="003071DB" w:rsidP="003071DB">
            <w:pPr>
              <w:pStyle w:val="Body"/>
              <w:tabs>
                <w:tab w:val="left" w:pos="720"/>
              </w:tabs>
              <w:spacing w:before="40" w:after="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чл. 37, ал. 2 да се измени, така че да се разшири с хипотезата за електронно входиране на документи.</w:t>
            </w:r>
          </w:p>
        </w:tc>
        <w:tc>
          <w:tcPr>
            <w:tcW w:w="1921" w:type="dxa"/>
          </w:tcPr>
          <w:p w14:paraId="283B2681" w14:textId="77777777" w:rsidR="003071DB" w:rsidRPr="006843F4" w:rsidRDefault="003071DB" w:rsidP="003071DB">
            <w:pPr>
              <w:autoSpaceDE w:val="0"/>
              <w:autoSpaceDN w:val="0"/>
              <w:jc w:val="center"/>
              <w:rPr>
                <w:b/>
                <w:bCs/>
                <w:sz w:val="24"/>
                <w:szCs w:val="24"/>
                <w:lang w:eastAsia="bg-BG"/>
              </w:rPr>
            </w:pPr>
            <w:r>
              <w:rPr>
                <w:b/>
                <w:bCs/>
                <w:sz w:val="24"/>
                <w:szCs w:val="24"/>
                <w:lang w:eastAsia="bg-BG"/>
              </w:rPr>
              <w:t>Не се приема.</w:t>
            </w:r>
          </w:p>
        </w:tc>
        <w:tc>
          <w:tcPr>
            <w:tcW w:w="5551" w:type="dxa"/>
          </w:tcPr>
          <w:p w14:paraId="0040F79D" w14:textId="77777777" w:rsidR="003071DB" w:rsidRPr="007A1DBE" w:rsidRDefault="003071DB" w:rsidP="003071DB">
            <w:pPr>
              <w:autoSpaceDE w:val="0"/>
              <w:autoSpaceDN w:val="0"/>
              <w:jc w:val="both"/>
              <w:rPr>
                <w:sz w:val="24"/>
                <w:szCs w:val="24"/>
                <w:lang w:eastAsia="bg-BG"/>
              </w:rPr>
            </w:pPr>
            <w:r w:rsidRPr="007A1DBE">
              <w:rPr>
                <w:sz w:val="24"/>
                <w:szCs w:val="24"/>
                <w:lang w:eastAsia="bg-BG"/>
              </w:rPr>
              <w:t>Съгласно чл. 29а, ал. 1 от Административнопроцесуалния кодекс (АПК), искането за издаване на индивидуален административен акт може да се подава</w:t>
            </w:r>
            <w:r>
              <w:rPr>
                <w:sz w:val="24"/>
                <w:szCs w:val="24"/>
                <w:lang w:eastAsia="bg-BG"/>
              </w:rPr>
              <w:t>,</w:t>
            </w:r>
            <w:r w:rsidRPr="007A1DBE">
              <w:rPr>
                <w:sz w:val="24"/>
                <w:szCs w:val="24"/>
                <w:lang w:eastAsia="bg-BG"/>
              </w:rPr>
              <w:t xml:space="preserve"> както на хартиен носител, така и по електронен път. Законът за електронното управление (ЗЕУ) също така предвижда механизми за електронна идентификация, сигурност и приемане на заявления чрез електронен път от административните органи.</w:t>
            </w:r>
          </w:p>
          <w:p w14:paraId="5767DFDB" w14:textId="77777777" w:rsidR="003071DB" w:rsidRPr="006843F4" w:rsidRDefault="003071DB" w:rsidP="003071DB">
            <w:pPr>
              <w:autoSpaceDE w:val="0"/>
              <w:autoSpaceDN w:val="0"/>
              <w:jc w:val="both"/>
              <w:rPr>
                <w:color w:val="FF0000"/>
                <w:sz w:val="24"/>
                <w:szCs w:val="24"/>
                <w:lang w:eastAsia="bg-BG"/>
              </w:rPr>
            </w:pPr>
            <w:r>
              <w:rPr>
                <w:sz w:val="24"/>
                <w:szCs w:val="24"/>
                <w:lang w:eastAsia="bg-BG"/>
              </w:rPr>
              <w:t>С оглед горното</w:t>
            </w:r>
            <w:r w:rsidRPr="007A1DBE">
              <w:rPr>
                <w:sz w:val="24"/>
                <w:szCs w:val="24"/>
                <w:lang w:eastAsia="bg-BG"/>
              </w:rPr>
              <w:t xml:space="preserve">, вмъкването на допълнителен текст в чл. 37, ал. 2 на </w:t>
            </w:r>
            <w:r>
              <w:rPr>
                <w:sz w:val="24"/>
                <w:szCs w:val="24"/>
                <w:lang w:eastAsia="bg-BG"/>
              </w:rPr>
              <w:t>н</w:t>
            </w:r>
            <w:r w:rsidRPr="007A1DBE">
              <w:rPr>
                <w:sz w:val="24"/>
                <w:szCs w:val="24"/>
                <w:lang w:eastAsia="bg-BG"/>
              </w:rPr>
              <w:t>аредбата би представлявало излишно дублиране на вече действаща правна уредба.</w:t>
            </w:r>
          </w:p>
        </w:tc>
      </w:tr>
    </w:tbl>
    <w:p w14:paraId="74F58BB6" w14:textId="77777777" w:rsidR="00FE1AF2" w:rsidRPr="00F51E01" w:rsidRDefault="00FE1AF2" w:rsidP="00FE1AF2">
      <w:pPr>
        <w:autoSpaceDE w:val="0"/>
        <w:autoSpaceDN w:val="0"/>
        <w:jc w:val="both"/>
        <w:rPr>
          <w:sz w:val="24"/>
          <w:szCs w:val="24"/>
          <w:lang w:val="en-US" w:eastAsia="bg-BG"/>
        </w:rPr>
      </w:pPr>
    </w:p>
    <w:p w14:paraId="0AFDBBBB" w14:textId="77777777" w:rsidR="002C10FF" w:rsidRPr="009139C3" w:rsidRDefault="002C10FF">
      <w:pPr>
        <w:rPr>
          <w:lang w:val="en-US"/>
        </w:rPr>
      </w:pPr>
    </w:p>
    <w:sectPr w:rsidR="002C10FF" w:rsidRPr="009139C3" w:rsidSect="00FE1AF2">
      <w:footerReference w:type="even" r:id="rId10"/>
      <w:footerReference w:type="default" r:id="rId11"/>
      <w:pgSz w:w="16840" w:h="11907" w:orient="landscape"/>
      <w:pgMar w:top="709" w:right="1134" w:bottom="1134" w:left="1134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A0D58" w14:textId="77777777" w:rsidR="005D41AD" w:rsidRDefault="005D41AD">
      <w:r>
        <w:separator/>
      </w:r>
    </w:p>
  </w:endnote>
  <w:endnote w:type="continuationSeparator" w:id="0">
    <w:p w14:paraId="4DF5F5C5" w14:textId="77777777" w:rsidR="005D41AD" w:rsidRDefault="005D41AD">
      <w:r>
        <w:continuationSeparator/>
      </w:r>
    </w:p>
  </w:endnote>
  <w:endnote w:type="continuationNotice" w:id="1">
    <w:p w14:paraId="5A00EE4E" w14:textId="77777777" w:rsidR="005D41AD" w:rsidRDefault="005D41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80F14" w14:textId="77777777" w:rsidR="00DB2810" w:rsidRPr="00AB28B8" w:rsidRDefault="00DB2810">
    <w:pPr>
      <w:pStyle w:val="Footer"/>
      <w:framePr w:wrap="around" w:vAnchor="text" w:hAnchor="margin" w:xAlign="right" w:y="1"/>
      <w:rPr>
        <w:rStyle w:val="PageNumber"/>
      </w:rPr>
    </w:pPr>
    <w:r w:rsidRPr="00AB28B8">
      <w:fldChar w:fldCharType="begin"/>
    </w:r>
    <w:r w:rsidRPr="00AB28B8">
      <w:rPr>
        <w:rStyle w:val="PageNumber"/>
      </w:rPr>
      <w:instrText xml:space="preserve">PAGE  </w:instrText>
    </w:r>
    <w:r w:rsidRPr="00AB28B8">
      <w:fldChar w:fldCharType="separate"/>
    </w:r>
    <w:r w:rsidRPr="00AB28B8">
      <w:rPr>
        <w:rStyle w:val="PageNumber"/>
      </w:rPr>
      <w:t>1</w:t>
    </w:r>
    <w:r w:rsidRPr="00AB28B8">
      <w:fldChar w:fldCharType="end"/>
    </w:r>
  </w:p>
  <w:p w14:paraId="2A974D88" w14:textId="77777777" w:rsidR="00DB2810" w:rsidRPr="00AB28B8" w:rsidRDefault="00DB281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E18FE" w14:textId="77777777" w:rsidR="00DB2810" w:rsidRPr="00AB28B8" w:rsidRDefault="00DB2810">
    <w:pPr>
      <w:pStyle w:val="Footer"/>
      <w:framePr w:wrap="around" w:vAnchor="text" w:hAnchor="margin" w:xAlign="right" w:y="1"/>
      <w:rPr>
        <w:rStyle w:val="PageNumber"/>
        <w:sz w:val="24"/>
        <w:szCs w:val="24"/>
      </w:rPr>
    </w:pPr>
    <w:r w:rsidRPr="00AB28B8">
      <w:rPr>
        <w:sz w:val="24"/>
        <w:szCs w:val="24"/>
      </w:rPr>
      <w:fldChar w:fldCharType="begin"/>
    </w:r>
    <w:r w:rsidRPr="00AB28B8">
      <w:rPr>
        <w:rStyle w:val="PageNumber"/>
        <w:sz w:val="24"/>
        <w:szCs w:val="24"/>
      </w:rPr>
      <w:instrText xml:space="preserve">PAGE  </w:instrText>
    </w:r>
    <w:r w:rsidRPr="00AB28B8">
      <w:rPr>
        <w:sz w:val="24"/>
        <w:szCs w:val="24"/>
      </w:rPr>
      <w:fldChar w:fldCharType="separate"/>
    </w:r>
    <w:r w:rsidR="001201E2">
      <w:rPr>
        <w:rStyle w:val="PageNumber"/>
        <w:noProof/>
        <w:sz w:val="24"/>
        <w:szCs w:val="24"/>
      </w:rPr>
      <w:t>3</w:t>
    </w:r>
    <w:r w:rsidRPr="00AB28B8">
      <w:rPr>
        <w:sz w:val="24"/>
        <w:szCs w:val="24"/>
      </w:rPr>
      <w:fldChar w:fldCharType="end"/>
    </w:r>
  </w:p>
  <w:p w14:paraId="1B81C3FC" w14:textId="77777777" w:rsidR="00DB2810" w:rsidRPr="00AB28B8" w:rsidRDefault="00DB2810">
    <w:pPr>
      <w:pStyle w:val="Footer"/>
      <w:ind w:right="360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D2D8B" w14:textId="77777777" w:rsidR="005D41AD" w:rsidRDefault="005D41AD">
      <w:r>
        <w:separator/>
      </w:r>
    </w:p>
  </w:footnote>
  <w:footnote w:type="continuationSeparator" w:id="0">
    <w:p w14:paraId="56AFDB63" w14:textId="77777777" w:rsidR="005D41AD" w:rsidRDefault="005D41AD">
      <w:r>
        <w:continuationSeparator/>
      </w:r>
    </w:p>
  </w:footnote>
  <w:footnote w:type="continuationNotice" w:id="1">
    <w:p w14:paraId="5B468760" w14:textId="77777777" w:rsidR="005D41AD" w:rsidRDefault="005D41A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83504"/>
    <w:multiLevelType w:val="hybridMultilevel"/>
    <w:tmpl w:val="31A6F296"/>
    <w:lvl w:ilvl="0" w:tplc="8464554A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1" w15:restartNumberingAfterBreak="0">
    <w:nsid w:val="08D621BB"/>
    <w:multiLevelType w:val="hybridMultilevel"/>
    <w:tmpl w:val="F86847B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02017B"/>
    <w:multiLevelType w:val="hybridMultilevel"/>
    <w:tmpl w:val="375899D2"/>
    <w:lvl w:ilvl="0" w:tplc="D118039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E0A79"/>
    <w:multiLevelType w:val="multilevel"/>
    <w:tmpl w:val="DB420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702076"/>
    <w:multiLevelType w:val="multilevel"/>
    <w:tmpl w:val="2CAAE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A64042"/>
    <w:multiLevelType w:val="hybridMultilevel"/>
    <w:tmpl w:val="C2F851B6"/>
    <w:lvl w:ilvl="0" w:tplc="83E690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1A04BB2"/>
    <w:multiLevelType w:val="multilevel"/>
    <w:tmpl w:val="DB420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6A1EB9"/>
    <w:multiLevelType w:val="multilevel"/>
    <w:tmpl w:val="DB420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512438"/>
    <w:multiLevelType w:val="multilevel"/>
    <w:tmpl w:val="DB420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3997514"/>
    <w:multiLevelType w:val="multilevel"/>
    <w:tmpl w:val="DB420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A2495D"/>
    <w:multiLevelType w:val="hybridMultilevel"/>
    <w:tmpl w:val="C2F851B6"/>
    <w:lvl w:ilvl="0" w:tplc="83E690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549532050">
    <w:abstractNumId w:val="1"/>
  </w:num>
  <w:num w:numId="2" w16cid:durableId="1553618419">
    <w:abstractNumId w:val="4"/>
  </w:num>
  <w:num w:numId="3" w16cid:durableId="1285500053">
    <w:abstractNumId w:val="3"/>
    <w:lvlOverride w:ilvl="0">
      <w:startOverride w:val="5"/>
    </w:lvlOverride>
  </w:num>
  <w:num w:numId="4" w16cid:durableId="1094790379">
    <w:abstractNumId w:val="7"/>
  </w:num>
  <w:num w:numId="5" w16cid:durableId="599752234">
    <w:abstractNumId w:val="3"/>
    <w:lvlOverride w:ilvl="0">
      <w:startOverride w:val="6"/>
    </w:lvlOverride>
  </w:num>
  <w:num w:numId="6" w16cid:durableId="568345554">
    <w:abstractNumId w:val="8"/>
  </w:num>
  <w:num w:numId="7" w16cid:durableId="197817269">
    <w:abstractNumId w:val="3"/>
    <w:lvlOverride w:ilvl="0">
      <w:startOverride w:val="7"/>
    </w:lvlOverride>
  </w:num>
  <w:num w:numId="8" w16cid:durableId="380399365">
    <w:abstractNumId w:val="6"/>
  </w:num>
  <w:num w:numId="9" w16cid:durableId="50925581">
    <w:abstractNumId w:val="3"/>
    <w:lvlOverride w:ilvl="0">
      <w:startOverride w:val="8"/>
    </w:lvlOverride>
  </w:num>
  <w:num w:numId="10" w16cid:durableId="1969585965">
    <w:abstractNumId w:val="9"/>
  </w:num>
  <w:num w:numId="11" w16cid:durableId="344675747">
    <w:abstractNumId w:val="3"/>
    <w:lvlOverride w:ilvl="0">
      <w:startOverride w:val="9"/>
    </w:lvlOverride>
  </w:num>
  <w:num w:numId="12" w16cid:durableId="806438873">
    <w:abstractNumId w:val="3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1366322436">
    <w:abstractNumId w:val="3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4" w16cid:durableId="1475487872">
    <w:abstractNumId w:val="3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5" w16cid:durableId="1084762658">
    <w:abstractNumId w:val="3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6" w16cid:durableId="510604588">
    <w:abstractNumId w:val="3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7" w16cid:durableId="1457336342">
    <w:abstractNumId w:val="3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8" w16cid:durableId="77213232">
    <w:abstractNumId w:val="3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9" w16cid:durableId="1291394926">
    <w:abstractNumId w:val="10"/>
  </w:num>
  <w:num w:numId="20" w16cid:durableId="141116169">
    <w:abstractNumId w:val="0"/>
  </w:num>
  <w:num w:numId="21" w16cid:durableId="883979034">
    <w:abstractNumId w:val="2"/>
  </w:num>
  <w:num w:numId="22" w16cid:durableId="3598622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C52"/>
    <w:rsid w:val="000A2B29"/>
    <w:rsid w:val="000B1285"/>
    <w:rsid w:val="000B5956"/>
    <w:rsid w:val="000D5106"/>
    <w:rsid w:val="000E1ABD"/>
    <w:rsid w:val="0011006D"/>
    <w:rsid w:val="001201E2"/>
    <w:rsid w:val="00131564"/>
    <w:rsid w:val="00132AFB"/>
    <w:rsid w:val="00136BC7"/>
    <w:rsid w:val="00161C0A"/>
    <w:rsid w:val="00171042"/>
    <w:rsid w:val="00180B8F"/>
    <w:rsid w:val="00186391"/>
    <w:rsid w:val="001A1137"/>
    <w:rsid w:val="001A4B9C"/>
    <w:rsid w:val="001B39E7"/>
    <w:rsid w:val="001D76E1"/>
    <w:rsid w:val="001E5B5B"/>
    <w:rsid w:val="00207C42"/>
    <w:rsid w:val="00270909"/>
    <w:rsid w:val="002905C9"/>
    <w:rsid w:val="00291E79"/>
    <w:rsid w:val="002A7A9B"/>
    <w:rsid w:val="002C10FF"/>
    <w:rsid w:val="002C4216"/>
    <w:rsid w:val="002D3AB2"/>
    <w:rsid w:val="002E38DB"/>
    <w:rsid w:val="002E6A3E"/>
    <w:rsid w:val="003071DB"/>
    <w:rsid w:val="003105F9"/>
    <w:rsid w:val="003139C9"/>
    <w:rsid w:val="003149BD"/>
    <w:rsid w:val="003233A5"/>
    <w:rsid w:val="003414F4"/>
    <w:rsid w:val="0034585D"/>
    <w:rsid w:val="00381DED"/>
    <w:rsid w:val="00385CD9"/>
    <w:rsid w:val="0038791B"/>
    <w:rsid w:val="003B2C6A"/>
    <w:rsid w:val="003B7E94"/>
    <w:rsid w:val="003F5B07"/>
    <w:rsid w:val="00403DC1"/>
    <w:rsid w:val="0041181A"/>
    <w:rsid w:val="00421CEB"/>
    <w:rsid w:val="00436163"/>
    <w:rsid w:val="00451531"/>
    <w:rsid w:val="00463A99"/>
    <w:rsid w:val="004816BF"/>
    <w:rsid w:val="00493F21"/>
    <w:rsid w:val="004A18B7"/>
    <w:rsid w:val="004A3C52"/>
    <w:rsid w:val="004B12FC"/>
    <w:rsid w:val="004B6BD4"/>
    <w:rsid w:val="004D639A"/>
    <w:rsid w:val="004F4BF1"/>
    <w:rsid w:val="00506F3D"/>
    <w:rsid w:val="00527B05"/>
    <w:rsid w:val="005306CE"/>
    <w:rsid w:val="00533F52"/>
    <w:rsid w:val="00543472"/>
    <w:rsid w:val="005440B4"/>
    <w:rsid w:val="00557A66"/>
    <w:rsid w:val="005764F0"/>
    <w:rsid w:val="00580B0C"/>
    <w:rsid w:val="00592689"/>
    <w:rsid w:val="00595A4B"/>
    <w:rsid w:val="005A370D"/>
    <w:rsid w:val="005B2721"/>
    <w:rsid w:val="005B5B85"/>
    <w:rsid w:val="005D41AD"/>
    <w:rsid w:val="005D5A7C"/>
    <w:rsid w:val="00616218"/>
    <w:rsid w:val="00617CF9"/>
    <w:rsid w:val="00633638"/>
    <w:rsid w:val="00665B3E"/>
    <w:rsid w:val="0068089B"/>
    <w:rsid w:val="006843F4"/>
    <w:rsid w:val="006C33B5"/>
    <w:rsid w:val="006E3814"/>
    <w:rsid w:val="006E3E0C"/>
    <w:rsid w:val="006F7165"/>
    <w:rsid w:val="007158B0"/>
    <w:rsid w:val="00722191"/>
    <w:rsid w:val="0075104D"/>
    <w:rsid w:val="00756541"/>
    <w:rsid w:val="007938F9"/>
    <w:rsid w:val="007A1DBE"/>
    <w:rsid w:val="007C4C80"/>
    <w:rsid w:val="007D612E"/>
    <w:rsid w:val="007D6149"/>
    <w:rsid w:val="007D6C80"/>
    <w:rsid w:val="007E4684"/>
    <w:rsid w:val="0080083B"/>
    <w:rsid w:val="00811101"/>
    <w:rsid w:val="008139C6"/>
    <w:rsid w:val="00830C96"/>
    <w:rsid w:val="008353B4"/>
    <w:rsid w:val="00843654"/>
    <w:rsid w:val="008470E4"/>
    <w:rsid w:val="00874F99"/>
    <w:rsid w:val="00876C9A"/>
    <w:rsid w:val="008770F9"/>
    <w:rsid w:val="00885E95"/>
    <w:rsid w:val="008A0B5C"/>
    <w:rsid w:val="008C2C19"/>
    <w:rsid w:val="008C380D"/>
    <w:rsid w:val="008D5041"/>
    <w:rsid w:val="008E0EDE"/>
    <w:rsid w:val="00905BC2"/>
    <w:rsid w:val="009139C3"/>
    <w:rsid w:val="009160B9"/>
    <w:rsid w:val="00951948"/>
    <w:rsid w:val="00956FA1"/>
    <w:rsid w:val="009742DB"/>
    <w:rsid w:val="0097545E"/>
    <w:rsid w:val="00990C8D"/>
    <w:rsid w:val="009F0674"/>
    <w:rsid w:val="009F7E62"/>
    <w:rsid w:val="00A80509"/>
    <w:rsid w:val="00A838B3"/>
    <w:rsid w:val="00AA1113"/>
    <w:rsid w:val="00AB2488"/>
    <w:rsid w:val="00AB7D66"/>
    <w:rsid w:val="00AF62B6"/>
    <w:rsid w:val="00AF794E"/>
    <w:rsid w:val="00B03C30"/>
    <w:rsid w:val="00B05E2B"/>
    <w:rsid w:val="00B11D44"/>
    <w:rsid w:val="00B230FC"/>
    <w:rsid w:val="00B3635D"/>
    <w:rsid w:val="00B71098"/>
    <w:rsid w:val="00B912BC"/>
    <w:rsid w:val="00B93270"/>
    <w:rsid w:val="00BC0536"/>
    <w:rsid w:val="00BC3FAD"/>
    <w:rsid w:val="00BC7307"/>
    <w:rsid w:val="00BE1DB1"/>
    <w:rsid w:val="00BF758C"/>
    <w:rsid w:val="00C03F28"/>
    <w:rsid w:val="00C0486D"/>
    <w:rsid w:val="00C722C1"/>
    <w:rsid w:val="00C814BE"/>
    <w:rsid w:val="00C901B7"/>
    <w:rsid w:val="00CA2EE6"/>
    <w:rsid w:val="00CB1B06"/>
    <w:rsid w:val="00CD31C0"/>
    <w:rsid w:val="00CE07ED"/>
    <w:rsid w:val="00CE5C4F"/>
    <w:rsid w:val="00CF510B"/>
    <w:rsid w:val="00D36EFA"/>
    <w:rsid w:val="00D50B8D"/>
    <w:rsid w:val="00D613F3"/>
    <w:rsid w:val="00D800B8"/>
    <w:rsid w:val="00D80D13"/>
    <w:rsid w:val="00D81FE9"/>
    <w:rsid w:val="00DA30F6"/>
    <w:rsid w:val="00DB2810"/>
    <w:rsid w:val="00DC3BFC"/>
    <w:rsid w:val="00DC3D95"/>
    <w:rsid w:val="00DD1EDD"/>
    <w:rsid w:val="00DF291C"/>
    <w:rsid w:val="00E04239"/>
    <w:rsid w:val="00E12486"/>
    <w:rsid w:val="00E24183"/>
    <w:rsid w:val="00E2620F"/>
    <w:rsid w:val="00E7345B"/>
    <w:rsid w:val="00E775BC"/>
    <w:rsid w:val="00E97591"/>
    <w:rsid w:val="00EA5A3B"/>
    <w:rsid w:val="00EA7058"/>
    <w:rsid w:val="00EB0103"/>
    <w:rsid w:val="00EF3AE9"/>
    <w:rsid w:val="00F117AE"/>
    <w:rsid w:val="00F224BD"/>
    <w:rsid w:val="00F8799E"/>
    <w:rsid w:val="00FB290E"/>
    <w:rsid w:val="00FC36D6"/>
    <w:rsid w:val="00FE1AF2"/>
    <w:rsid w:val="00FE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BE65C"/>
  <w15:chartTrackingRefBased/>
  <w15:docId w15:val="{637A050C-C123-4A5B-B3E0-6AD1BAE32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AF2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val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3C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3C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3C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3C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3C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3C5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3C5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3C5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3C5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3C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3C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3C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3C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3C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3C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3C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3C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3C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3C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3C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3C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3C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3C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3C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3C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3C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3C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3C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3C52"/>
    <w:rPr>
      <w:b/>
      <w:bCs/>
      <w:smallCaps/>
      <w:color w:val="0F4761" w:themeColor="accent1" w:themeShade="BF"/>
      <w:spacing w:val="5"/>
    </w:rPr>
  </w:style>
  <w:style w:type="character" w:styleId="PageNumber">
    <w:name w:val="page number"/>
    <w:basedOn w:val="DefaultParagraphFont"/>
    <w:rsid w:val="00FE1AF2"/>
  </w:style>
  <w:style w:type="paragraph" w:styleId="Footer">
    <w:name w:val="footer"/>
    <w:basedOn w:val="Normal"/>
    <w:link w:val="FooterChar"/>
    <w:rsid w:val="00FE1AF2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FE1AF2"/>
    <w:rPr>
      <w:rFonts w:ascii="Times New Roman" w:eastAsia="SimSun" w:hAnsi="Times New Roman" w:cs="Times New Roman"/>
      <w:kern w:val="0"/>
      <w:sz w:val="20"/>
      <w:szCs w:val="20"/>
      <w:lang w:val="bg-BG"/>
    </w:rPr>
  </w:style>
  <w:style w:type="table" w:styleId="TableGrid">
    <w:name w:val="Table Grid"/>
    <w:basedOn w:val="TableNormal"/>
    <w:rsid w:val="00FE1AF2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E1AF2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val="en-US"/>
    </w:rPr>
  </w:style>
  <w:style w:type="paragraph" w:customStyle="1" w:styleId="Default">
    <w:name w:val="Default"/>
    <w:rsid w:val="00FE1AF2"/>
    <w:pPr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kern w:val="0"/>
    </w:rPr>
  </w:style>
  <w:style w:type="paragraph" w:styleId="Header">
    <w:name w:val="header"/>
    <w:basedOn w:val="Normal"/>
    <w:link w:val="HeaderChar"/>
    <w:uiPriority w:val="99"/>
    <w:semiHidden/>
    <w:unhideWhenUsed/>
    <w:rsid w:val="00CE5C4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E5C4F"/>
    <w:rPr>
      <w:rFonts w:ascii="Times New Roman" w:eastAsia="SimSun" w:hAnsi="Times New Roman" w:cs="Times New Roman"/>
      <w:kern w:val="0"/>
      <w:sz w:val="20"/>
      <w:szCs w:val="20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39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9C3"/>
    <w:rPr>
      <w:rFonts w:ascii="Segoe UI" w:eastAsia="SimSun" w:hAnsi="Segoe UI" w:cs="Segoe UI"/>
      <w:kern w:val="0"/>
      <w:sz w:val="18"/>
      <w:szCs w:val="18"/>
      <w:lang w:val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9139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139C3"/>
  </w:style>
  <w:style w:type="character" w:customStyle="1" w:styleId="CommentTextChar">
    <w:name w:val="Comment Text Char"/>
    <w:basedOn w:val="DefaultParagraphFont"/>
    <w:link w:val="CommentText"/>
    <w:uiPriority w:val="99"/>
    <w:rsid w:val="009139C3"/>
    <w:rPr>
      <w:rFonts w:ascii="Times New Roman" w:eastAsia="SimSun" w:hAnsi="Times New Roman" w:cs="Times New Roman"/>
      <w:kern w:val="0"/>
      <w:sz w:val="20"/>
      <w:szCs w:val="20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39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39C3"/>
    <w:rPr>
      <w:rFonts w:ascii="Times New Roman" w:eastAsia="SimSun" w:hAnsi="Times New Roman" w:cs="Times New Roman"/>
      <w:b/>
      <w:bCs/>
      <w:kern w:val="0"/>
      <w:sz w:val="20"/>
      <w:szCs w:val="20"/>
      <w:lang w:val="bg-BG"/>
    </w:rPr>
  </w:style>
  <w:style w:type="paragraph" w:styleId="Revision">
    <w:name w:val="Revision"/>
    <w:hidden/>
    <w:uiPriority w:val="99"/>
    <w:semiHidden/>
    <w:rsid w:val="000D5106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val="bg-BG"/>
    </w:rPr>
  </w:style>
  <w:style w:type="paragraph" w:customStyle="1" w:styleId="pf0">
    <w:name w:val="pf0"/>
    <w:basedOn w:val="Normal"/>
    <w:rsid w:val="00291E79"/>
    <w:pPr>
      <w:spacing w:before="100" w:beforeAutospacing="1" w:after="100" w:afterAutospacing="1"/>
    </w:pPr>
    <w:rPr>
      <w:rFonts w:eastAsia="Times New Roman"/>
      <w:sz w:val="24"/>
      <w:szCs w:val="24"/>
      <w:lang w:val="en-US"/>
      <w14:ligatures w14:val="none"/>
    </w:rPr>
  </w:style>
  <w:style w:type="character" w:customStyle="1" w:styleId="cf01">
    <w:name w:val="cf01"/>
    <w:basedOn w:val="DefaultParagraphFont"/>
    <w:rsid w:val="00291E79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291E79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efaultParagraphFont"/>
    <w:rsid w:val="00BC3FAD"/>
    <w:rPr>
      <w:rFonts w:ascii="Segoe UI" w:hAnsi="Segoe UI" w:cs="Segoe UI" w:hint="default"/>
      <w:b/>
      <w:bCs/>
      <w:sz w:val="18"/>
      <w:szCs w:val="18"/>
    </w:rPr>
  </w:style>
  <w:style w:type="character" w:customStyle="1" w:styleId="cf31">
    <w:name w:val="cf31"/>
    <w:basedOn w:val="DefaultParagraphFont"/>
    <w:rsid w:val="00AB7D66"/>
    <w:rPr>
      <w:rFonts w:ascii="Segoe UI" w:hAnsi="Segoe UI" w:cs="Segoe UI" w:hint="default"/>
      <w:b/>
      <w:bCs/>
      <w:sz w:val="18"/>
      <w:szCs w:val="18"/>
    </w:rPr>
  </w:style>
  <w:style w:type="paragraph" w:customStyle="1" w:styleId="Body">
    <w:name w:val="Body"/>
    <w:basedOn w:val="Normal"/>
    <w:rsid w:val="002E38DB"/>
    <w:pPr>
      <w:widowControl w:val="0"/>
      <w:autoSpaceDE w:val="0"/>
      <w:autoSpaceDN w:val="0"/>
      <w:adjustRightInd w:val="0"/>
    </w:pPr>
    <w:rPr>
      <w:rFonts w:ascii="Times" w:eastAsia="Times New Roman" w:hAnsi="Times"/>
      <w:sz w:val="24"/>
      <w:szCs w:val="24"/>
      <w:lang w:eastAsia="bg-B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9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53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1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9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8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1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2370f5-aaee-47be-981b-5ebce1f61d46">
      <Terms xmlns="http://schemas.microsoft.com/office/infopath/2007/PartnerControls"/>
    </lcf76f155ced4ddcb4097134ff3c332f>
    <TaxCatchAll xmlns="6caab6bd-3d82-444a-8b79-52477419d24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602B1C35C4914297048D3E692E228D" ma:contentTypeVersion="16" ma:contentTypeDescription="Create a new document." ma:contentTypeScope="" ma:versionID="cdd9e723842efaa55364b49799fdda14">
  <xsd:schema xmlns:xsd="http://www.w3.org/2001/XMLSchema" xmlns:xs="http://www.w3.org/2001/XMLSchema" xmlns:p="http://schemas.microsoft.com/office/2006/metadata/properties" xmlns:ns2="b02370f5-aaee-47be-981b-5ebce1f61d46" xmlns:ns3="6caab6bd-3d82-444a-8b79-52477419d24c" targetNamespace="http://schemas.microsoft.com/office/2006/metadata/properties" ma:root="true" ma:fieldsID="c28c2601f9bd6bb0cdeb13b805c550d0" ns2:_="" ns3:_="">
    <xsd:import namespace="b02370f5-aaee-47be-981b-5ebce1f61d46"/>
    <xsd:import namespace="6caab6bd-3d82-444a-8b79-52477419d2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370f5-aaee-47be-981b-5ebce1f61d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d170cb6-7786-43be-834f-ab64de3785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aab6bd-3d82-444a-8b79-52477419d2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f868efb-eb61-45d7-8a70-6a8a0e451ecf}" ma:internalName="TaxCatchAll" ma:showField="CatchAllData" ma:web="6caab6bd-3d82-444a-8b79-52477419d2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FCC343-25C1-42B3-9C65-BA6DA159E7F8}">
  <ds:schemaRefs>
    <ds:schemaRef ds:uri="http://schemas.microsoft.com/office/2006/metadata/properties"/>
    <ds:schemaRef ds:uri="http://schemas.microsoft.com/office/infopath/2007/PartnerControls"/>
    <ds:schemaRef ds:uri="b02370f5-aaee-47be-981b-5ebce1f61d46"/>
    <ds:schemaRef ds:uri="6caab6bd-3d82-444a-8b79-52477419d24c"/>
  </ds:schemaRefs>
</ds:datastoreItem>
</file>

<file path=customXml/itemProps2.xml><?xml version="1.0" encoding="utf-8"?>
<ds:datastoreItem xmlns:ds="http://schemas.openxmlformats.org/officeDocument/2006/customXml" ds:itemID="{19DDE351-75E2-4E1D-A347-8C47635D1C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2370f5-aaee-47be-981b-5ebce1f61d46"/>
    <ds:schemaRef ds:uri="6caab6bd-3d82-444a-8b79-52477419d2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17115D-F745-43FF-9557-DAB9218783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937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Tsvetina Ilieva</dc:creator>
  <cp:keywords/>
  <dc:description/>
  <cp:lastModifiedBy>Vera Panova</cp:lastModifiedBy>
  <cp:revision>2</cp:revision>
  <cp:lastPrinted>2025-05-12T09:03:00Z</cp:lastPrinted>
  <dcterms:created xsi:type="dcterms:W3CDTF">2025-09-17T11:59:00Z</dcterms:created>
  <dcterms:modified xsi:type="dcterms:W3CDTF">2025-09-17T11:59:00Z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0x0101003C602B1C35C4914297048D3E692E228D</vt:lpwstr>
  </property>
</Properties>
</file>