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D55" w:rsidRPr="00A913AF" w:rsidRDefault="00C56D55" w:rsidP="00C56D5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913AF">
        <w:rPr>
          <w:b/>
          <w:sz w:val="24"/>
          <w:szCs w:val="24"/>
        </w:rPr>
        <w:t>М О Т И В И</w:t>
      </w:r>
    </w:p>
    <w:p w:rsidR="00C56D55" w:rsidRDefault="00C56D55" w:rsidP="00C92AEE">
      <w:pPr>
        <w:spacing w:before="120"/>
        <w:jc w:val="center"/>
        <w:rPr>
          <w:b/>
          <w:sz w:val="24"/>
          <w:szCs w:val="24"/>
        </w:rPr>
      </w:pPr>
      <w:r w:rsidRPr="00A913AF">
        <w:rPr>
          <w:b/>
          <w:sz w:val="24"/>
          <w:szCs w:val="24"/>
        </w:rPr>
        <w:t xml:space="preserve">към проект на </w:t>
      </w:r>
      <w:r w:rsidR="009E0BA1">
        <w:rPr>
          <w:b/>
          <w:sz w:val="24"/>
          <w:szCs w:val="24"/>
        </w:rPr>
        <w:t>н</w:t>
      </w:r>
      <w:r w:rsidR="00FC288D" w:rsidRPr="00FC288D">
        <w:rPr>
          <w:b/>
          <w:sz w:val="24"/>
          <w:szCs w:val="24"/>
        </w:rPr>
        <w:t xml:space="preserve">аредба за изменение и допълнение на </w:t>
      </w:r>
      <w:r w:rsidR="00D43CFF" w:rsidRPr="00D43CFF">
        <w:rPr>
          <w:b/>
          <w:sz w:val="24"/>
          <w:szCs w:val="24"/>
        </w:rPr>
        <w:t xml:space="preserve">Наредба № </w:t>
      </w:r>
      <w:r w:rsidR="00101664" w:rsidRPr="00101664">
        <w:rPr>
          <w:b/>
          <w:sz w:val="24"/>
          <w:szCs w:val="24"/>
        </w:rPr>
        <w:t>54 от 30.12.2016 г. за регистрите на Гаранционния фонд за обмена и защитата на информацията и за издаването и отчитането на задължителните застраховки по чл. 461, т. 1 и 2 от Кодекса за застраховането</w:t>
      </w:r>
      <w:r w:rsidR="00FC288D">
        <w:rPr>
          <w:b/>
          <w:sz w:val="24"/>
          <w:szCs w:val="24"/>
        </w:rPr>
        <w:t xml:space="preserve"> </w:t>
      </w:r>
    </w:p>
    <w:p w:rsidR="00083B29" w:rsidRDefault="00083B29" w:rsidP="00C56D55">
      <w:pPr>
        <w:jc w:val="center"/>
        <w:rPr>
          <w:b/>
        </w:rPr>
      </w:pPr>
    </w:p>
    <w:p w:rsidR="003D7A48" w:rsidRPr="00A913AF" w:rsidRDefault="003D7A48" w:rsidP="00C56D55">
      <w:pPr>
        <w:jc w:val="center"/>
        <w:rPr>
          <w:b/>
        </w:rPr>
      </w:pPr>
    </w:p>
    <w:p w:rsidR="004D1B13" w:rsidRPr="00C92AEE" w:rsidRDefault="00083B29" w:rsidP="004D1B13">
      <w:pPr>
        <w:ind w:firstLine="709"/>
        <w:jc w:val="both"/>
        <w:rPr>
          <w:b/>
          <w:sz w:val="24"/>
          <w:szCs w:val="24"/>
          <w:u w:val="single"/>
        </w:rPr>
      </w:pPr>
      <w:r w:rsidRPr="00C92AEE">
        <w:rPr>
          <w:b/>
          <w:sz w:val="24"/>
          <w:szCs w:val="24"/>
          <w:u w:val="single"/>
        </w:rPr>
        <w:t>Причини, налагащи приемането:</w:t>
      </w:r>
    </w:p>
    <w:p w:rsidR="009E4AC2" w:rsidRDefault="00CF12B2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приемането на </w:t>
      </w:r>
      <w:r w:rsidR="009E4AC2" w:rsidRPr="009E4AC2">
        <w:rPr>
          <w:sz w:val="24"/>
          <w:szCs w:val="24"/>
        </w:rPr>
        <w:t>Закон</w:t>
      </w:r>
      <w:r>
        <w:rPr>
          <w:sz w:val="24"/>
          <w:szCs w:val="24"/>
        </w:rPr>
        <w:t>а</w:t>
      </w:r>
      <w:r w:rsidR="009E4AC2" w:rsidRPr="009E4AC2">
        <w:rPr>
          <w:sz w:val="24"/>
          <w:szCs w:val="24"/>
        </w:rPr>
        <w:t xml:space="preserve"> за изменение и допълнение на Кодекса за застраховането </w:t>
      </w:r>
      <w:r w:rsidR="009E4AC2">
        <w:rPr>
          <w:sz w:val="24"/>
          <w:szCs w:val="24"/>
        </w:rPr>
        <w:t>(</w:t>
      </w:r>
      <w:r w:rsidR="009E4AC2" w:rsidRPr="009E4AC2">
        <w:rPr>
          <w:sz w:val="24"/>
          <w:szCs w:val="24"/>
        </w:rPr>
        <w:t>ДВ, бр</w:t>
      </w:r>
      <w:r w:rsidR="00BD3338">
        <w:rPr>
          <w:sz w:val="24"/>
          <w:szCs w:val="24"/>
        </w:rPr>
        <w:t>.</w:t>
      </w:r>
      <w:r w:rsidR="009E4AC2" w:rsidRPr="009E4AC2">
        <w:rPr>
          <w:sz w:val="24"/>
          <w:szCs w:val="24"/>
        </w:rPr>
        <w:t xml:space="preserve"> 63 от 2025 г.</w:t>
      </w:r>
      <w:r w:rsidR="009E4AC2">
        <w:rPr>
          <w:sz w:val="24"/>
          <w:szCs w:val="24"/>
        </w:rPr>
        <w:t>)</w:t>
      </w:r>
      <w:r w:rsidR="009E4AC2" w:rsidRPr="009E4AC2">
        <w:rPr>
          <w:sz w:val="24"/>
          <w:szCs w:val="24"/>
        </w:rPr>
        <w:t xml:space="preserve"> са въведени изискванията на Директива (ЕС) 2021/2118 на Европейския парламент и на Съвета от 24 ноември 2021 г</w:t>
      </w:r>
      <w:r w:rsidR="00BD3338">
        <w:rPr>
          <w:sz w:val="24"/>
          <w:szCs w:val="24"/>
        </w:rPr>
        <w:t>.</w:t>
      </w:r>
      <w:r w:rsidR="009E4AC2" w:rsidRPr="009E4AC2">
        <w:rPr>
          <w:sz w:val="24"/>
          <w:szCs w:val="24"/>
        </w:rPr>
        <w:t xml:space="preserve"> за изменение на Директива 2009/103/ЕО относно застраховката „Гражданска отговорност“ при използването на моторни превозни средства и за контрол върху задължението за сключване на такава застраховка (Директива (ЕС) 2021/2118), както и </w:t>
      </w:r>
      <w:r w:rsidR="009E4AC2">
        <w:rPr>
          <w:sz w:val="24"/>
          <w:szCs w:val="24"/>
        </w:rPr>
        <w:t xml:space="preserve">други </w:t>
      </w:r>
      <w:r w:rsidR="009E4AC2" w:rsidRPr="009E4AC2">
        <w:rPr>
          <w:sz w:val="24"/>
          <w:szCs w:val="24"/>
        </w:rPr>
        <w:t>промени</w:t>
      </w:r>
      <w:r w:rsidR="009E4AC2">
        <w:rPr>
          <w:sz w:val="24"/>
          <w:szCs w:val="24"/>
        </w:rPr>
        <w:t xml:space="preserve"> в уредбата на задължителната застраховка „Гражданска отговорност</w:t>
      </w:r>
      <w:r w:rsidR="00C81A67">
        <w:rPr>
          <w:sz w:val="24"/>
          <w:szCs w:val="24"/>
          <w:lang w:val="en-US"/>
        </w:rPr>
        <w:t>”</w:t>
      </w:r>
      <w:r w:rsidR="009E4AC2" w:rsidRPr="009E4AC2">
        <w:rPr>
          <w:sz w:val="24"/>
          <w:szCs w:val="24"/>
        </w:rPr>
        <w:t xml:space="preserve">. </w:t>
      </w:r>
    </w:p>
    <w:p w:rsidR="000F7326" w:rsidRDefault="00F16253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Със </w:t>
      </w:r>
      <w:r w:rsidR="00CF12B2" w:rsidRPr="009E4AC2">
        <w:rPr>
          <w:sz w:val="24"/>
          <w:szCs w:val="24"/>
        </w:rPr>
        <w:t>Закон</w:t>
      </w:r>
      <w:r w:rsidR="00CF12B2">
        <w:rPr>
          <w:sz w:val="24"/>
          <w:szCs w:val="24"/>
        </w:rPr>
        <w:t>а</w:t>
      </w:r>
      <w:r w:rsidR="00CF12B2" w:rsidRPr="009E4AC2">
        <w:rPr>
          <w:sz w:val="24"/>
          <w:szCs w:val="24"/>
        </w:rPr>
        <w:t xml:space="preserve"> за изменение и допълнение на Кодекса за застраховането</w:t>
      </w:r>
      <w:r>
        <w:rPr>
          <w:sz w:val="24"/>
          <w:szCs w:val="24"/>
        </w:rPr>
        <w:t xml:space="preserve"> </w:t>
      </w:r>
      <w:r w:rsidR="000F7326">
        <w:rPr>
          <w:sz w:val="24"/>
          <w:szCs w:val="24"/>
        </w:rPr>
        <w:t>e</w:t>
      </w:r>
      <w:r w:rsidR="00101664">
        <w:rPr>
          <w:sz w:val="24"/>
          <w:szCs w:val="24"/>
        </w:rPr>
        <w:t xml:space="preserve"> създаден</w:t>
      </w:r>
      <w:r w:rsidR="000F7326">
        <w:rPr>
          <w:sz w:val="24"/>
          <w:szCs w:val="24"/>
        </w:rPr>
        <w:t xml:space="preserve"> </w:t>
      </w:r>
      <w:r w:rsidR="00101664">
        <w:rPr>
          <w:sz w:val="24"/>
          <w:szCs w:val="24"/>
        </w:rPr>
        <w:t>чл. 490а, с който се уреждат изискванията към системата „бонус</w:t>
      </w:r>
      <w:r w:rsidR="00BD3338">
        <w:rPr>
          <w:sz w:val="24"/>
          <w:szCs w:val="24"/>
        </w:rPr>
        <w:t>-</w:t>
      </w:r>
      <w:r w:rsidR="00101664">
        <w:rPr>
          <w:sz w:val="24"/>
          <w:szCs w:val="24"/>
        </w:rPr>
        <w:t xml:space="preserve">малус“ </w:t>
      </w:r>
      <w:r w:rsidR="00CF12B2" w:rsidRPr="00CF12B2">
        <w:rPr>
          <w:sz w:val="24"/>
          <w:szCs w:val="24"/>
        </w:rPr>
        <w:t xml:space="preserve">по задължителната застраховка „Гражданска </w:t>
      </w:r>
      <w:r w:rsidR="00CF12B2">
        <w:rPr>
          <w:sz w:val="24"/>
          <w:szCs w:val="24"/>
        </w:rPr>
        <w:t>отговорност“ на автомобилистите</w:t>
      </w:r>
      <w:r w:rsidR="00D170C9">
        <w:rPr>
          <w:sz w:val="24"/>
          <w:szCs w:val="24"/>
        </w:rPr>
        <w:t>. В</w:t>
      </w:r>
      <w:r w:rsidR="00101664">
        <w:rPr>
          <w:sz w:val="24"/>
          <w:szCs w:val="24"/>
        </w:rPr>
        <w:t xml:space="preserve"> съответствие с </w:t>
      </w:r>
      <w:r w:rsidR="00101664" w:rsidRPr="009E4AC2">
        <w:rPr>
          <w:sz w:val="24"/>
          <w:szCs w:val="24"/>
        </w:rPr>
        <w:t>Директива (ЕС) 2021/2118</w:t>
      </w:r>
      <w:r w:rsidR="00101664">
        <w:rPr>
          <w:sz w:val="24"/>
          <w:szCs w:val="24"/>
        </w:rPr>
        <w:t xml:space="preserve"> </w:t>
      </w:r>
      <w:r w:rsidR="00D170C9">
        <w:rPr>
          <w:sz w:val="24"/>
          <w:szCs w:val="24"/>
        </w:rPr>
        <w:t xml:space="preserve">е предвидено, че </w:t>
      </w:r>
      <w:r w:rsidR="00101664">
        <w:rPr>
          <w:sz w:val="24"/>
          <w:szCs w:val="24"/>
        </w:rPr>
        <w:t xml:space="preserve">застрахователите самостоятелно определят и оповестяват политиките си за </w:t>
      </w:r>
      <w:r w:rsidR="000F7326">
        <w:rPr>
          <w:sz w:val="24"/>
          <w:szCs w:val="24"/>
        </w:rPr>
        <w:t xml:space="preserve">коригиране на застрахователните премии чрез използване на удостоверения за историята на застрахователните претенции, причинени с всяко превозно средство, като </w:t>
      </w:r>
      <w:r w:rsidR="00101664">
        <w:rPr>
          <w:sz w:val="24"/>
          <w:szCs w:val="24"/>
        </w:rPr>
        <w:t>избягва</w:t>
      </w:r>
      <w:r w:rsidR="000F7326">
        <w:rPr>
          <w:sz w:val="24"/>
          <w:szCs w:val="24"/>
        </w:rPr>
        <w:t>т</w:t>
      </w:r>
      <w:r w:rsidR="00101664">
        <w:rPr>
          <w:sz w:val="24"/>
          <w:szCs w:val="24"/>
        </w:rPr>
        <w:t xml:space="preserve"> дискриминация</w:t>
      </w:r>
      <w:r w:rsidR="00932FD1">
        <w:rPr>
          <w:sz w:val="24"/>
          <w:szCs w:val="24"/>
        </w:rPr>
        <w:t xml:space="preserve"> </w:t>
      </w:r>
      <w:r w:rsidR="00615383">
        <w:rPr>
          <w:sz w:val="24"/>
          <w:szCs w:val="24"/>
        </w:rPr>
        <w:t xml:space="preserve">на </w:t>
      </w:r>
      <w:r w:rsidR="00932FD1">
        <w:rPr>
          <w:sz w:val="24"/>
          <w:szCs w:val="24"/>
        </w:rPr>
        <w:t>ползватели на застрахователни услуги, идващи от други държави членки</w:t>
      </w:r>
      <w:r w:rsidR="00101664">
        <w:rPr>
          <w:sz w:val="24"/>
          <w:szCs w:val="24"/>
        </w:rPr>
        <w:t xml:space="preserve">. </w:t>
      </w:r>
      <w:r w:rsidR="000F7326">
        <w:rPr>
          <w:sz w:val="24"/>
          <w:szCs w:val="24"/>
        </w:rPr>
        <w:t xml:space="preserve">За целите на прилагането на </w:t>
      </w:r>
      <w:r w:rsidR="00932FD1">
        <w:rPr>
          <w:sz w:val="24"/>
          <w:szCs w:val="24"/>
        </w:rPr>
        <w:t xml:space="preserve">чл. </w:t>
      </w:r>
      <w:r w:rsidR="00101664">
        <w:rPr>
          <w:sz w:val="24"/>
          <w:szCs w:val="24"/>
        </w:rPr>
        <w:t>490а</w:t>
      </w:r>
      <w:r w:rsidR="00550F11">
        <w:rPr>
          <w:sz w:val="24"/>
          <w:szCs w:val="24"/>
        </w:rPr>
        <w:t xml:space="preserve"> </w:t>
      </w:r>
      <w:r w:rsidR="00932FD1">
        <w:rPr>
          <w:sz w:val="24"/>
          <w:szCs w:val="24"/>
        </w:rPr>
        <w:t xml:space="preserve">от </w:t>
      </w:r>
      <w:r w:rsidR="0092693F" w:rsidRPr="009E4AC2">
        <w:rPr>
          <w:sz w:val="24"/>
          <w:szCs w:val="24"/>
        </w:rPr>
        <w:t>Кодекса за застраховането</w:t>
      </w:r>
      <w:r w:rsidR="0092693F">
        <w:rPr>
          <w:sz w:val="24"/>
          <w:szCs w:val="24"/>
        </w:rPr>
        <w:t xml:space="preserve"> </w:t>
      </w:r>
      <w:r w:rsidR="000F7326">
        <w:rPr>
          <w:sz w:val="24"/>
          <w:szCs w:val="24"/>
        </w:rPr>
        <w:t xml:space="preserve">Гаранционният фонд е оправомощен централизирано да издава удостоверения за история на застрахователните претенции, причинени от всяко превозно средство, а на </w:t>
      </w:r>
      <w:r w:rsidR="00932FD1" w:rsidRPr="00932FD1">
        <w:rPr>
          <w:sz w:val="24"/>
          <w:szCs w:val="24"/>
        </w:rPr>
        <w:t>застраховател</w:t>
      </w:r>
      <w:r w:rsidR="000F7326">
        <w:rPr>
          <w:sz w:val="24"/>
          <w:szCs w:val="24"/>
        </w:rPr>
        <w:t xml:space="preserve">ите е предоставено </w:t>
      </w:r>
      <w:r w:rsidR="00550F11">
        <w:rPr>
          <w:sz w:val="24"/>
          <w:szCs w:val="24"/>
        </w:rPr>
        <w:t xml:space="preserve">право да </w:t>
      </w:r>
      <w:r w:rsidR="00932FD1" w:rsidRPr="00932FD1">
        <w:rPr>
          <w:sz w:val="24"/>
          <w:szCs w:val="24"/>
        </w:rPr>
        <w:t>използва</w:t>
      </w:r>
      <w:r w:rsidR="000F7326">
        <w:rPr>
          <w:sz w:val="24"/>
          <w:szCs w:val="24"/>
        </w:rPr>
        <w:t xml:space="preserve">т, </w:t>
      </w:r>
      <w:r w:rsidR="000F7326" w:rsidRPr="00932FD1">
        <w:rPr>
          <w:sz w:val="24"/>
          <w:szCs w:val="24"/>
        </w:rPr>
        <w:t>служебно</w:t>
      </w:r>
      <w:r w:rsidR="000F7326">
        <w:rPr>
          <w:sz w:val="24"/>
          <w:szCs w:val="24"/>
        </w:rPr>
        <w:t xml:space="preserve"> и безплатно, </w:t>
      </w:r>
      <w:r w:rsidR="00932FD1" w:rsidRPr="00932FD1">
        <w:rPr>
          <w:sz w:val="24"/>
          <w:szCs w:val="24"/>
        </w:rPr>
        <w:t xml:space="preserve">данните от регистъра </w:t>
      </w:r>
      <w:r w:rsidR="00932FD1">
        <w:rPr>
          <w:sz w:val="24"/>
          <w:szCs w:val="24"/>
        </w:rPr>
        <w:t>на предявените и изплатени застрахователни претенции по задължителна застраховка „Гражданска отговорност“ на автомобилистите</w:t>
      </w:r>
      <w:r w:rsidR="000F7326" w:rsidRPr="000F7326">
        <w:rPr>
          <w:sz w:val="24"/>
          <w:szCs w:val="24"/>
        </w:rPr>
        <w:t xml:space="preserve"> </w:t>
      </w:r>
      <w:r w:rsidR="000F7326" w:rsidRPr="00932FD1">
        <w:rPr>
          <w:sz w:val="24"/>
          <w:szCs w:val="24"/>
        </w:rPr>
        <w:t>по чл. 571, ал. 1, т. 2</w:t>
      </w:r>
      <w:r w:rsidR="000F7326">
        <w:rPr>
          <w:sz w:val="24"/>
          <w:szCs w:val="24"/>
        </w:rPr>
        <w:t xml:space="preserve"> от К</w:t>
      </w:r>
      <w:r w:rsidR="00CF12B2">
        <w:rPr>
          <w:sz w:val="24"/>
          <w:szCs w:val="24"/>
        </w:rPr>
        <w:t>одекса за застраховането</w:t>
      </w:r>
      <w:r w:rsidR="000F7326">
        <w:rPr>
          <w:sz w:val="24"/>
          <w:szCs w:val="24"/>
        </w:rPr>
        <w:t xml:space="preserve">, </w:t>
      </w:r>
      <w:r w:rsidR="00932FD1" w:rsidRPr="00932FD1">
        <w:rPr>
          <w:sz w:val="24"/>
          <w:szCs w:val="24"/>
        </w:rPr>
        <w:t>при условия и по ред, определени в наредбата по ал. 4</w:t>
      </w:r>
      <w:r w:rsidR="00932FD1">
        <w:rPr>
          <w:sz w:val="24"/>
          <w:szCs w:val="24"/>
        </w:rPr>
        <w:t xml:space="preserve"> </w:t>
      </w:r>
      <w:r w:rsidR="0092693F">
        <w:rPr>
          <w:sz w:val="24"/>
          <w:szCs w:val="24"/>
        </w:rPr>
        <w:t xml:space="preserve">от </w:t>
      </w:r>
      <w:r w:rsidR="00E74038">
        <w:rPr>
          <w:sz w:val="24"/>
          <w:szCs w:val="24"/>
        </w:rPr>
        <w:t>същата разпоредба.</w:t>
      </w:r>
      <w:r w:rsidR="00932FD1">
        <w:rPr>
          <w:sz w:val="24"/>
          <w:szCs w:val="24"/>
        </w:rPr>
        <w:t xml:space="preserve"> </w:t>
      </w:r>
    </w:p>
    <w:p w:rsidR="00236A7A" w:rsidRPr="008E0BD2" w:rsidRDefault="005D3BE7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изпълнение на делегацията на</w:t>
      </w:r>
      <w:r w:rsidR="00932FD1">
        <w:rPr>
          <w:sz w:val="24"/>
          <w:szCs w:val="24"/>
        </w:rPr>
        <w:t xml:space="preserve"> </w:t>
      </w:r>
      <w:r w:rsidR="00932FD1" w:rsidRPr="00932FD1">
        <w:rPr>
          <w:sz w:val="24"/>
          <w:szCs w:val="24"/>
        </w:rPr>
        <w:t>чл. 571, ал. 4</w:t>
      </w:r>
      <w:r w:rsidR="0092693F">
        <w:rPr>
          <w:sz w:val="24"/>
          <w:szCs w:val="24"/>
        </w:rPr>
        <w:t xml:space="preserve"> от</w:t>
      </w:r>
      <w:r w:rsidR="00932FD1">
        <w:rPr>
          <w:sz w:val="24"/>
          <w:szCs w:val="24"/>
        </w:rPr>
        <w:t xml:space="preserve"> К</w:t>
      </w:r>
      <w:r w:rsidR="00482734">
        <w:rPr>
          <w:sz w:val="24"/>
          <w:szCs w:val="24"/>
        </w:rPr>
        <w:t>одекса за застраховането</w:t>
      </w:r>
      <w:r w:rsidR="00932FD1">
        <w:rPr>
          <w:sz w:val="24"/>
          <w:szCs w:val="24"/>
        </w:rPr>
        <w:t xml:space="preserve"> е </w:t>
      </w:r>
      <w:r>
        <w:rPr>
          <w:sz w:val="24"/>
          <w:szCs w:val="24"/>
        </w:rPr>
        <w:t xml:space="preserve">издадена </w:t>
      </w:r>
      <w:r w:rsidR="00932FD1" w:rsidRPr="00932FD1">
        <w:rPr>
          <w:sz w:val="24"/>
          <w:szCs w:val="24"/>
        </w:rPr>
        <w:t xml:space="preserve">Наредба № 54 от 30.12.2016 г. за регистрите на Гаранционния фонд за обмена и защитата на информацията и за издаването и отчитането на задължителните застраховки по чл. 461, т. 1 и 2 от Кодекса за застраховането </w:t>
      </w:r>
      <w:r>
        <w:rPr>
          <w:sz w:val="24"/>
          <w:szCs w:val="24"/>
        </w:rPr>
        <w:t>(</w:t>
      </w:r>
      <w:r w:rsidRPr="002C16BD">
        <w:rPr>
          <w:sz w:val="24"/>
          <w:szCs w:val="24"/>
        </w:rPr>
        <w:t>ДВ, бр. 7 от 2017 г.)</w:t>
      </w:r>
      <w:r>
        <w:rPr>
          <w:sz w:val="24"/>
          <w:szCs w:val="24"/>
        </w:rPr>
        <w:t xml:space="preserve"> (</w:t>
      </w:r>
      <w:r w:rsidRPr="00DF5F84">
        <w:rPr>
          <w:sz w:val="24"/>
          <w:szCs w:val="24"/>
        </w:rPr>
        <w:t>Наредба № 54</w:t>
      </w:r>
      <w:r>
        <w:rPr>
          <w:sz w:val="24"/>
          <w:szCs w:val="24"/>
        </w:rPr>
        <w:t>)</w:t>
      </w:r>
      <w:r w:rsidRPr="002C16BD">
        <w:rPr>
          <w:sz w:val="24"/>
          <w:szCs w:val="24"/>
        </w:rPr>
        <w:t>, издадена от председателя на Комисията за финансов надзор, министъра на вътрешните работи и министъра на транспорта, информационните технологии и съобщенията</w:t>
      </w:r>
      <w:r w:rsidR="00932FD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Правната уредба на изискванията към системата „бонус-малус“ </w:t>
      </w:r>
      <w:r w:rsidRPr="00CF12B2">
        <w:rPr>
          <w:sz w:val="24"/>
          <w:szCs w:val="24"/>
        </w:rPr>
        <w:t xml:space="preserve">по задължителната застраховка „Гражданска </w:t>
      </w:r>
      <w:r>
        <w:rPr>
          <w:sz w:val="24"/>
          <w:szCs w:val="24"/>
        </w:rPr>
        <w:t xml:space="preserve">отговорност“ на автомобилистите </w:t>
      </w:r>
      <w:r w:rsidR="00D00E13" w:rsidRPr="008E0BD2">
        <w:rPr>
          <w:sz w:val="24"/>
          <w:szCs w:val="24"/>
        </w:rPr>
        <w:t xml:space="preserve">налага приемането на промени в посочената наредба, като се интегрира процесът за изискване и получаване на данните за историята на претенциите по задължителна застраховка „Гражданска отговорност“ </w:t>
      </w:r>
      <w:r w:rsidR="008E0BD2">
        <w:rPr>
          <w:sz w:val="24"/>
          <w:szCs w:val="24"/>
        </w:rPr>
        <w:t xml:space="preserve">на автомобилистите </w:t>
      </w:r>
      <w:r w:rsidR="00D00E13" w:rsidRPr="008E0BD2">
        <w:rPr>
          <w:sz w:val="24"/>
          <w:szCs w:val="24"/>
        </w:rPr>
        <w:t xml:space="preserve">в общия процес по издаване на застраховката. Предлага се </w:t>
      </w:r>
      <w:r w:rsidR="00F732BA" w:rsidRPr="008E0BD2">
        <w:rPr>
          <w:sz w:val="24"/>
          <w:szCs w:val="24"/>
        </w:rPr>
        <w:t xml:space="preserve">за целите на прилагането на чл. 490а от Кодекса за застраховането застрахователите да имат автоматичен достъп до регистъра на предявените и изплатени претенции на Гаранционния фонд. </w:t>
      </w:r>
    </w:p>
    <w:p w:rsidR="00932FD1" w:rsidRDefault="00F83DB8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Предлаганият механизъм предвижда </w:t>
      </w:r>
      <w:r w:rsidR="00236A7A">
        <w:rPr>
          <w:sz w:val="24"/>
          <w:szCs w:val="24"/>
        </w:rPr>
        <w:t>за целите</w:t>
      </w:r>
      <w:r>
        <w:rPr>
          <w:sz w:val="24"/>
          <w:szCs w:val="24"/>
        </w:rPr>
        <w:t xml:space="preserve"> на сключване</w:t>
      </w:r>
      <w:r w:rsidR="00236A7A">
        <w:rPr>
          <w:sz w:val="24"/>
          <w:szCs w:val="24"/>
        </w:rPr>
        <w:t>то</w:t>
      </w:r>
      <w:r>
        <w:rPr>
          <w:sz w:val="24"/>
          <w:szCs w:val="24"/>
        </w:rPr>
        <w:t xml:space="preserve"> на задължителна застраховка „Гражданска отговорност“ на автомобилистите застрахователят да получава</w:t>
      </w:r>
      <w:r w:rsidR="00236A7A">
        <w:rPr>
          <w:sz w:val="24"/>
          <w:szCs w:val="24"/>
        </w:rPr>
        <w:t>, чрез електронна административна услуга от Гаранционния фонд, цялата</w:t>
      </w:r>
      <w:r>
        <w:rPr>
          <w:sz w:val="24"/>
          <w:szCs w:val="24"/>
        </w:rPr>
        <w:t xml:space="preserve"> информация, която се съдържа в удостоверение за предявени застрахователни претенции</w:t>
      </w:r>
      <w:r w:rsidR="00615383">
        <w:rPr>
          <w:sz w:val="24"/>
          <w:szCs w:val="24"/>
        </w:rPr>
        <w:t>,</w:t>
      </w:r>
      <w:r w:rsidR="0076262D">
        <w:rPr>
          <w:sz w:val="24"/>
          <w:szCs w:val="24"/>
        </w:rPr>
        <w:t xml:space="preserve"> издадено в </w:t>
      </w:r>
      <w:r w:rsidR="0076262D">
        <w:rPr>
          <w:sz w:val="24"/>
          <w:szCs w:val="24"/>
        </w:rPr>
        <w:lastRenderedPageBreak/>
        <w:t>документална форма</w:t>
      </w:r>
      <w:r>
        <w:rPr>
          <w:sz w:val="24"/>
          <w:szCs w:val="24"/>
        </w:rPr>
        <w:t xml:space="preserve">. </w:t>
      </w:r>
      <w:r w:rsidR="00F732BA">
        <w:rPr>
          <w:sz w:val="24"/>
          <w:szCs w:val="24"/>
        </w:rPr>
        <w:t>По този начин ще се осигури гладкото протичане на процеса по сключване на задължителната застраховка „Гражданска отговорност“ на автомобилистите</w:t>
      </w:r>
      <w:r>
        <w:rPr>
          <w:sz w:val="24"/>
          <w:szCs w:val="24"/>
        </w:rPr>
        <w:t xml:space="preserve"> в рамките на</w:t>
      </w:r>
      <w:r w:rsidR="00F732BA">
        <w:rPr>
          <w:sz w:val="24"/>
          <w:szCs w:val="24"/>
        </w:rPr>
        <w:t xml:space="preserve"> </w:t>
      </w:r>
      <w:r w:rsidR="00F732BA" w:rsidRPr="00F732BA">
        <w:rPr>
          <w:sz w:val="24"/>
          <w:szCs w:val="24"/>
        </w:rPr>
        <w:t>Единната информационна система за оценка, управление и контрол на риска (ЕИСОУКР)</w:t>
      </w:r>
      <w:r w:rsidR="00F732BA">
        <w:rPr>
          <w:sz w:val="24"/>
          <w:szCs w:val="24"/>
        </w:rPr>
        <w:t xml:space="preserve"> на Гаранционния фонд</w:t>
      </w:r>
      <w:r w:rsidR="00236A7A">
        <w:rPr>
          <w:sz w:val="24"/>
          <w:szCs w:val="24"/>
        </w:rPr>
        <w:t>,</w:t>
      </w:r>
      <w:r w:rsidR="00F732BA">
        <w:rPr>
          <w:sz w:val="24"/>
          <w:szCs w:val="24"/>
        </w:rPr>
        <w:t xml:space="preserve"> без да се налага представянето на</w:t>
      </w:r>
      <w:r w:rsidR="0076262D">
        <w:rPr>
          <w:sz w:val="24"/>
          <w:szCs w:val="24"/>
        </w:rPr>
        <w:t xml:space="preserve"> документални</w:t>
      </w:r>
      <w:r w:rsidR="00F732BA">
        <w:rPr>
          <w:sz w:val="24"/>
          <w:szCs w:val="24"/>
        </w:rPr>
        <w:t xml:space="preserve"> удостоверения за предявени застрахователи претенции от застраховащите, което би представлявало допълнителна административна тежест за тях. </w:t>
      </w:r>
      <w:r>
        <w:rPr>
          <w:sz w:val="24"/>
          <w:szCs w:val="24"/>
        </w:rPr>
        <w:t>Автоматичният характер на процеса</w:t>
      </w:r>
      <w:r w:rsidR="00236A7A">
        <w:rPr>
          <w:sz w:val="24"/>
          <w:szCs w:val="24"/>
        </w:rPr>
        <w:t>,</w:t>
      </w:r>
      <w:r>
        <w:rPr>
          <w:sz w:val="24"/>
          <w:szCs w:val="24"/>
        </w:rPr>
        <w:t xml:space="preserve"> от друга страна</w:t>
      </w:r>
      <w:r w:rsidR="00236A7A">
        <w:rPr>
          <w:sz w:val="24"/>
          <w:szCs w:val="24"/>
        </w:rPr>
        <w:t>,</w:t>
      </w:r>
      <w:r>
        <w:rPr>
          <w:sz w:val="24"/>
          <w:szCs w:val="24"/>
        </w:rPr>
        <w:t xml:space="preserve"> ще осигури</w:t>
      </w:r>
      <w:r w:rsidR="00236A7A">
        <w:rPr>
          <w:sz w:val="24"/>
          <w:szCs w:val="24"/>
        </w:rPr>
        <w:t xml:space="preserve"> на застрахователите пълна, точна и достоверна </w:t>
      </w:r>
      <w:r>
        <w:rPr>
          <w:sz w:val="24"/>
          <w:szCs w:val="24"/>
        </w:rPr>
        <w:t xml:space="preserve">информация за историята на претенциите и ще </w:t>
      </w:r>
      <w:r w:rsidR="00236A7A">
        <w:rPr>
          <w:sz w:val="24"/>
          <w:szCs w:val="24"/>
        </w:rPr>
        <w:t>предостави възможност за ефективна</w:t>
      </w:r>
      <w:r>
        <w:rPr>
          <w:sz w:val="24"/>
          <w:szCs w:val="24"/>
        </w:rPr>
        <w:t xml:space="preserve"> оценка на риска</w:t>
      </w:r>
      <w:r w:rsidR="00236A7A">
        <w:rPr>
          <w:sz w:val="24"/>
          <w:szCs w:val="24"/>
        </w:rPr>
        <w:t xml:space="preserve"> във връзка със сключването на всеки конкретен застрахователен договор по застраховка „Гражданска отговорност“ на автомобилистите</w:t>
      </w:r>
      <w:r>
        <w:rPr>
          <w:sz w:val="24"/>
          <w:szCs w:val="24"/>
        </w:rPr>
        <w:t xml:space="preserve">. За да се избегнат </w:t>
      </w:r>
      <w:r w:rsidR="00236A7A">
        <w:rPr>
          <w:sz w:val="24"/>
          <w:szCs w:val="24"/>
        </w:rPr>
        <w:t xml:space="preserve">нежелани </w:t>
      </w:r>
      <w:r>
        <w:rPr>
          <w:sz w:val="24"/>
          <w:szCs w:val="24"/>
        </w:rPr>
        <w:t xml:space="preserve">практики от страна на застрахователите за изискване на </w:t>
      </w:r>
      <w:r w:rsidR="0076262D">
        <w:rPr>
          <w:sz w:val="24"/>
          <w:szCs w:val="24"/>
        </w:rPr>
        <w:t xml:space="preserve">документални </w:t>
      </w:r>
      <w:r>
        <w:rPr>
          <w:sz w:val="24"/>
          <w:szCs w:val="24"/>
        </w:rPr>
        <w:t>удостоверения за застрахователни претенции от лица, които ще бъдат обхванати от механизма на автоматичен обмен на данни</w:t>
      </w:r>
      <w:r w:rsidR="00615383">
        <w:rPr>
          <w:sz w:val="24"/>
          <w:szCs w:val="24"/>
        </w:rPr>
        <w:t>, което по същество ще дублира този процес</w:t>
      </w:r>
      <w:r>
        <w:rPr>
          <w:sz w:val="24"/>
          <w:szCs w:val="24"/>
        </w:rPr>
        <w:t>, с проекта на наредбата е пред</w:t>
      </w:r>
      <w:r w:rsidR="0076262D">
        <w:rPr>
          <w:sz w:val="24"/>
          <w:szCs w:val="24"/>
        </w:rPr>
        <w:t>ложена</w:t>
      </w:r>
      <w:r>
        <w:rPr>
          <w:sz w:val="24"/>
          <w:szCs w:val="24"/>
        </w:rPr>
        <w:t xml:space="preserve"> забрана за изискване от застраховащите лица на</w:t>
      </w:r>
      <w:r w:rsidR="007626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удостоверения за застрахователни претенции </w:t>
      </w:r>
      <w:r w:rsidR="0076262D" w:rsidRPr="0076262D">
        <w:rPr>
          <w:sz w:val="24"/>
          <w:szCs w:val="24"/>
        </w:rPr>
        <w:t>във връзка със застраховки „Гражданска отговорност“ на автомобилистите, издадени и отчетени по реда на тази наредба</w:t>
      </w:r>
      <w:r w:rsidR="0076262D">
        <w:rPr>
          <w:sz w:val="24"/>
          <w:szCs w:val="24"/>
        </w:rPr>
        <w:t>. По този начин ще се облекчи и работа</w:t>
      </w:r>
      <w:r w:rsidR="00EA2A8D">
        <w:rPr>
          <w:sz w:val="24"/>
          <w:szCs w:val="24"/>
        </w:rPr>
        <w:t>та</w:t>
      </w:r>
      <w:r w:rsidR="0076262D">
        <w:rPr>
          <w:sz w:val="24"/>
          <w:szCs w:val="24"/>
        </w:rPr>
        <w:t xml:space="preserve"> на Гаранционния фонд по обслужване на индивидуални заявки за издаване на удостоверения в документална форма, доколкото този процес ще се ограничи до случаите, в които подобни удостоверения биха били необходими на заинтересовани лица, които сключват застраховки в държави, различни от Република България. </w:t>
      </w:r>
    </w:p>
    <w:p w:rsidR="009E4F76" w:rsidRDefault="009E4F76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 е процесът </w:t>
      </w:r>
      <w:r w:rsidR="001A1674">
        <w:rPr>
          <w:sz w:val="24"/>
          <w:szCs w:val="24"/>
        </w:rPr>
        <w:t xml:space="preserve">по предоставяне на данните да става на базата на </w:t>
      </w:r>
      <w:r w:rsidR="001A1674" w:rsidRPr="001A1674">
        <w:rPr>
          <w:sz w:val="24"/>
          <w:szCs w:val="24"/>
        </w:rPr>
        <w:t>вътрешна електронна административна услуга за извличане на данни от регистъра на предявените и изплатени застрахователни претенции</w:t>
      </w:r>
      <w:r w:rsidR="001A1674">
        <w:rPr>
          <w:sz w:val="24"/>
          <w:szCs w:val="24"/>
        </w:rPr>
        <w:t xml:space="preserve">. </w:t>
      </w:r>
      <w:r w:rsidR="00236A7A">
        <w:rPr>
          <w:sz w:val="24"/>
          <w:szCs w:val="24"/>
        </w:rPr>
        <w:t>С цел намаляване на административната тежест за застрахователите и за избягване на грешки при обмена на данни, е п</w:t>
      </w:r>
      <w:r w:rsidR="001A1674">
        <w:rPr>
          <w:sz w:val="24"/>
          <w:szCs w:val="24"/>
        </w:rPr>
        <w:t>редложено базата за извличане на данни</w:t>
      </w:r>
      <w:r w:rsidR="00236A7A">
        <w:rPr>
          <w:sz w:val="24"/>
          <w:szCs w:val="24"/>
        </w:rPr>
        <w:t>, за целите на удостоверяването на историята на застрахователните претенции,</w:t>
      </w:r>
      <w:r w:rsidR="001A1674">
        <w:rPr>
          <w:sz w:val="24"/>
          <w:szCs w:val="24"/>
        </w:rPr>
        <w:t xml:space="preserve"> да бъде регистърът на застрахователните полици</w:t>
      </w:r>
      <w:r w:rsidR="00236A7A">
        <w:rPr>
          <w:sz w:val="24"/>
          <w:szCs w:val="24"/>
        </w:rPr>
        <w:t>, който функционира ефективно</w:t>
      </w:r>
      <w:r w:rsidR="001A1674">
        <w:rPr>
          <w:sz w:val="24"/>
          <w:szCs w:val="24"/>
        </w:rPr>
        <w:t xml:space="preserve">. По този начин електронната услуга ще извлича данни за всички превозни средства, спрямо които са били сключвани застрахователни договори, а не само за превозните средства, които са включени в регистъра на Министерството на вътрешните работи и не обхващат селскостопанската и горска техника и възможни други превозни средства, които не са част от този регистър. </w:t>
      </w:r>
    </w:p>
    <w:p w:rsidR="001A1674" w:rsidRDefault="001A1674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Предложено е заявката за изпълнение на електронната услуга да съдържа комбинация от идентификатор за собственика на превозното средство (</w:t>
      </w:r>
      <w:r w:rsidRPr="001A1674">
        <w:rPr>
          <w:sz w:val="24"/>
          <w:szCs w:val="24"/>
        </w:rPr>
        <w:t>ЕГН/ЛНЧ/ЕИК/БУЛСТАТ</w:t>
      </w:r>
      <w:r>
        <w:rPr>
          <w:sz w:val="24"/>
          <w:szCs w:val="24"/>
        </w:rPr>
        <w:t xml:space="preserve">) и идентификационен номер на превозното средство </w:t>
      </w:r>
      <w:r w:rsidR="00ED3E93">
        <w:rPr>
          <w:sz w:val="24"/>
          <w:szCs w:val="24"/>
        </w:rPr>
        <w:t>(</w:t>
      </w:r>
      <w:r w:rsidRPr="001A1674">
        <w:rPr>
          <w:sz w:val="24"/>
          <w:szCs w:val="24"/>
        </w:rPr>
        <w:t>VIN</w:t>
      </w:r>
      <w:r w:rsidR="00ED3E93">
        <w:rPr>
          <w:sz w:val="24"/>
          <w:szCs w:val="24"/>
        </w:rPr>
        <w:t>)</w:t>
      </w:r>
      <w:r w:rsidRPr="001A1674">
        <w:rPr>
          <w:sz w:val="24"/>
          <w:szCs w:val="24"/>
        </w:rPr>
        <w:t>/номер на рама</w:t>
      </w:r>
      <w:r>
        <w:rPr>
          <w:sz w:val="24"/>
          <w:szCs w:val="24"/>
        </w:rPr>
        <w:t xml:space="preserve"> или регистрационен номер на превозното средство. </w:t>
      </w:r>
      <w:r w:rsidR="00D05C66">
        <w:rPr>
          <w:sz w:val="24"/>
          <w:szCs w:val="24"/>
        </w:rPr>
        <w:t>По този начин искането на информация ще се ограничи до конкретното превозно средство, във връзка с което се сключва задължителната застраховка „Гражданска отговорност“</w:t>
      </w:r>
      <w:r w:rsidR="00EA2A8D">
        <w:rPr>
          <w:sz w:val="24"/>
          <w:szCs w:val="24"/>
        </w:rPr>
        <w:t xml:space="preserve"> на автомобилистите</w:t>
      </w:r>
      <w:r w:rsidR="00D05C66">
        <w:rPr>
          <w:sz w:val="24"/>
          <w:szCs w:val="24"/>
        </w:rPr>
        <w:t>, за да се избегне възможността за достъп до данни от регистъра на застрахователните претенции, които се отнасят до различни превозни средства и лица и по този начин да се осигури защит</w:t>
      </w:r>
      <w:r w:rsidR="00395659">
        <w:rPr>
          <w:sz w:val="24"/>
          <w:szCs w:val="24"/>
        </w:rPr>
        <w:t xml:space="preserve">а на </w:t>
      </w:r>
      <w:r w:rsidR="00D05C66">
        <w:rPr>
          <w:sz w:val="24"/>
          <w:szCs w:val="24"/>
        </w:rPr>
        <w:t>лични</w:t>
      </w:r>
      <w:r w:rsidR="00395659">
        <w:rPr>
          <w:sz w:val="24"/>
          <w:szCs w:val="24"/>
        </w:rPr>
        <w:t>те</w:t>
      </w:r>
      <w:r w:rsidR="00D05C66">
        <w:rPr>
          <w:sz w:val="24"/>
          <w:szCs w:val="24"/>
        </w:rPr>
        <w:t xml:space="preserve"> данни. </w:t>
      </w:r>
    </w:p>
    <w:p w:rsidR="00D05C66" w:rsidRDefault="00236A7A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съответствие с чл. 502 от К</w:t>
      </w:r>
      <w:r w:rsidR="00EA2A8D">
        <w:rPr>
          <w:sz w:val="24"/>
          <w:szCs w:val="24"/>
        </w:rPr>
        <w:t>одекса за застраховането</w:t>
      </w:r>
      <w:r>
        <w:rPr>
          <w:sz w:val="24"/>
          <w:szCs w:val="24"/>
        </w:rPr>
        <w:t xml:space="preserve"> и съгласно Директива </w:t>
      </w:r>
      <w:r w:rsidRPr="00C81455">
        <w:rPr>
          <w:sz w:val="24"/>
          <w:szCs w:val="24"/>
        </w:rPr>
        <w:t>(ЕС) 2021/2118</w:t>
      </w:r>
      <w:r>
        <w:rPr>
          <w:sz w:val="24"/>
          <w:szCs w:val="24"/>
        </w:rPr>
        <w:t xml:space="preserve"> е п</w:t>
      </w:r>
      <w:r w:rsidR="00D05C66">
        <w:rPr>
          <w:sz w:val="24"/>
          <w:szCs w:val="24"/>
        </w:rPr>
        <w:t xml:space="preserve">редложено резултатът от електронната услуга да предоставя информация за историята на претенциите в рамките на </w:t>
      </w:r>
      <w:r>
        <w:rPr>
          <w:sz w:val="24"/>
          <w:szCs w:val="24"/>
        </w:rPr>
        <w:t xml:space="preserve">5 </w:t>
      </w:r>
      <w:r w:rsidR="00D05C66">
        <w:rPr>
          <w:sz w:val="24"/>
          <w:szCs w:val="24"/>
        </w:rPr>
        <w:t xml:space="preserve">години преди датата на искането, което е в съответствие с </w:t>
      </w:r>
      <w:r w:rsidR="00C81455">
        <w:rPr>
          <w:sz w:val="24"/>
          <w:szCs w:val="24"/>
        </w:rPr>
        <w:t>периода от 5 години</w:t>
      </w:r>
      <w:r w:rsidR="00A30A60">
        <w:rPr>
          <w:sz w:val="24"/>
          <w:szCs w:val="24"/>
        </w:rPr>
        <w:t>,</w:t>
      </w:r>
      <w:r w:rsidR="00C81455">
        <w:rPr>
          <w:sz w:val="24"/>
          <w:szCs w:val="24"/>
        </w:rPr>
        <w:t xml:space="preserve"> за който се издават удостоверенията за предявени застрахователни претенции.</w:t>
      </w:r>
    </w:p>
    <w:p w:rsidR="00D05C66" w:rsidRDefault="00D05C66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да се избегне рискът от „наследяване“ на история</w:t>
      </w:r>
      <w:r w:rsidR="00236A7A">
        <w:rPr>
          <w:sz w:val="24"/>
          <w:szCs w:val="24"/>
        </w:rPr>
        <w:t>та</w:t>
      </w:r>
      <w:r>
        <w:rPr>
          <w:sz w:val="24"/>
          <w:szCs w:val="24"/>
        </w:rPr>
        <w:t xml:space="preserve"> на претенциите в случай на промяна на собствеността на превозното средство </w:t>
      </w:r>
      <w:r w:rsidR="00C81455">
        <w:rPr>
          <w:sz w:val="24"/>
          <w:szCs w:val="24"/>
        </w:rPr>
        <w:t xml:space="preserve">в рамките на относимия </w:t>
      </w:r>
      <w:r w:rsidR="00236A7A">
        <w:rPr>
          <w:sz w:val="24"/>
          <w:szCs w:val="24"/>
        </w:rPr>
        <w:t xml:space="preserve">5-годишен </w:t>
      </w:r>
      <w:r w:rsidR="00C81455">
        <w:rPr>
          <w:sz w:val="24"/>
          <w:szCs w:val="24"/>
        </w:rPr>
        <w:t>период</w:t>
      </w:r>
      <w:r w:rsidR="00236A7A">
        <w:rPr>
          <w:sz w:val="24"/>
          <w:szCs w:val="24"/>
        </w:rPr>
        <w:t>,</w:t>
      </w:r>
      <w:r w:rsidR="00C81455">
        <w:rPr>
          <w:sz w:val="24"/>
          <w:szCs w:val="24"/>
        </w:rPr>
        <w:t xml:space="preserve"> е предвидено ограничение за предоставяне на информация преди датата на </w:t>
      </w:r>
      <w:r w:rsidR="00C81455">
        <w:rPr>
          <w:sz w:val="24"/>
          <w:szCs w:val="24"/>
        </w:rPr>
        <w:lastRenderedPageBreak/>
        <w:t xml:space="preserve">последната промяна на собствеността в рамките на </w:t>
      </w:r>
      <w:r w:rsidR="00A30A60">
        <w:rPr>
          <w:sz w:val="24"/>
          <w:szCs w:val="24"/>
        </w:rPr>
        <w:t xml:space="preserve">този </w:t>
      </w:r>
      <w:r w:rsidR="00C81455">
        <w:rPr>
          <w:sz w:val="24"/>
          <w:szCs w:val="24"/>
        </w:rPr>
        <w:t>период. От друга страна</w:t>
      </w:r>
      <w:r w:rsidR="00615383">
        <w:rPr>
          <w:sz w:val="24"/>
          <w:szCs w:val="24"/>
        </w:rPr>
        <w:t>,</w:t>
      </w:r>
      <w:r w:rsidR="00C81455">
        <w:rPr>
          <w:sz w:val="24"/>
          <w:szCs w:val="24"/>
        </w:rPr>
        <w:t xml:space="preserve"> за да се избегнат опити за „изтриване“ на историята </w:t>
      </w:r>
      <w:r w:rsidR="00A30A60">
        <w:rPr>
          <w:sz w:val="24"/>
          <w:szCs w:val="24"/>
        </w:rPr>
        <w:t xml:space="preserve">на </w:t>
      </w:r>
      <w:r w:rsidR="00C81455">
        <w:rPr>
          <w:sz w:val="24"/>
          <w:szCs w:val="24"/>
        </w:rPr>
        <w:t>претенции</w:t>
      </w:r>
      <w:r w:rsidR="00A30A60">
        <w:rPr>
          <w:sz w:val="24"/>
          <w:szCs w:val="24"/>
        </w:rPr>
        <w:t>те</w:t>
      </w:r>
      <w:r w:rsidR="00C81455">
        <w:rPr>
          <w:sz w:val="24"/>
          <w:szCs w:val="24"/>
        </w:rPr>
        <w:t xml:space="preserve"> в резултат на </w:t>
      </w:r>
      <w:r w:rsidR="00A30A60">
        <w:rPr>
          <w:sz w:val="24"/>
          <w:szCs w:val="24"/>
        </w:rPr>
        <w:t xml:space="preserve">формално </w:t>
      </w:r>
      <w:r w:rsidR="00236A7A">
        <w:rPr>
          <w:sz w:val="24"/>
          <w:szCs w:val="24"/>
        </w:rPr>
        <w:t xml:space="preserve">прехвърляне </w:t>
      </w:r>
      <w:r w:rsidR="00C81455">
        <w:rPr>
          <w:sz w:val="24"/>
          <w:szCs w:val="24"/>
        </w:rPr>
        <w:t xml:space="preserve">на собствеността, при които ползването на превозното средство </w:t>
      </w:r>
      <w:r w:rsidR="00A30A60">
        <w:rPr>
          <w:sz w:val="24"/>
          <w:szCs w:val="24"/>
        </w:rPr>
        <w:t xml:space="preserve">реално </w:t>
      </w:r>
      <w:r w:rsidR="00C81455">
        <w:rPr>
          <w:sz w:val="24"/>
          <w:szCs w:val="24"/>
        </w:rPr>
        <w:t>не се променя</w:t>
      </w:r>
      <w:r w:rsidR="00BD3338">
        <w:rPr>
          <w:sz w:val="24"/>
          <w:szCs w:val="24"/>
        </w:rPr>
        <w:t>,</w:t>
      </w:r>
      <w:r w:rsidR="00C81455">
        <w:rPr>
          <w:sz w:val="24"/>
          <w:szCs w:val="24"/>
        </w:rPr>
        <w:t xml:space="preserve"> както в случаите на лизинг на </w:t>
      </w:r>
      <w:r w:rsidR="00A30A60">
        <w:rPr>
          <w:sz w:val="24"/>
          <w:szCs w:val="24"/>
        </w:rPr>
        <w:t xml:space="preserve">превозни средства </w:t>
      </w:r>
      <w:r w:rsidR="00C81455">
        <w:rPr>
          <w:sz w:val="24"/>
          <w:szCs w:val="24"/>
        </w:rPr>
        <w:t>или на целенасочени прехвърляния между свързани лица</w:t>
      </w:r>
      <w:r w:rsidR="00A30A60">
        <w:rPr>
          <w:sz w:val="24"/>
          <w:szCs w:val="24"/>
        </w:rPr>
        <w:t>,</w:t>
      </w:r>
      <w:r w:rsidR="00C81455">
        <w:rPr>
          <w:sz w:val="24"/>
          <w:szCs w:val="24"/>
        </w:rPr>
        <w:t xml:space="preserve"> за да се заличи история</w:t>
      </w:r>
      <w:r w:rsidR="00A30A60">
        <w:rPr>
          <w:sz w:val="24"/>
          <w:szCs w:val="24"/>
        </w:rPr>
        <w:t>та</w:t>
      </w:r>
      <w:r w:rsidR="00C81455">
        <w:rPr>
          <w:sz w:val="24"/>
          <w:szCs w:val="24"/>
        </w:rPr>
        <w:t xml:space="preserve"> на претенциите в случаи на утежнена история на </w:t>
      </w:r>
      <w:r w:rsidR="00A30A60">
        <w:rPr>
          <w:sz w:val="24"/>
          <w:szCs w:val="24"/>
        </w:rPr>
        <w:t>щетите,</w:t>
      </w:r>
      <w:r w:rsidR="00C81455">
        <w:rPr>
          <w:sz w:val="24"/>
          <w:szCs w:val="24"/>
        </w:rPr>
        <w:t xml:space="preserve"> с проекта на наредба е предложено</w:t>
      </w:r>
      <w:r w:rsidR="00A30A60">
        <w:rPr>
          <w:sz w:val="24"/>
          <w:szCs w:val="24"/>
        </w:rPr>
        <w:t>,</w:t>
      </w:r>
      <w:r w:rsidR="00C81455">
        <w:rPr>
          <w:sz w:val="24"/>
          <w:szCs w:val="24"/>
        </w:rPr>
        <w:t xml:space="preserve"> независимо от промяна</w:t>
      </w:r>
      <w:r w:rsidR="00A30A60">
        <w:rPr>
          <w:sz w:val="24"/>
          <w:szCs w:val="24"/>
        </w:rPr>
        <w:t>та</w:t>
      </w:r>
      <w:r w:rsidR="00C81455">
        <w:rPr>
          <w:sz w:val="24"/>
          <w:szCs w:val="24"/>
        </w:rPr>
        <w:t xml:space="preserve"> на собствеността</w:t>
      </w:r>
      <w:r w:rsidR="00236A7A">
        <w:rPr>
          <w:sz w:val="24"/>
          <w:szCs w:val="24"/>
        </w:rPr>
        <w:t>,</w:t>
      </w:r>
      <w:r w:rsidR="00C81455">
        <w:rPr>
          <w:sz w:val="24"/>
          <w:szCs w:val="24"/>
        </w:rPr>
        <w:t xml:space="preserve"> електронната услуга </w:t>
      </w:r>
      <w:r w:rsidR="00A30A60">
        <w:rPr>
          <w:sz w:val="24"/>
          <w:szCs w:val="24"/>
        </w:rPr>
        <w:t xml:space="preserve">на Гаранционния фонд </w:t>
      </w:r>
      <w:r w:rsidR="00C81455">
        <w:rPr>
          <w:sz w:val="24"/>
          <w:szCs w:val="24"/>
        </w:rPr>
        <w:t xml:space="preserve">да връща </w:t>
      </w:r>
      <w:r w:rsidR="00A30A60">
        <w:rPr>
          <w:sz w:val="24"/>
          <w:szCs w:val="24"/>
        </w:rPr>
        <w:t xml:space="preserve">към застрахователите </w:t>
      </w:r>
      <w:r w:rsidR="00C81455">
        <w:rPr>
          <w:sz w:val="24"/>
          <w:szCs w:val="24"/>
        </w:rPr>
        <w:t>информация в случаите</w:t>
      </w:r>
      <w:r w:rsidR="00615383">
        <w:rPr>
          <w:sz w:val="24"/>
          <w:szCs w:val="24"/>
        </w:rPr>
        <w:t>,</w:t>
      </w:r>
      <w:r w:rsidR="00C81455">
        <w:rPr>
          <w:sz w:val="24"/>
          <w:szCs w:val="24"/>
        </w:rPr>
        <w:t xml:space="preserve"> когато преди датата на промяната собствеността застраховащият е бил </w:t>
      </w:r>
      <w:r w:rsidR="00C81455" w:rsidRPr="00C81455">
        <w:rPr>
          <w:sz w:val="24"/>
          <w:szCs w:val="24"/>
        </w:rPr>
        <w:t>собственик или ползвател на превозното средство съгласно свидетелство за регистрация на моторно превозно средство, или приобретател съгласно документ за промяна на собствеността, представен в М</w:t>
      </w:r>
      <w:r w:rsidR="00EA2A8D">
        <w:rPr>
          <w:sz w:val="24"/>
          <w:szCs w:val="24"/>
        </w:rPr>
        <w:t>инистерството на вътрешните работи</w:t>
      </w:r>
      <w:r w:rsidR="00C81455" w:rsidRPr="00C81455">
        <w:rPr>
          <w:sz w:val="24"/>
          <w:szCs w:val="24"/>
        </w:rPr>
        <w:t xml:space="preserve"> от собственика според </w:t>
      </w:r>
      <w:r w:rsidR="00C81455">
        <w:rPr>
          <w:sz w:val="24"/>
          <w:szCs w:val="24"/>
        </w:rPr>
        <w:t>свидетелство за регистрация на моторно превозно средство</w:t>
      </w:r>
      <w:r w:rsidR="00C81455" w:rsidRPr="00C81455">
        <w:rPr>
          <w:sz w:val="24"/>
          <w:szCs w:val="24"/>
        </w:rPr>
        <w:t xml:space="preserve">, или обичаен водач на </w:t>
      </w:r>
      <w:r w:rsidR="00C81455">
        <w:rPr>
          <w:sz w:val="24"/>
          <w:szCs w:val="24"/>
        </w:rPr>
        <w:t>превозното средство</w:t>
      </w:r>
      <w:r w:rsidR="00C81455" w:rsidRPr="00C81455">
        <w:rPr>
          <w:sz w:val="24"/>
          <w:szCs w:val="24"/>
        </w:rPr>
        <w:t xml:space="preserve">, или е </w:t>
      </w:r>
      <w:r w:rsidR="00A30A60">
        <w:rPr>
          <w:sz w:val="24"/>
          <w:szCs w:val="24"/>
        </w:rPr>
        <w:t xml:space="preserve">бил застраховащ, като е </w:t>
      </w:r>
      <w:r w:rsidR="00C81455" w:rsidRPr="00C81455">
        <w:rPr>
          <w:sz w:val="24"/>
          <w:szCs w:val="24"/>
        </w:rPr>
        <w:t>сключвал договор за задължителна застраховка „Гражданска отговорност“ на автомобилистите по отношение на същото превозно средство</w:t>
      </w:r>
      <w:r w:rsidR="00C81455">
        <w:rPr>
          <w:sz w:val="24"/>
          <w:szCs w:val="24"/>
        </w:rPr>
        <w:t>.</w:t>
      </w:r>
      <w:r w:rsidR="00236A7A">
        <w:rPr>
          <w:sz w:val="24"/>
          <w:szCs w:val="24"/>
        </w:rPr>
        <w:t xml:space="preserve"> </w:t>
      </w:r>
    </w:p>
    <w:p w:rsidR="00236A7A" w:rsidRDefault="0099747B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Наред с това </w:t>
      </w:r>
      <w:r w:rsidR="00EA2A8D" w:rsidRPr="009E4AC2">
        <w:rPr>
          <w:sz w:val="24"/>
          <w:szCs w:val="24"/>
        </w:rPr>
        <w:t>Закон</w:t>
      </w:r>
      <w:r w:rsidR="00EA2A8D">
        <w:rPr>
          <w:sz w:val="24"/>
          <w:szCs w:val="24"/>
        </w:rPr>
        <w:t>а</w:t>
      </w:r>
      <w:r w:rsidR="00EA2A8D" w:rsidRPr="009E4AC2">
        <w:rPr>
          <w:sz w:val="24"/>
          <w:szCs w:val="24"/>
        </w:rPr>
        <w:t xml:space="preserve"> за изменение и допълнение на Кодекса за застраховането</w:t>
      </w:r>
      <w:r>
        <w:rPr>
          <w:sz w:val="24"/>
          <w:szCs w:val="24"/>
        </w:rPr>
        <w:t xml:space="preserve"> </w:t>
      </w:r>
      <w:r w:rsidR="00236A7A">
        <w:rPr>
          <w:sz w:val="24"/>
          <w:szCs w:val="24"/>
        </w:rPr>
        <w:t xml:space="preserve">предвижда </w:t>
      </w:r>
      <w:r>
        <w:rPr>
          <w:sz w:val="24"/>
          <w:szCs w:val="24"/>
        </w:rPr>
        <w:t xml:space="preserve">ред за </w:t>
      </w:r>
      <w:r w:rsidR="00236A7A">
        <w:rPr>
          <w:sz w:val="24"/>
          <w:szCs w:val="24"/>
        </w:rPr>
        <w:t xml:space="preserve">централизирано </w:t>
      </w:r>
      <w:r>
        <w:rPr>
          <w:sz w:val="24"/>
          <w:szCs w:val="24"/>
        </w:rPr>
        <w:t xml:space="preserve">издаване на удостоверенията за предявени застрахователни претенции по чл. 502 от </w:t>
      </w:r>
      <w:r w:rsidR="00EA2A8D" w:rsidRPr="009E4AC2">
        <w:rPr>
          <w:sz w:val="24"/>
          <w:szCs w:val="24"/>
        </w:rPr>
        <w:t>Кодекса за застраховането</w:t>
      </w:r>
      <w:r>
        <w:rPr>
          <w:sz w:val="24"/>
          <w:szCs w:val="24"/>
        </w:rPr>
        <w:t xml:space="preserve">, като оправомощен за тази цел е Гаранционният фонд. </w:t>
      </w:r>
      <w:r w:rsidR="0015170E">
        <w:rPr>
          <w:sz w:val="24"/>
          <w:szCs w:val="24"/>
        </w:rPr>
        <w:t xml:space="preserve">Измененият чл. 502, ал. 2 от </w:t>
      </w:r>
      <w:r w:rsidR="00EA2A8D" w:rsidRPr="009E4AC2">
        <w:rPr>
          <w:sz w:val="24"/>
          <w:szCs w:val="24"/>
        </w:rPr>
        <w:t>Кодекса за застраховането</w:t>
      </w:r>
      <w:r w:rsidR="0015170E">
        <w:rPr>
          <w:sz w:val="24"/>
          <w:szCs w:val="24"/>
        </w:rPr>
        <w:t xml:space="preserve"> предвижда</w:t>
      </w:r>
      <w:r w:rsidR="00EA2A8D">
        <w:rPr>
          <w:sz w:val="24"/>
          <w:szCs w:val="24"/>
        </w:rPr>
        <w:t xml:space="preserve"> </w:t>
      </w:r>
      <w:r w:rsidR="0015170E">
        <w:rPr>
          <w:sz w:val="24"/>
          <w:szCs w:val="24"/>
        </w:rPr>
        <w:t>у</w:t>
      </w:r>
      <w:r w:rsidR="0015170E" w:rsidRPr="0015170E">
        <w:rPr>
          <w:sz w:val="24"/>
          <w:szCs w:val="24"/>
        </w:rPr>
        <w:t xml:space="preserve">достоверението </w:t>
      </w:r>
      <w:r w:rsidR="00EA2A8D">
        <w:rPr>
          <w:sz w:val="24"/>
          <w:szCs w:val="24"/>
        </w:rPr>
        <w:t xml:space="preserve">да </w:t>
      </w:r>
      <w:r w:rsidR="0015170E" w:rsidRPr="0015170E">
        <w:rPr>
          <w:sz w:val="24"/>
          <w:szCs w:val="24"/>
        </w:rPr>
        <w:t>се издава въз основа на данните от регистъра по чл. 571, ал. 1, т. 2</w:t>
      </w:r>
      <w:r w:rsidR="0015170E">
        <w:rPr>
          <w:sz w:val="24"/>
          <w:szCs w:val="24"/>
        </w:rPr>
        <w:t xml:space="preserve"> от </w:t>
      </w:r>
      <w:r w:rsidR="00EA2A8D" w:rsidRPr="009E4AC2">
        <w:rPr>
          <w:sz w:val="24"/>
          <w:szCs w:val="24"/>
        </w:rPr>
        <w:t>Кодекса за застраховането</w:t>
      </w:r>
      <w:r w:rsidR="0015170E" w:rsidRPr="0015170E">
        <w:rPr>
          <w:sz w:val="24"/>
          <w:szCs w:val="24"/>
        </w:rPr>
        <w:t>, като редът за обмен и достъп до данните се определя с наредбата по чл. 571, ал. 4</w:t>
      </w:r>
      <w:r w:rsidR="0015170E">
        <w:rPr>
          <w:sz w:val="24"/>
          <w:szCs w:val="24"/>
        </w:rPr>
        <w:t xml:space="preserve"> от </w:t>
      </w:r>
      <w:r w:rsidR="00EA2A8D" w:rsidRPr="009E4AC2">
        <w:rPr>
          <w:sz w:val="24"/>
          <w:szCs w:val="24"/>
        </w:rPr>
        <w:t>Кодекса за застраховането</w:t>
      </w:r>
      <w:r w:rsidR="0015170E" w:rsidRPr="0015170E">
        <w:rPr>
          <w:sz w:val="24"/>
          <w:szCs w:val="24"/>
        </w:rPr>
        <w:t>.</w:t>
      </w:r>
      <w:r w:rsidR="005332C3">
        <w:rPr>
          <w:sz w:val="24"/>
          <w:szCs w:val="24"/>
        </w:rPr>
        <w:t xml:space="preserve"> </w:t>
      </w:r>
    </w:p>
    <w:p w:rsidR="00D03932" w:rsidRDefault="005332C3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Осигуряването на изпълнението на задълженията на Гаранционния фонд да предоставя информация както за целите на издаване на удостоверенията за застрахователни претенции като документ, така и за осигуряване на процеса по изпълнение на електронна услуга за целите на сключване на застраховки посредством ЕИСОУКР</w:t>
      </w:r>
      <w:r w:rsidR="00411505">
        <w:rPr>
          <w:sz w:val="24"/>
          <w:szCs w:val="24"/>
        </w:rPr>
        <w:t>,</w:t>
      </w:r>
      <w:r>
        <w:rPr>
          <w:sz w:val="24"/>
          <w:szCs w:val="24"/>
        </w:rPr>
        <w:t xml:space="preserve"> обуславят необходимостта от наличие на вярна, точна и своевременна информация в регистъра на застрахователните претенции. За тази цел е предложена промяна в уредбата на информация</w:t>
      </w:r>
      <w:r w:rsidR="00411505">
        <w:rPr>
          <w:sz w:val="24"/>
          <w:szCs w:val="24"/>
        </w:rPr>
        <w:t>та</w:t>
      </w:r>
      <w:r>
        <w:rPr>
          <w:sz w:val="24"/>
          <w:szCs w:val="24"/>
        </w:rPr>
        <w:t xml:space="preserve"> в този регистър, като</w:t>
      </w:r>
      <w:r w:rsidR="00D03932">
        <w:rPr>
          <w:sz w:val="24"/>
          <w:szCs w:val="24"/>
        </w:rPr>
        <w:t>,</w:t>
      </w:r>
      <w:r>
        <w:rPr>
          <w:sz w:val="24"/>
          <w:szCs w:val="24"/>
        </w:rPr>
        <w:t xml:space="preserve"> от една страна</w:t>
      </w:r>
      <w:r w:rsidR="00D03932">
        <w:rPr>
          <w:sz w:val="24"/>
          <w:szCs w:val="24"/>
        </w:rPr>
        <w:t>,</w:t>
      </w:r>
      <w:r>
        <w:rPr>
          <w:sz w:val="24"/>
          <w:szCs w:val="24"/>
        </w:rPr>
        <w:t xml:space="preserve"> са допълнени някои необходими елементи на информацията</w:t>
      </w:r>
      <w:r w:rsidR="00BD3338">
        <w:rPr>
          <w:sz w:val="24"/>
          <w:szCs w:val="24"/>
        </w:rPr>
        <w:t>,</w:t>
      </w:r>
      <w:r>
        <w:rPr>
          <w:sz w:val="24"/>
          <w:szCs w:val="24"/>
        </w:rPr>
        <w:t xml:space="preserve"> като </w:t>
      </w:r>
      <w:r w:rsidR="00D03932">
        <w:rPr>
          <w:sz w:val="24"/>
          <w:szCs w:val="24"/>
        </w:rPr>
        <w:t xml:space="preserve">например, </w:t>
      </w:r>
      <w:r>
        <w:rPr>
          <w:sz w:val="24"/>
          <w:szCs w:val="24"/>
        </w:rPr>
        <w:t>данни за съпричиняване на пътнотранспортното произшествие, данни за причинителя на произшествието, а от друга страна</w:t>
      </w:r>
      <w:r w:rsidR="00D03932">
        <w:rPr>
          <w:sz w:val="24"/>
          <w:szCs w:val="24"/>
        </w:rPr>
        <w:t>,</w:t>
      </w:r>
      <w:r>
        <w:rPr>
          <w:sz w:val="24"/>
          <w:szCs w:val="24"/>
        </w:rPr>
        <w:t xml:space="preserve"> е предложено информацията </w:t>
      </w:r>
      <w:r w:rsidR="00411505">
        <w:rPr>
          <w:sz w:val="24"/>
          <w:szCs w:val="24"/>
        </w:rPr>
        <w:t xml:space="preserve">за всяка заведена застрахователна претенция </w:t>
      </w:r>
      <w:r>
        <w:rPr>
          <w:sz w:val="24"/>
          <w:szCs w:val="24"/>
        </w:rPr>
        <w:t xml:space="preserve">да бъде актуализирана в регистъра </w:t>
      </w:r>
      <w:r w:rsidR="00D03932">
        <w:rPr>
          <w:sz w:val="24"/>
          <w:szCs w:val="24"/>
        </w:rPr>
        <w:t xml:space="preserve">едновременно със завеждането на застрахователните претенции в информационната система на застрахователя. За да не се предизвикат съществени затруднения на застрахователите при прилагането на този ред на подаването на данни към Гаранционния фонд, е предвидено, че всякакви </w:t>
      </w:r>
      <w:r w:rsidR="00411505">
        <w:rPr>
          <w:sz w:val="24"/>
          <w:szCs w:val="24"/>
        </w:rPr>
        <w:t>последващи корекции</w:t>
      </w:r>
      <w:r>
        <w:rPr>
          <w:sz w:val="24"/>
          <w:szCs w:val="24"/>
        </w:rPr>
        <w:t xml:space="preserve"> </w:t>
      </w:r>
      <w:r w:rsidR="00411505">
        <w:rPr>
          <w:sz w:val="24"/>
          <w:szCs w:val="24"/>
        </w:rPr>
        <w:t xml:space="preserve">в данните относно заведените застрахователни претенции </w:t>
      </w:r>
      <w:r w:rsidR="00D03932">
        <w:rPr>
          <w:sz w:val="24"/>
          <w:szCs w:val="24"/>
        </w:rPr>
        <w:t xml:space="preserve">следва </w:t>
      </w:r>
      <w:r w:rsidR="00411505">
        <w:rPr>
          <w:sz w:val="24"/>
          <w:szCs w:val="24"/>
        </w:rPr>
        <w:t xml:space="preserve">да се актуализират по досегашния ред, </w:t>
      </w:r>
      <w:r>
        <w:rPr>
          <w:sz w:val="24"/>
          <w:szCs w:val="24"/>
        </w:rPr>
        <w:t>предвижда</w:t>
      </w:r>
      <w:r w:rsidR="00411505">
        <w:rPr>
          <w:sz w:val="24"/>
          <w:szCs w:val="24"/>
        </w:rPr>
        <w:t>щ</w:t>
      </w:r>
      <w:r>
        <w:rPr>
          <w:sz w:val="24"/>
          <w:szCs w:val="24"/>
        </w:rPr>
        <w:t xml:space="preserve"> актуализацията да става </w:t>
      </w:r>
      <w:r w:rsidR="00411505">
        <w:rPr>
          <w:sz w:val="24"/>
          <w:szCs w:val="24"/>
        </w:rPr>
        <w:t>чрез ежедневни справки</w:t>
      </w:r>
      <w:r>
        <w:rPr>
          <w:sz w:val="24"/>
          <w:szCs w:val="24"/>
        </w:rPr>
        <w:t xml:space="preserve">. </w:t>
      </w:r>
    </w:p>
    <w:p w:rsidR="0099747B" w:rsidRDefault="00A64A90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Следва да се има предвид, че ЕИСОУКР </w:t>
      </w:r>
      <w:r w:rsidR="00D03932">
        <w:rPr>
          <w:sz w:val="24"/>
          <w:szCs w:val="24"/>
        </w:rPr>
        <w:t xml:space="preserve">вече разполага с </w:t>
      </w:r>
      <w:r w:rsidR="00443979">
        <w:rPr>
          <w:sz w:val="24"/>
          <w:szCs w:val="24"/>
        </w:rPr>
        <w:t>функционалност за актуализация на данните в реално време</w:t>
      </w:r>
      <w:r w:rsidR="00D03932">
        <w:rPr>
          <w:sz w:val="24"/>
          <w:szCs w:val="24"/>
        </w:rPr>
        <w:t>.</w:t>
      </w:r>
      <w:r w:rsidR="00443979">
        <w:rPr>
          <w:sz w:val="24"/>
          <w:szCs w:val="24"/>
        </w:rPr>
        <w:t xml:space="preserve"> </w:t>
      </w:r>
      <w:r w:rsidR="00D03932">
        <w:rPr>
          <w:sz w:val="24"/>
          <w:szCs w:val="24"/>
        </w:rPr>
        <w:t xml:space="preserve">Тази функционалност се прилага ефективно по отношение на регистъра на застрахователните полици, като някои от застрахователите вече я прилагат ефективно и по отношение на регистъра на предявените и изплатените претенции. </w:t>
      </w:r>
      <w:r w:rsidR="00443979">
        <w:rPr>
          <w:sz w:val="24"/>
          <w:szCs w:val="24"/>
        </w:rPr>
        <w:t>С въвеждането на общо задължение за актуализация на данните за заведени претенции в реално време се</w:t>
      </w:r>
      <w:r w:rsidR="00B0608F">
        <w:rPr>
          <w:sz w:val="24"/>
          <w:szCs w:val="24"/>
        </w:rPr>
        <w:t xml:space="preserve"> цели да се</w:t>
      </w:r>
      <w:r w:rsidR="00443979">
        <w:rPr>
          <w:sz w:val="24"/>
          <w:szCs w:val="24"/>
        </w:rPr>
        <w:t xml:space="preserve"> постигне същата степен на актуалност на регистъра на претенции</w:t>
      </w:r>
      <w:r w:rsidR="00B0608F">
        <w:rPr>
          <w:sz w:val="24"/>
          <w:szCs w:val="24"/>
        </w:rPr>
        <w:t>те</w:t>
      </w:r>
      <w:r w:rsidR="00443979">
        <w:rPr>
          <w:sz w:val="24"/>
          <w:szCs w:val="24"/>
        </w:rPr>
        <w:t xml:space="preserve">, каквато </w:t>
      </w:r>
      <w:r w:rsidR="00B0608F">
        <w:rPr>
          <w:sz w:val="24"/>
          <w:szCs w:val="24"/>
        </w:rPr>
        <w:t xml:space="preserve">понастоящем </w:t>
      </w:r>
      <w:r w:rsidR="00443979">
        <w:rPr>
          <w:sz w:val="24"/>
          <w:szCs w:val="24"/>
        </w:rPr>
        <w:t>съществува в регистъра на застрахователните полици</w:t>
      </w:r>
      <w:r w:rsidR="00D03932">
        <w:rPr>
          <w:sz w:val="24"/>
          <w:szCs w:val="24"/>
        </w:rPr>
        <w:t>, доколкото двата регистъра по замисъл и правна уредба са предназначени да функционират по еднакъв начин и да осигуряват пълна, точна и достоверна информация във всеки един момент</w:t>
      </w:r>
      <w:r w:rsidR="00443979">
        <w:rPr>
          <w:sz w:val="24"/>
          <w:szCs w:val="24"/>
        </w:rPr>
        <w:t xml:space="preserve">. По този начин ще се </w:t>
      </w:r>
      <w:r w:rsidR="00B0608F">
        <w:rPr>
          <w:sz w:val="24"/>
          <w:szCs w:val="24"/>
        </w:rPr>
        <w:t xml:space="preserve">изпълни </w:t>
      </w:r>
      <w:r w:rsidR="00482204">
        <w:rPr>
          <w:sz w:val="24"/>
          <w:szCs w:val="24"/>
        </w:rPr>
        <w:t xml:space="preserve">изискването </w:t>
      </w:r>
      <w:r w:rsidR="00B0608F" w:rsidRPr="007D4458">
        <w:rPr>
          <w:sz w:val="24"/>
          <w:szCs w:val="24"/>
        </w:rPr>
        <w:t xml:space="preserve">на Директива (ЕС) </w:t>
      </w:r>
      <w:r w:rsidR="00B0608F" w:rsidRPr="007D4458">
        <w:rPr>
          <w:sz w:val="24"/>
          <w:szCs w:val="24"/>
        </w:rPr>
        <w:lastRenderedPageBreak/>
        <w:t xml:space="preserve">2021/2118 за достоверно удостоверяване на историята на застрахователните претенции и ще се </w:t>
      </w:r>
      <w:r w:rsidR="00443979" w:rsidRPr="007D4458">
        <w:rPr>
          <w:sz w:val="24"/>
          <w:szCs w:val="24"/>
        </w:rPr>
        <w:t>гарантира възможността на ЕИСОУКР да предоставя вярна и точна информация за целите на сключването на застраховки „Гражданска</w:t>
      </w:r>
      <w:r w:rsidR="00443979">
        <w:rPr>
          <w:sz w:val="24"/>
          <w:szCs w:val="24"/>
        </w:rPr>
        <w:t xml:space="preserve"> отговорност“ на автомобилистите и за целите на издаване на удостоверения за предявени застрахователни претенции. </w:t>
      </w:r>
    </w:p>
    <w:p w:rsidR="00260452" w:rsidRDefault="00886D64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Наред с това </w:t>
      </w:r>
      <w:r w:rsidR="003F45F6" w:rsidRPr="009E4AC2">
        <w:rPr>
          <w:sz w:val="24"/>
          <w:szCs w:val="24"/>
        </w:rPr>
        <w:t>Закон</w:t>
      </w:r>
      <w:r w:rsidR="003F45F6">
        <w:rPr>
          <w:sz w:val="24"/>
          <w:szCs w:val="24"/>
        </w:rPr>
        <w:t>а</w:t>
      </w:r>
      <w:r w:rsidR="003F45F6" w:rsidRPr="009E4AC2">
        <w:rPr>
          <w:sz w:val="24"/>
          <w:szCs w:val="24"/>
        </w:rPr>
        <w:t xml:space="preserve"> за изменение и допълнение на Кодекса за застраховането</w:t>
      </w:r>
      <w:r w:rsidR="00ED3E93">
        <w:rPr>
          <w:sz w:val="24"/>
          <w:szCs w:val="24"/>
        </w:rPr>
        <w:t xml:space="preserve"> </w:t>
      </w:r>
      <w:r w:rsidR="00260452">
        <w:rPr>
          <w:sz w:val="24"/>
          <w:szCs w:val="24"/>
        </w:rPr>
        <w:t xml:space="preserve">внася и </w:t>
      </w:r>
      <w:r>
        <w:rPr>
          <w:sz w:val="24"/>
          <w:szCs w:val="24"/>
        </w:rPr>
        <w:t>други промени в</w:t>
      </w:r>
      <w:r w:rsidR="00ED3E93">
        <w:rPr>
          <w:sz w:val="24"/>
          <w:szCs w:val="24"/>
        </w:rPr>
        <w:t xml:space="preserve"> </w:t>
      </w:r>
      <w:r w:rsidR="003F45F6">
        <w:rPr>
          <w:sz w:val="24"/>
          <w:szCs w:val="24"/>
        </w:rPr>
        <w:t>нормативната уредба</w:t>
      </w:r>
      <w:r>
        <w:rPr>
          <w:sz w:val="24"/>
          <w:szCs w:val="24"/>
        </w:rPr>
        <w:t>, сред които и замяната на понятието „моторно превозно средство“ с „превозно средство“</w:t>
      </w:r>
      <w:r w:rsidR="00BB3CA7">
        <w:rPr>
          <w:sz w:val="24"/>
          <w:szCs w:val="24"/>
        </w:rPr>
        <w:t>,</w:t>
      </w:r>
      <w:r>
        <w:rPr>
          <w:sz w:val="24"/>
          <w:szCs w:val="24"/>
        </w:rPr>
        <w:t xml:space="preserve"> което на свой ред обуславя съответните терминологични промени </w:t>
      </w:r>
      <w:r w:rsidR="00AB2763">
        <w:rPr>
          <w:sz w:val="24"/>
          <w:szCs w:val="24"/>
        </w:rPr>
        <w:t xml:space="preserve">в </w:t>
      </w:r>
      <w:r>
        <w:rPr>
          <w:sz w:val="24"/>
          <w:szCs w:val="24"/>
        </w:rPr>
        <w:t>кореспондиращата подзаконова нормативна уредба. Предложени са и други терминологични промени и уточнения във връзка с поясняването на понятието „</w:t>
      </w:r>
      <w:r w:rsidRPr="00886D64">
        <w:rPr>
          <w:sz w:val="24"/>
          <w:szCs w:val="24"/>
        </w:rPr>
        <w:t>идентификационен номер на превозно средство</w:t>
      </w:r>
      <w:r>
        <w:rPr>
          <w:sz w:val="24"/>
          <w:szCs w:val="24"/>
        </w:rPr>
        <w:t xml:space="preserve">“, уточняването на наименованието на </w:t>
      </w:r>
      <w:r w:rsidRPr="00886D64">
        <w:rPr>
          <w:sz w:val="24"/>
          <w:szCs w:val="24"/>
        </w:rPr>
        <w:t>публичния регистър към лицензите на Общността и лицензите за извършване на превоз на пътници или товари на територията на Република България</w:t>
      </w:r>
      <w:r w:rsidR="0049653A">
        <w:rPr>
          <w:sz w:val="24"/>
          <w:szCs w:val="24"/>
        </w:rPr>
        <w:t>.</w:t>
      </w:r>
    </w:p>
    <w:p w:rsidR="00713727" w:rsidRDefault="00F2575A" w:rsidP="004D1B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Във връзка с реализацията на законовата делегация по чл. 571, ал. 6 от </w:t>
      </w:r>
      <w:r w:rsidR="003F45F6" w:rsidRPr="009E4AC2">
        <w:rPr>
          <w:sz w:val="24"/>
          <w:szCs w:val="24"/>
        </w:rPr>
        <w:t>Кодекса за застраховането</w:t>
      </w:r>
      <w:r>
        <w:rPr>
          <w:sz w:val="24"/>
          <w:szCs w:val="24"/>
        </w:rPr>
        <w:t xml:space="preserve">, която предвижда, че достъпът до регистъра на </w:t>
      </w:r>
      <w:r w:rsidRPr="00F2575A">
        <w:rPr>
          <w:sz w:val="24"/>
          <w:szCs w:val="24"/>
        </w:rPr>
        <w:t>пътнотранспортните произшествия, настъпили на територията на Република България и за участниците в тях</w:t>
      </w:r>
      <w:r>
        <w:rPr>
          <w:sz w:val="24"/>
          <w:szCs w:val="24"/>
        </w:rPr>
        <w:t xml:space="preserve"> се осъществява по реда на </w:t>
      </w:r>
      <w:r w:rsidR="00A07E3C">
        <w:rPr>
          <w:sz w:val="24"/>
          <w:szCs w:val="24"/>
        </w:rPr>
        <w:t>Н</w:t>
      </w:r>
      <w:r>
        <w:rPr>
          <w:sz w:val="24"/>
          <w:szCs w:val="24"/>
        </w:rPr>
        <w:t>аредба № 54</w:t>
      </w:r>
      <w:r w:rsidR="00260452">
        <w:rPr>
          <w:sz w:val="24"/>
          <w:szCs w:val="24"/>
        </w:rPr>
        <w:t>,</w:t>
      </w:r>
      <w:r>
        <w:rPr>
          <w:sz w:val="24"/>
          <w:szCs w:val="24"/>
        </w:rPr>
        <w:t xml:space="preserve"> е направено предложение</w:t>
      </w:r>
      <w:r w:rsidR="003F45F6">
        <w:rPr>
          <w:sz w:val="24"/>
          <w:szCs w:val="24"/>
        </w:rPr>
        <w:t>,</w:t>
      </w:r>
      <w:r>
        <w:rPr>
          <w:sz w:val="24"/>
          <w:szCs w:val="24"/>
        </w:rPr>
        <w:t xml:space="preserve"> с </w:t>
      </w:r>
      <w:r w:rsidRPr="00F2575A">
        <w:rPr>
          <w:sz w:val="24"/>
          <w:szCs w:val="24"/>
        </w:rPr>
        <w:t>цел пр</w:t>
      </w:r>
      <w:r w:rsidR="001172C6">
        <w:rPr>
          <w:sz w:val="24"/>
          <w:szCs w:val="24"/>
        </w:rPr>
        <w:t xml:space="preserve">отиводействие </w:t>
      </w:r>
      <w:r w:rsidRPr="00F2575A">
        <w:rPr>
          <w:sz w:val="24"/>
          <w:szCs w:val="24"/>
        </w:rPr>
        <w:t>на застрахователни</w:t>
      </w:r>
      <w:r w:rsidR="00713727">
        <w:rPr>
          <w:sz w:val="24"/>
          <w:szCs w:val="24"/>
        </w:rPr>
        <w:t>те</w:t>
      </w:r>
      <w:r w:rsidRPr="00F2575A">
        <w:rPr>
          <w:sz w:val="24"/>
          <w:szCs w:val="24"/>
        </w:rPr>
        <w:t xml:space="preserve"> измами</w:t>
      </w:r>
      <w:r w:rsidR="003F45F6">
        <w:rPr>
          <w:sz w:val="24"/>
          <w:szCs w:val="24"/>
        </w:rPr>
        <w:t>,</w:t>
      </w:r>
      <w:r w:rsidRPr="00F2575A">
        <w:rPr>
          <w:sz w:val="24"/>
          <w:szCs w:val="24"/>
        </w:rPr>
        <w:t xml:space="preserve"> всеки застраховател, предлагащ задължителна застраховка </w:t>
      </w:r>
      <w:r w:rsidR="00AB2763">
        <w:rPr>
          <w:sz w:val="24"/>
          <w:szCs w:val="24"/>
        </w:rPr>
        <w:t>„</w:t>
      </w:r>
      <w:r w:rsidRPr="00F2575A">
        <w:rPr>
          <w:sz w:val="24"/>
          <w:szCs w:val="24"/>
        </w:rPr>
        <w:t>Гражданска отговорност</w:t>
      </w:r>
      <w:r w:rsidR="00AB2763">
        <w:rPr>
          <w:sz w:val="24"/>
          <w:szCs w:val="24"/>
        </w:rPr>
        <w:t>“</w:t>
      </w:r>
      <w:r w:rsidRPr="00F2575A">
        <w:rPr>
          <w:sz w:val="24"/>
          <w:szCs w:val="24"/>
        </w:rPr>
        <w:t xml:space="preserve"> на автомобилистите и застраховка </w:t>
      </w:r>
      <w:r w:rsidR="00AB2763">
        <w:rPr>
          <w:sz w:val="24"/>
          <w:szCs w:val="24"/>
        </w:rPr>
        <w:t>„</w:t>
      </w:r>
      <w:r w:rsidRPr="00F2575A">
        <w:rPr>
          <w:sz w:val="24"/>
          <w:szCs w:val="24"/>
        </w:rPr>
        <w:t>Каско</w:t>
      </w:r>
      <w:r w:rsidR="00AB2763">
        <w:rPr>
          <w:sz w:val="24"/>
          <w:szCs w:val="24"/>
        </w:rPr>
        <w:t>“</w:t>
      </w:r>
      <w:r w:rsidRPr="00F2575A">
        <w:rPr>
          <w:sz w:val="24"/>
          <w:szCs w:val="24"/>
        </w:rPr>
        <w:t xml:space="preserve"> на моторно превозно средство (МПС) в Република България, </w:t>
      </w:r>
      <w:r w:rsidR="00A07E3C">
        <w:rPr>
          <w:sz w:val="24"/>
          <w:szCs w:val="24"/>
        </w:rPr>
        <w:t xml:space="preserve">да </w:t>
      </w:r>
      <w:r w:rsidRPr="00F2575A">
        <w:rPr>
          <w:sz w:val="24"/>
          <w:szCs w:val="24"/>
        </w:rPr>
        <w:t xml:space="preserve">има право на достъп до </w:t>
      </w:r>
      <w:r>
        <w:rPr>
          <w:sz w:val="24"/>
          <w:szCs w:val="24"/>
        </w:rPr>
        <w:t>данни от протоколите</w:t>
      </w:r>
      <w:r w:rsidR="00260452">
        <w:rPr>
          <w:sz w:val="24"/>
          <w:szCs w:val="24"/>
        </w:rPr>
        <w:t>,</w:t>
      </w:r>
      <w:r>
        <w:rPr>
          <w:sz w:val="24"/>
          <w:szCs w:val="24"/>
        </w:rPr>
        <w:t xml:space="preserve"> подадени на Гаранционния фонд от </w:t>
      </w:r>
      <w:r w:rsidRPr="00F2575A">
        <w:rPr>
          <w:sz w:val="24"/>
          <w:szCs w:val="24"/>
        </w:rPr>
        <w:t>Министерството на вътрешните работи по реда на чл. 7 от Наредба № Iз-41 от 2009 г. за документите и реда за съставянето им при пътнотранспортни произшествия и реда за информиране между Министерството на вътрешните работи, Комисията за финансов надзор и Гаранционния фонд</w:t>
      </w:r>
      <w:r w:rsidR="003F45F6">
        <w:rPr>
          <w:sz w:val="24"/>
          <w:szCs w:val="24"/>
        </w:rPr>
        <w:t xml:space="preserve"> (</w:t>
      </w:r>
      <w:r w:rsidR="003F45F6" w:rsidRPr="00F2575A">
        <w:rPr>
          <w:sz w:val="24"/>
          <w:szCs w:val="24"/>
        </w:rPr>
        <w:t>Наредба № Iз-41</w:t>
      </w:r>
      <w:r w:rsidR="003F45F6">
        <w:rPr>
          <w:sz w:val="24"/>
          <w:szCs w:val="24"/>
        </w:rPr>
        <w:t>)</w:t>
      </w:r>
      <w:r w:rsidR="00FC3F16">
        <w:rPr>
          <w:sz w:val="24"/>
          <w:szCs w:val="24"/>
        </w:rPr>
        <w:t xml:space="preserve"> и до </w:t>
      </w:r>
      <w:r w:rsidR="00FC3F16" w:rsidRPr="00FC3F16">
        <w:rPr>
          <w:sz w:val="24"/>
          <w:szCs w:val="24"/>
        </w:rPr>
        <w:t>данни от двустранните констативни протоколи за пътнотранспортно произшествие, подадени на Гаранционния фонд от застрахователите по реда на чл. 5, ал. 4 от</w:t>
      </w:r>
      <w:r w:rsidR="003F45F6">
        <w:rPr>
          <w:sz w:val="24"/>
          <w:szCs w:val="24"/>
        </w:rPr>
        <w:t>от същата наредба</w:t>
      </w:r>
      <w:r w:rsidR="00FC3F16">
        <w:rPr>
          <w:sz w:val="24"/>
          <w:szCs w:val="24"/>
        </w:rPr>
        <w:t xml:space="preserve">. </w:t>
      </w:r>
      <w:r w:rsidR="001172C6">
        <w:rPr>
          <w:sz w:val="24"/>
          <w:szCs w:val="24"/>
        </w:rPr>
        <w:t xml:space="preserve">Данните включват и обстоятелства във връзка със свидетелството за управление на МПС на причинителя на пътнотранспортното произшествие, когато има информация за това, както и снимки, когато такива са налични. </w:t>
      </w:r>
    </w:p>
    <w:p w:rsidR="001172C6" w:rsidRPr="009E4AC2" w:rsidRDefault="001172C6" w:rsidP="004D1B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оглед установяването на интереса на застрахователя от получаване на информацията, същата ще се предоставя само във връзка с конкретна предявена пред него застрахователна претенция по отношение на конкретно лице или превозно средство, при това единствено във връзка с претенции, които са </w:t>
      </w:r>
      <w:r w:rsidR="00713727">
        <w:rPr>
          <w:sz w:val="24"/>
          <w:szCs w:val="24"/>
        </w:rPr>
        <w:t xml:space="preserve">надлежно </w:t>
      </w:r>
      <w:r>
        <w:rPr>
          <w:sz w:val="24"/>
          <w:szCs w:val="24"/>
        </w:rPr>
        <w:t xml:space="preserve">регистрирани в регистъра на предявените и изплатените претенции на Гаранционния фонд. С цел осигуряване на надеждността на процедурите по осигуряване на достъп е предложено достъпът да се осигурява в </w:t>
      </w:r>
      <w:r w:rsidRPr="001172C6">
        <w:rPr>
          <w:sz w:val="24"/>
          <w:szCs w:val="24"/>
        </w:rPr>
        <w:t>съответствие с правилата по чл. 7, ал. 5 от Наредба № Iз-41</w:t>
      </w:r>
      <w:r>
        <w:rPr>
          <w:sz w:val="24"/>
          <w:szCs w:val="24"/>
        </w:rPr>
        <w:t xml:space="preserve">, които осигуряват достъпа до данните от регистъра на пътнотранспортните произшествия, приети са от управителния съвет на Гаранционния фонд и подлежат на одобрение от заместник-председателя на Комисията за финансов надзор, ръководещ управление </w:t>
      </w:r>
      <w:r w:rsidR="003F45F6">
        <w:rPr>
          <w:sz w:val="24"/>
          <w:szCs w:val="24"/>
        </w:rPr>
        <w:t>„З</w:t>
      </w:r>
      <w:r>
        <w:rPr>
          <w:sz w:val="24"/>
          <w:szCs w:val="24"/>
        </w:rPr>
        <w:t>астрахователен надзор</w:t>
      </w:r>
      <w:r w:rsidR="003F45F6">
        <w:rPr>
          <w:sz w:val="24"/>
          <w:szCs w:val="24"/>
        </w:rPr>
        <w:t>“</w:t>
      </w:r>
      <w:r>
        <w:rPr>
          <w:sz w:val="24"/>
          <w:szCs w:val="24"/>
        </w:rPr>
        <w:t xml:space="preserve">. </w:t>
      </w:r>
    </w:p>
    <w:p w:rsidR="008B272E" w:rsidRDefault="008B272E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проекта на наредба се предлага уреждането на </w:t>
      </w:r>
      <w:r w:rsidR="00116F01">
        <w:rPr>
          <w:sz w:val="24"/>
          <w:szCs w:val="24"/>
        </w:rPr>
        <w:t xml:space="preserve">хипотезата </w:t>
      </w:r>
      <w:r>
        <w:rPr>
          <w:sz w:val="24"/>
          <w:szCs w:val="24"/>
        </w:rPr>
        <w:t>на обективна невъзможност на Гаранционния фонд по технически причини да обслужва процеса на сключване на застраховки „Гражданска отговорност“ на автомобилистите посредством ЕИСОУКР. Практиката показва, че макар и извънредно редки</w:t>
      </w:r>
      <w:r w:rsidR="00615383">
        <w:rPr>
          <w:sz w:val="24"/>
          <w:szCs w:val="24"/>
        </w:rPr>
        <w:t>,</w:t>
      </w:r>
      <w:r>
        <w:rPr>
          <w:sz w:val="24"/>
          <w:szCs w:val="24"/>
        </w:rPr>
        <w:t xml:space="preserve"> такива случаи не са изключени независимо от въведените мерки за сигурност и е налице необходимост от нормативно уреден заместващ процес, който да гарантира възможността за сключване на тази важна за обществения интерес застраховка. </w:t>
      </w:r>
      <w:r w:rsidR="00F54436">
        <w:rPr>
          <w:sz w:val="24"/>
          <w:szCs w:val="24"/>
        </w:rPr>
        <w:t xml:space="preserve">Предложението предвижда процес по установяване на обективната невъзможност, </w:t>
      </w:r>
      <w:r w:rsidR="00116F01">
        <w:rPr>
          <w:sz w:val="24"/>
          <w:szCs w:val="24"/>
        </w:rPr>
        <w:t>уведомяване на</w:t>
      </w:r>
      <w:r w:rsidR="00F54436">
        <w:rPr>
          <w:sz w:val="24"/>
          <w:szCs w:val="24"/>
        </w:rPr>
        <w:t xml:space="preserve"> Комисията за финансов надзор и издаване на разпореждане за осигуряване на техническа възможност за издаване </w:t>
      </w:r>
      <w:r w:rsidR="00F54436">
        <w:rPr>
          <w:sz w:val="24"/>
          <w:szCs w:val="24"/>
        </w:rPr>
        <w:lastRenderedPageBreak/>
        <w:t xml:space="preserve">на застраховки от информационните системи на застрахователите на база на информацията, съдържаща се в тези системи или на базата на информация предоставена от застраховащите лица. </w:t>
      </w:r>
      <w:r w:rsidR="002D3B97">
        <w:rPr>
          <w:sz w:val="24"/>
          <w:szCs w:val="24"/>
        </w:rPr>
        <w:t xml:space="preserve">Процесът предвижда и процедура за възстановяване на обичайния ред за сключване на задължителната застраховка „Гражданска отговорност“ на автомобилистите след възстановяване на функционалностите на ЕИСОУКР. </w:t>
      </w:r>
    </w:p>
    <w:p w:rsidR="00C66FF1" w:rsidRDefault="00C66FF1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Във връзка с констатирано използване на електронната услуга за предоставяне на данни от </w:t>
      </w:r>
      <w:r w:rsidRPr="00C66FF1">
        <w:rPr>
          <w:sz w:val="24"/>
          <w:szCs w:val="24"/>
        </w:rPr>
        <w:t xml:space="preserve">регистъра на превозните средства и техните собственици, изграждан и поддържан в </w:t>
      </w:r>
      <w:r w:rsidR="003F45F6" w:rsidRPr="00C81455">
        <w:rPr>
          <w:sz w:val="24"/>
          <w:szCs w:val="24"/>
        </w:rPr>
        <w:t>М</w:t>
      </w:r>
      <w:r w:rsidR="003F45F6">
        <w:rPr>
          <w:sz w:val="24"/>
          <w:szCs w:val="24"/>
        </w:rPr>
        <w:t>инистерството на вътрешните работи</w:t>
      </w:r>
      <w:r w:rsidR="00116F01">
        <w:rPr>
          <w:sz w:val="24"/>
          <w:szCs w:val="24"/>
        </w:rPr>
        <w:t>,</w:t>
      </w:r>
      <w:r w:rsidRPr="00C66F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116F01">
        <w:rPr>
          <w:sz w:val="24"/>
          <w:szCs w:val="24"/>
        </w:rPr>
        <w:t>не</w:t>
      </w:r>
      <w:r>
        <w:rPr>
          <w:sz w:val="24"/>
          <w:szCs w:val="24"/>
        </w:rPr>
        <w:t xml:space="preserve">съответствие с изключителните цели на наредбата за </w:t>
      </w:r>
      <w:r w:rsidRPr="00C66FF1">
        <w:rPr>
          <w:sz w:val="24"/>
          <w:szCs w:val="24"/>
        </w:rPr>
        <w:t xml:space="preserve">сключване на конкретен застрахователен договор по задължителна застраховка </w:t>
      </w:r>
      <w:r w:rsidR="0045306B">
        <w:rPr>
          <w:sz w:val="24"/>
          <w:szCs w:val="24"/>
        </w:rPr>
        <w:t>„</w:t>
      </w:r>
      <w:r w:rsidRPr="00C66FF1">
        <w:rPr>
          <w:sz w:val="24"/>
          <w:szCs w:val="24"/>
        </w:rPr>
        <w:t>Гражданска отговорност</w:t>
      </w:r>
      <w:r w:rsidR="0045306B">
        <w:rPr>
          <w:sz w:val="24"/>
          <w:szCs w:val="24"/>
        </w:rPr>
        <w:t>“</w:t>
      </w:r>
      <w:r w:rsidRPr="00C66FF1">
        <w:rPr>
          <w:sz w:val="24"/>
          <w:szCs w:val="24"/>
        </w:rPr>
        <w:t xml:space="preserve"> на автомобилистите, в това число за предоставяне на ценово предложение за сключването му</w:t>
      </w:r>
      <w:r w:rsidR="003A53D1">
        <w:rPr>
          <w:sz w:val="24"/>
          <w:szCs w:val="24"/>
        </w:rPr>
        <w:t>,</w:t>
      </w:r>
      <w:r>
        <w:rPr>
          <w:sz w:val="24"/>
          <w:szCs w:val="24"/>
        </w:rPr>
        <w:t xml:space="preserve"> са предложени допълнителни мерки за проследяване на използването на електронната услуга </w:t>
      </w:r>
      <w:r w:rsidR="003A53D1">
        <w:rPr>
          <w:sz w:val="24"/>
          <w:szCs w:val="24"/>
        </w:rPr>
        <w:t xml:space="preserve">до </w:t>
      </w:r>
      <w:r w:rsidR="003A53D1" w:rsidRPr="003A53D1">
        <w:rPr>
          <w:sz w:val="24"/>
          <w:szCs w:val="24"/>
        </w:rPr>
        <w:t>крайния потребител на информационната система на застрахователя</w:t>
      </w:r>
      <w:r w:rsidR="003A53D1">
        <w:rPr>
          <w:sz w:val="24"/>
          <w:szCs w:val="24"/>
        </w:rPr>
        <w:t xml:space="preserve">, което да позволи осъществяването на надзорните правомощия на Комисията за финансов надзор. </w:t>
      </w:r>
      <w:r>
        <w:rPr>
          <w:sz w:val="24"/>
          <w:szCs w:val="24"/>
        </w:rPr>
        <w:t xml:space="preserve"> </w:t>
      </w:r>
    </w:p>
    <w:p w:rsidR="00152FA3" w:rsidRDefault="00A07E3C" w:rsidP="004D1B13">
      <w:pPr>
        <w:ind w:firstLine="709"/>
        <w:jc w:val="both"/>
        <w:rPr>
          <w:sz w:val="24"/>
          <w:szCs w:val="24"/>
        </w:rPr>
      </w:pPr>
      <w:r w:rsidRPr="00A07E3C">
        <w:rPr>
          <w:sz w:val="24"/>
          <w:szCs w:val="24"/>
        </w:rPr>
        <w:t xml:space="preserve">Изисква се въвеждането на преходни </w:t>
      </w:r>
      <w:r w:rsidR="00BD3338">
        <w:rPr>
          <w:sz w:val="24"/>
          <w:szCs w:val="24"/>
        </w:rPr>
        <w:t xml:space="preserve">и заключителни </w:t>
      </w:r>
      <w:r w:rsidRPr="00A07E3C">
        <w:rPr>
          <w:sz w:val="24"/>
          <w:szCs w:val="24"/>
        </w:rPr>
        <w:t>разпоредби и определянето на подходящи периоди за привеждане на системите на Гаранционния фонд и застрахователите в съответствие с предложените изменения.</w:t>
      </w:r>
    </w:p>
    <w:p w:rsidR="00A60DDC" w:rsidRDefault="00A60DDC" w:rsidP="004D1B13">
      <w:pPr>
        <w:ind w:firstLine="709"/>
        <w:jc w:val="both"/>
        <w:rPr>
          <w:sz w:val="24"/>
          <w:szCs w:val="24"/>
        </w:rPr>
      </w:pPr>
    </w:p>
    <w:p w:rsidR="00F0155E" w:rsidRPr="00C92AEE" w:rsidRDefault="00F0155E" w:rsidP="004D1B13">
      <w:pPr>
        <w:ind w:firstLine="709"/>
        <w:jc w:val="both"/>
        <w:rPr>
          <w:b/>
          <w:sz w:val="24"/>
          <w:szCs w:val="24"/>
          <w:u w:val="single"/>
        </w:rPr>
      </w:pPr>
      <w:r w:rsidRPr="00C92AEE">
        <w:rPr>
          <w:b/>
          <w:sz w:val="24"/>
          <w:szCs w:val="24"/>
          <w:u w:val="single"/>
        </w:rPr>
        <w:t>Цели, които се поставят с приемането на наредбата:</w:t>
      </w:r>
    </w:p>
    <w:p w:rsidR="00B23911" w:rsidRDefault="006A6479" w:rsidP="004D1B13">
      <w:pPr>
        <w:ind w:firstLine="709"/>
        <w:jc w:val="both"/>
        <w:rPr>
          <w:sz w:val="24"/>
          <w:szCs w:val="24"/>
        </w:rPr>
      </w:pPr>
      <w:r w:rsidRPr="006A6479">
        <w:rPr>
          <w:sz w:val="24"/>
          <w:szCs w:val="24"/>
        </w:rPr>
        <w:t xml:space="preserve">С проекта на наредба се цели </w:t>
      </w:r>
      <w:r w:rsidR="00615383">
        <w:rPr>
          <w:sz w:val="24"/>
          <w:szCs w:val="24"/>
        </w:rPr>
        <w:t>уреждането на надежден</w:t>
      </w:r>
      <w:r w:rsidR="008F3632">
        <w:rPr>
          <w:sz w:val="24"/>
          <w:szCs w:val="24"/>
        </w:rPr>
        <w:t xml:space="preserve"> и</w:t>
      </w:r>
      <w:r w:rsidR="00615383">
        <w:rPr>
          <w:sz w:val="24"/>
          <w:szCs w:val="24"/>
        </w:rPr>
        <w:t xml:space="preserve"> функци</w:t>
      </w:r>
      <w:r w:rsidR="008F3632">
        <w:rPr>
          <w:sz w:val="24"/>
          <w:szCs w:val="24"/>
        </w:rPr>
        <w:t xml:space="preserve">онален процес за служебно използване на данните от регистъра на застрахователните претенции с оглед осигуряване на възможност за прилагане на системата „бонус-малус“ </w:t>
      </w:r>
      <w:r w:rsidR="00C201F4" w:rsidRPr="00C201F4">
        <w:rPr>
          <w:sz w:val="24"/>
          <w:szCs w:val="24"/>
        </w:rPr>
        <w:t>по задължителната застраховка „Гражданска отговорност“ на автомобилистите</w:t>
      </w:r>
      <w:r w:rsidR="00C201F4">
        <w:rPr>
          <w:sz w:val="24"/>
          <w:szCs w:val="24"/>
        </w:rPr>
        <w:t xml:space="preserve"> </w:t>
      </w:r>
      <w:r w:rsidR="008F3632">
        <w:rPr>
          <w:sz w:val="24"/>
          <w:szCs w:val="24"/>
        </w:rPr>
        <w:t>от застрахователите</w:t>
      </w:r>
      <w:r w:rsidR="00126F3F">
        <w:rPr>
          <w:sz w:val="24"/>
          <w:szCs w:val="24"/>
        </w:rPr>
        <w:t xml:space="preserve">, </w:t>
      </w:r>
      <w:r w:rsidR="008F3632">
        <w:rPr>
          <w:sz w:val="24"/>
          <w:szCs w:val="24"/>
        </w:rPr>
        <w:t>без да се застрашават интересите на нито една група заинтересовани лица</w:t>
      </w:r>
      <w:r w:rsidR="00B23911" w:rsidRPr="00B23911">
        <w:rPr>
          <w:sz w:val="24"/>
          <w:szCs w:val="24"/>
        </w:rPr>
        <w:t xml:space="preserve">. </w:t>
      </w:r>
    </w:p>
    <w:p w:rsidR="008F3632" w:rsidRDefault="008F3632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45306B">
        <w:rPr>
          <w:sz w:val="24"/>
          <w:szCs w:val="24"/>
        </w:rPr>
        <w:t>предложените изменения и допълнения в Наредба № 54</w:t>
      </w:r>
      <w:r>
        <w:rPr>
          <w:sz w:val="24"/>
          <w:szCs w:val="24"/>
        </w:rPr>
        <w:t xml:space="preserve"> се цели осигуряването на надеждна, вярна и своевременна информация в регистъра на застрахователните претенции, която да позволи функционирането на процесите по служебно използване на данни за целите на сключване на задължителна застраховка „Гражданска отговорност“ на автомобилистите, както и за издаване на удостоверения за застрахователни претенции. </w:t>
      </w:r>
    </w:p>
    <w:p w:rsidR="008F3632" w:rsidRDefault="008F3632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проекта на наредба се цели регламентирането на достъпа на застрахователите до регистъра на пътнотранспортните произшествия с цел предотвратяване на застрахователни</w:t>
      </w:r>
      <w:r w:rsidR="00154965">
        <w:rPr>
          <w:sz w:val="24"/>
          <w:szCs w:val="24"/>
        </w:rPr>
        <w:t>те</w:t>
      </w:r>
      <w:r>
        <w:rPr>
          <w:sz w:val="24"/>
          <w:szCs w:val="24"/>
        </w:rPr>
        <w:t xml:space="preserve"> измами в съответствие със законовите делегации съгласно Кодекса за застраховането. </w:t>
      </w:r>
    </w:p>
    <w:p w:rsidR="008F3632" w:rsidRDefault="008F3632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45306B">
        <w:rPr>
          <w:sz w:val="24"/>
          <w:szCs w:val="24"/>
        </w:rPr>
        <w:t>предложените изменения и допълнения в Наредба № 54</w:t>
      </w:r>
      <w:r w:rsidR="000F6D2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се цели и избягването на ситуации на обективна невъзможност за сключване на задължителна застраховка „Гражданска отговорност“ на автомобилистите в резултат на обективна техническа невъзможност за функциониране на обслужване на процеса от страна на Гаранционния фонд. </w:t>
      </w:r>
    </w:p>
    <w:p w:rsidR="003A53D1" w:rsidRDefault="003A53D1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проекта на наредба се цели създаването на условия за проследяване на използването на електронната услуга за извличане на данни от </w:t>
      </w:r>
      <w:r w:rsidRPr="003A53D1">
        <w:rPr>
          <w:sz w:val="24"/>
          <w:szCs w:val="24"/>
        </w:rPr>
        <w:t xml:space="preserve">регистъра на превозните средства и техните собственици, изграждан и поддържан в </w:t>
      </w:r>
      <w:r w:rsidR="00C201F4" w:rsidRPr="00C81455">
        <w:rPr>
          <w:sz w:val="24"/>
          <w:szCs w:val="24"/>
        </w:rPr>
        <w:t>М</w:t>
      </w:r>
      <w:r w:rsidR="00C201F4">
        <w:rPr>
          <w:sz w:val="24"/>
          <w:szCs w:val="24"/>
        </w:rPr>
        <w:t>инистерството на вътрешните работи</w:t>
      </w:r>
      <w:r>
        <w:rPr>
          <w:sz w:val="24"/>
          <w:szCs w:val="24"/>
        </w:rPr>
        <w:t xml:space="preserve"> с оглед осъществяване на надзорните правомощия на Комисията за финансов надзор. </w:t>
      </w:r>
    </w:p>
    <w:p w:rsidR="008F3632" w:rsidRDefault="008F3632" w:rsidP="004D1B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Цели се и уреждането на съвременни изисквания към информационните системи на Гаранционния фонд, които да гарантират тяхната функционалност </w:t>
      </w:r>
      <w:r w:rsidR="00C66FF1">
        <w:rPr>
          <w:sz w:val="24"/>
          <w:szCs w:val="24"/>
        </w:rPr>
        <w:t>и надеждност</w:t>
      </w:r>
      <w:r w:rsidR="00C66FF1" w:rsidRPr="00C66FF1">
        <w:rPr>
          <w:sz w:val="24"/>
          <w:szCs w:val="24"/>
        </w:rPr>
        <w:t xml:space="preserve"> </w:t>
      </w:r>
      <w:r w:rsidR="00C66FF1">
        <w:rPr>
          <w:sz w:val="24"/>
          <w:szCs w:val="24"/>
        </w:rPr>
        <w:t xml:space="preserve">и съвместимост на застрахователите с техните характеристики, както и регламентиране на преходните периоди за внедряването на измененията в нормативната уредба в практиката на пазарните участници. </w:t>
      </w:r>
    </w:p>
    <w:p w:rsidR="00A07E3C" w:rsidRPr="00B23911" w:rsidRDefault="00A07E3C" w:rsidP="004D1B13">
      <w:pPr>
        <w:ind w:firstLine="709"/>
        <w:jc w:val="both"/>
        <w:rPr>
          <w:sz w:val="24"/>
          <w:szCs w:val="24"/>
        </w:rPr>
      </w:pPr>
    </w:p>
    <w:p w:rsidR="00FD0299" w:rsidRPr="00C92AEE" w:rsidRDefault="00FD0299" w:rsidP="004D1B13">
      <w:pPr>
        <w:ind w:firstLine="709"/>
        <w:jc w:val="both"/>
        <w:rPr>
          <w:b/>
          <w:sz w:val="24"/>
          <w:szCs w:val="24"/>
          <w:u w:val="single"/>
        </w:rPr>
      </w:pPr>
      <w:r w:rsidRPr="00C92AEE">
        <w:rPr>
          <w:b/>
          <w:sz w:val="24"/>
          <w:szCs w:val="24"/>
          <w:u w:val="single"/>
        </w:rPr>
        <w:t xml:space="preserve">Очаквани резултати от прилагането: </w:t>
      </w:r>
    </w:p>
    <w:p w:rsidR="007F55AB" w:rsidRDefault="003A53D1" w:rsidP="004D1B13">
      <w:pPr>
        <w:ind w:firstLine="709"/>
        <w:jc w:val="both"/>
        <w:outlineLvl w:val="2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Предложените изменения и допълнения на Наредба № 54 ще съдействат за функционално използване на данните от регистъра на застрахователните претенции за целите прилагането на систем</w:t>
      </w:r>
      <w:r w:rsidR="00126F3F">
        <w:rPr>
          <w:rFonts w:eastAsiaTheme="minorHAnsi"/>
          <w:bCs/>
          <w:sz w:val="24"/>
          <w:szCs w:val="24"/>
          <w:lang w:eastAsia="en-US"/>
        </w:rPr>
        <w:t>ите</w:t>
      </w:r>
      <w:r>
        <w:rPr>
          <w:rFonts w:eastAsiaTheme="minorHAnsi"/>
          <w:bCs/>
          <w:sz w:val="24"/>
          <w:szCs w:val="24"/>
          <w:lang w:eastAsia="en-US"/>
        </w:rPr>
        <w:t xml:space="preserve"> „бонус-малус“</w:t>
      </w:r>
      <w:r w:rsidR="00126F3F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C201F4" w:rsidRPr="00C201F4">
        <w:rPr>
          <w:sz w:val="24"/>
          <w:szCs w:val="24"/>
        </w:rPr>
        <w:t>по задължителната застраховка „Гражданска отговорност“ на автомобилистите</w:t>
      </w:r>
      <w:r w:rsidR="00C201F4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126F3F">
        <w:rPr>
          <w:rFonts w:eastAsiaTheme="minorHAnsi"/>
          <w:bCs/>
          <w:sz w:val="24"/>
          <w:szCs w:val="24"/>
          <w:lang w:eastAsia="en-US"/>
        </w:rPr>
        <w:t>на застрахователите</w:t>
      </w:r>
      <w:r>
        <w:rPr>
          <w:rFonts w:eastAsiaTheme="minorHAnsi"/>
          <w:bCs/>
          <w:sz w:val="24"/>
          <w:szCs w:val="24"/>
          <w:lang w:eastAsia="en-US"/>
        </w:rPr>
        <w:t xml:space="preserve">; ще се осигури надеждна, вярна и своевременна информация в този регистър посредством попълването му в реално време от страна на застрахователите; ще се осигурят възможности за превенция на застрахователни измами посредством </w:t>
      </w:r>
      <w:r w:rsidRPr="003A53D1">
        <w:rPr>
          <w:rFonts w:eastAsiaTheme="minorHAnsi"/>
          <w:bCs/>
          <w:sz w:val="24"/>
          <w:szCs w:val="24"/>
          <w:lang w:eastAsia="en-US"/>
        </w:rPr>
        <w:t xml:space="preserve">регламентирането на достъпа на застрахователите до регистъра на </w:t>
      </w:r>
      <w:r>
        <w:rPr>
          <w:rFonts w:eastAsiaTheme="minorHAnsi"/>
          <w:bCs/>
          <w:sz w:val="24"/>
          <w:szCs w:val="24"/>
          <w:lang w:eastAsia="en-US"/>
        </w:rPr>
        <w:t xml:space="preserve">пътнотранспортните произшествия; ще се създадат условия за преодоляване на невъзможност за сключване на задължителна застраховка „Гражданска отговорност“ </w:t>
      </w:r>
      <w:r w:rsidR="00C201F4">
        <w:rPr>
          <w:rFonts w:eastAsiaTheme="minorHAnsi"/>
          <w:bCs/>
          <w:sz w:val="24"/>
          <w:szCs w:val="24"/>
          <w:lang w:eastAsia="en-US"/>
        </w:rPr>
        <w:t xml:space="preserve">на автомобилистите </w:t>
      </w:r>
      <w:r>
        <w:rPr>
          <w:rFonts w:eastAsiaTheme="minorHAnsi"/>
          <w:bCs/>
          <w:sz w:val="24"/>
          <w:szCs w:val="24"/>
          <w:lang w:eastAsia="en-US"/>
        </w:rPr>
        <w:t xml:space="preserve">в резултат на </w:t>
      </w:r>
      <w:r w:rsidR="00157EED">
        <w:rPr>
          <w:rFonts w:eastAsiaTheme="minorHAnsi"/>
          <w:bCs/>
          <w:sz w:val="24"/>
          <w:szCs w:val="24"/>
          <w:lang w:eastAsia="en-US"/>
        </w:rPr>
        <w:t xml:space="preserve">техническа невъзможност за обслужване на процеса от страна на Гаранционния фонд; ще се създадат условия за ефективно прилагане на надзорните правомощия на Комисията за финансов надзор при използване на електронната услуга за извличане на данни от регистъра на моторните превозни средства и техните собственици и ще се уредят съвременни изисквания към информационните системи на </w:t>
      </w:r>
      <w:r w:rsidR="00550F11">
        <w:rPr>
          <w:rFonts w:eastAsiaTheme="minorHAnsi"/>
          <w:bCs/>
          <w:sz w:val="24"/>
          <w:szCs w:val="24"/>
          <w:lang w:eastAsia="en-US"/>
        </w:rPr>
        <w:t>Гаранционния</w:t>
      </w:r>
      <w:r w:rsidR="00157EED">
        <w:rPr>
          <w:rFonts w:eastAsiaTheme="minorHAnsi"/>
          <w:bCs/>
          <w:sz w:val="24"/>
          <w:szCs w:val="24"/>
          <w:lang w:eastAsia="en-US"/>
        </w:rPr>
        <w:t xml:space="preserve"> фонд, както и адаптирането на застрахователите към тях. </w:t>
      </w:r>
    </w:p>
    <w:p w:rsidR="004D1B13" w:rsidRDefault="004D1B13" w:rsidP="004D1B13">
      <w:pPr>
        <w:ind w:firstLine="709"/>
        <w:jc w:val="both"/>
        <w:outlineLvl w:val="2"/>
        <w:rPr>
          <w:rFonts w:eastAsiaTheme="minorHAnsi"/>
          <w:bCs/>
          <w:sz w:val="24"/>
          <w:szCs w:val="24"/>
          <w:lang w:eastAsia="en-US"/>
        </w:rPr>
      </w:pPr>
    </w:p>
    <w:p w:rsidR="007F55AB" w:rsidRPr="00C92AEE" w:rsidRDefault="007F55AB" w:rsidP="004D1B13">
      <w:pPr>
        <w:ind w:firstLine="709"/>
        <w:jc w:val="both"/>
        <w:outlineLvl w:val="2"/>
        <w:rPr>
          <w:rFonts w:eastAsiaTheme="minorHAnsi"/>
          <w:b/>
          <w:bCs/>
          <w:sz w:val="24"/>
          <w:szCs w:val="24"/>
          <w:u w:val="single"/>
          <w:lang w:eastAsia="en-US"/>
        </w:rPr>
      </w:pPr>
      <w:r w:rsidRPr="00C92AEE">
        <w:rPr>
          <w:rFonts w:eastAsiaTheme="minorHAnsi"/>
          <w:b/>
          <w:bCs/>
          <w:sz w:val="24"/>
          <w:szCs w:val="24"/>
          <w:u w:val="single"/>
          <w:lang w:eastAsia="en-US"/>
        </w:rPr>
        <w:t>Финансови и други средства, необходими за прилагането на новата уредба:</w:t>
      </w:r>
    </w:p>
    <w:p w:rsidR="0051698C" w:rsidRDefault="00CC6636" w:rsidP="004D1B13">
      <w:pPr>
        <w:pStyle w:val="Default"/>
        <w:ind w:firstLine="709"/>
        <w:jc w:val="both"/>
      </w:pPr>
      <w:r w:rsidRPr="00B23911">
        <w:t xml:space="preserve">Предлаганият проект на </w:t>
      </w:r>
      <w:r w:rsidR="00331B6D">
        <w:t>н</w:t>
      </w:r>
      <w:r w:rsidRPr="00B23911">
        <w:t xml:space="preserve">аредба няма пряко отражение върху бюджета на </w:t>
      </w:r>
      <w:r w:rsidR="00BD3338">
        <w:t xml:space="preserve">Министерството на вътрешните работи, Министерството на транспорта и съобщенията и </w:t>
      </w:r>
      <w:r w:rsidR="00A07E3C">
        <w:rPr>
          <w:rFonts w:eastAsiaTheme="minorHAnsi"/>
          <w:bCs/>
        </w:rPr>
        <w:t>Комисията за финансов надзор</w:t>
      </w:r>
      <w:r w:rsidRPr="00B23911">
        <w:t xml:space="preserve"> и не е необходимо осигуряване на допълнителни разходи/трансфери/други плащания. </w:t>
      </w:r>
    </w:p>
    <w:p w:rsidR="0051698C" w:rsidRDefault="0051698C" w:rsidP="004D1B13">
      <w:pPr>
        <w:pStyle w:val="Default"/>
        <w:ind w:firstLine="709"/>
        <w:jc w:val="both"/>
        <w:rPr>
          <w:color w:val="auto"/>
        </w:rPr>
      </w:pPr>
      <w:r>
        <w:t xml:space="preserve">Предвид </w:t>
      </w:r>
      <w:r w:rsidR="00A260F8">
        <w:t xml:space="preserve">необходимостта от вземане на организационни решения, обуславящи </w:t>
      </w:r>
      <w:r w:rsidR="00A260F8" w:rsidRPr="00993DC9">
        <w:rPr>
          <w:color w:val="auto"/>
        </w:rPr>
        <w:t>евентуални</w:t>
      </w:r>
      <w:r w:rsidRPr="00993DC9">
        <w:rPr>
          <w:color w:val="auto"/>
        </w:rPr>
        <w:t xml:space="preserve"> допълнителни разходи за застрахователите и Гаранционния фонд за </w:t>
      </w:r>
      <w:r w:rsidR="00A260F8" w:rsidRPr="00993DC9">
        <w:rPr>
          <w:color w:val="auto"/>
        </w:rPr>
        <w:t xml:space="preserve">целите на </w:t>
      </w:r>
      <w:r w:rsidRPr="00993DC9">
        <w:rPr>
          <w:color w:val="auto"/>
        </w:rPr>
        <w:t>адаптиране</w:t>
      </w:r>
      <w:r w:rsidR="00A260F8" w:rsidRPr="00993DC9">
        <w:rPr>
          <w:color w:val="auto"/>
        </w:rPr>
        <w:t>то</w:t>
      </w:r>
      <w:r w:rsidRPr="00993DC9">
        <w:rPr>
          <w:color w:val="auto"/>
        </w:rPr>
        <w:t xml:space="preserve"> на </w:t>
      </w:r>
      <w:r w:rsidR="00A260F8" w:rsidRPr="00993DC9">
        <w:rPr>
          <w:color w:val="auto"/>
        </w:rPr>
        <w:t>техните</w:t>
      </w:r>
      <w:r w:rsidRPr="00993DC9">
        <w:rPr>
          <w:color w:val="auto"/>
        </w:rPr>
        <w:t xml:space="preserve"> информационни системи с новите изисквания, </w:t>
      </w:r>
      <w:r w:rsidR="00C81A67">
        <w:rPr>
          <w:color w:val="auto"/>
          <w:lang w:val="en-US"/>
        </w:rPr>
        <w:t>e</w:t>
      </w:r>
      <w:r w:rsidR="00C81A67" w:rsidRPr="00993DC9">
        <w:rPr>
          <w:color w:val="auto"/>
        </w:rPr>
        <w:t xml:space="preserve"> </w:t>
      </w:r>
      <w:r w:rsidRPr="00993DC9">
        <w:rPr>
          <w:color w:val="auto"/>
        </w:rPr>
        <w:t xml:space="preserve">предвиден </w:t>
      </w:r>
      <w:r w:rsidR="00A260F8" w:rsidRPr="00993DC9">
        <w:rPr>
          <w:color w:val="auto"/>
        </w:rPr>
        <w:t xml:space="preserve">подходящ </w:t>
      </w:r>
      <w:r w:rsidRPr="00993DC9">
        <w:rPr>
          <w:color w:val="auto"/>
        </w:rPr>
        <w:t xml:space="preserve">период за </w:t>
      </w:r>
      <w:r w:rsidR="00AC79ED" w:rsidRPr="00993DC9">
        <w:rPr>
          <w:color w:val="auto"/>
        </w:rPr>
        <w:t xml:space="preserve">поетапното им </w:t>
      </w:r>
      <w:r w:rsidRPr="00993DC9">
        <w:rPr>
          <w:color w:val="auto"/>
        </w:rPr>
        <w:t xml:space="preserve">привеждане в съответствие.  </w:t>
      </w:r>
    </w:p>
    <w:p w:rsidR="004D1B13" w:rsidRPr="00993DC9" w:rsidRDefault="004D1B13" w:rsidP="004D1B13">
      <w:pPr>
        <w:pStyle w:val="Default"/>
        <w:ind w:firstLine="709"/>
        <w:jc w:val="both"/>
        <w:rPr>
          <w:color w:val="auto"/>
        </w:rPr>
      </w:pPr>
    </w:p>
    <w:p w:rsidR="003D7A48" w:rsidRPr="00C92AEE" w:rsidRDefault="007F55AB" w:rsidP="004D1B13">
      <w:pPr>
        <w:ind w:firstLine="709"/>
        <w:jc w:val="both"/>
        <w:outlineLvl w:val="2"/>
        <w:rPr>
          <w:rFonts w:eastAsiaTheme="minorHAnsi"/>
          <w:b/>
          <w:bCs/>
          <w:sz w:val="24"/>
          <w:szCs w:val="24"/>
          <w:u w:val="single"/>
          <w:lang w:eastAsia="en-US"/>
        </w:rPr>
      </w:pPr>
      <w:r w:rsidRPr="00C92AEE">
        <w:rPr>
          <w:rFonts w:eastAsiaTheme="minorHAnsi"/>
          <w:b/>
          <w:bCs/>
          <w:sz w:val="24"/>
          <w:szCs w:val="24"/>
          <w:u w:val="single"/>
          <w:lang w:eastAsia="en-US"/>
        </w:rPr>
        <w:t>Анализ за съответствие с правото на Европейския съюз:</w:t>
      </w:r>
    </w:p>
    <w:p w:rsidR="004D2EB9" w:rsidRPr="00CE09CF" w:rsidRDefault="004D2EB9" w:rsidP="004D1B13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CE09CF">
        <w:rPr>
          <w:color w:val="000000"/>
          <w:sz w:val="24"/>
          <w:szCs w:val="24"/>
          <w:lang w:eastAsia="en-US"/>
        </w:rPr>
        <w:t xml:space="preserve">Проектът на наредба е в съответствие с правото на Европейския съюз и не съдържа разпоредби, които транспонират изискванията на акт на Европейския съюз, поради което не е приложена справка за съответствието му. </w:t>
      </w:r>
    </w:p>
    <w:p w:rsidR="00DE1FF4" w:rsidRPr="00A913AF" w:rsidRDefault="00DE1FF4" w:rsidP="004D1B13">
      <w:pPr>
        <w:ind w:firstLine="709"/>
        <w:jc w:val="both"/>
      </w:pPr>
    </w:p>
    <w:sectPr w:rsidR="00DE1FF4" w:rsidRPr="00A913AF" w:rsidSect="00993DC9">
      <w:footerReference w:type="default" r:id="rId7"/>
      <w:pgSz w:w="12240" w:h="15840"/>
      <w:pgMar w:top="1135" w:right="1183" w:bottom="1276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CCD" w:rsidRDefault="00564CCD" w:rsidP="00657218">
      <w:r>
        <w:separator/>
      </w:r>
    </w:p>
  </w:endnote>
  <w:endnote w:type="continuationSeparator" w:id="0">
    <w:p w:rsidR="00564CCD" w:rsidRDefault="00564CCD" w:rsidP="0065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4883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3632" w:rsidRDefault="008F36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C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3632" w:rsidRDefault="008F3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CCD" w:rsidRDefault="00564CCD" w:rsidP="00657218">
      <w:r>
        <w:separator/>
      </w:r>
    </w:p>
  </w:footnote>
  <w:footnote w:type="continuationSeparator" w:id="0">
    <w:p w:rsidR="00564CCD" w:rsidRDefault="00564CCD" w:rsidP="00657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F77"/>
    <w:multiLevelType w:val="hybridMultilevel"/>
    <w:tmpl w:val="745A2DBE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A21BB2"/>
    <w:multiLevelType w:val="hybridMultilevel"/>
    <w:tmpl w:val="478E70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56CAE"/>
    <w:multiLevelType w:val="hybridMultilevel"/>
    <w:tmpl w:val="41CA49AA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62"/>
    <w:rsid w:val="0000321E"/>
    <w:rsid w:val="00010CA1"/>
    <w:rsid w:val="00012DFE"/>
    <w:rsid w:val="000148E6"/>
    <w:rsid w:val="00021072"/>
    <w:rsid w:val="00021DDB"/>
    <w:rsid w:val="00031A6C"/>
    <w:rsid w:val="00035439"/>
    <w:rsid w:val="00045676"/>
    <w:rsid w:val="0004775C"/>
    <w:rsid w:val="00053061"/>
    <w:rsid w:val="000608D2"/>
    <w:rsid w:val="00072F63"/>
    <w:rsid w:val="00073E26"/>
    <w:rsid w:val="00074064"/>
    <w:rsid w:val="00077CCE"/>
    <w:rsid w:val="000807BD"/>
    <w:rsid w:val="000834C2"/>
    <w:rsid w:val="00083B29"/>
    <w:rsid w:val="00094770"/>
    <w:rsid w:val="000A3515"/>
    <w:rsid w:val="000A40A8"/>
    <w:rsid w:val="000A4DF4"/>
    <w:rsid w:val="000A6A23"/>
    <w:rsid w:val="000B41BE"/>
    <w:rsid w:val="000B4D6A"/>
    <w:rsid w:val="000D3363"/>
    <w:rsid w:val="000E7B8D"/>
    <w:rsid w:val="000F4CDB"/>
    <w:rsid w:val="000F6D2D"/>
    <w:rsid w:val="000F7326"/>
    <w:rsid w:val="00101664"/>
    <w:rsid w:val="001111E1"/>
    <w:rsid w:val="00115C3B"/>
    <w:rsid w:val="00116F01"/>
    <w:rsid w:val="001172C6"/>
    <w:rsid w:val="0012353A"/>
    <w:rsid w:val="0012543A"/>
    <w:rsid w:val="00126F3F"/>
    <w:rsid w:val="0013547B"/>
    <w:rsid w:val="00141995"/>
    <w:rsid w:val="00142C14"/>
    <w:rsid w:val="0015170E"/>
    <w:rsid w:val="00152E48"/>
    <w:rsid w:val="00152FA3"/>
    <w:rsid w:val="00154965"/>
    <w:rsid w:val="00157EED"/>
    <w:rsid w:val="00173927"/>
    <w:rsid w:val="0017469C"/>
    <w:rsid w:val="00183BF5"/>
    <w:rsid w:val="001A1674"/>
    <w:rsid w:val="001A2479"/>
    <w:rsid w:val="001D3288"/>
    <w:rsid w:val="001D7629"/>
    <w:rsid w:val="001F4379"/>
    <w:rsid w:val="001F75A2"/>
    <w:rsid w:val="0020074B"/>
    <w:rsid w:val="00205C5B"/>
    <w:rsid w:val="00207A72"/>
    <w:rsid w:val="00212BF7"/>
    <w:rsid w:val="00215504"/>
    <w:rsid w:val="00225E18"/>
    <w:rsid w:val="00233AB3"/>
    <w:rsid w:val="00235CAC"/>
    <w:rsid w:val="00236A7A"/>
    <w:rsid w:val="00242364"/>
    <w:rsid w:val="00245218"/>
    <w:rsid w:val="002459A9"/>
    <w:rsid w:val="00253A18"/>
    <w:rsid w:val="00260452"/>
    <w:rsid w:val="0027472F"/>
    <w:rsid w:val="00285ACC"/>
    <w:rsid w:val="002868CA"/>
    <w:rsid w:val="00286967"/>
    <w:rsid w:val="00286E5A"/>
    <w:rsid w:val="0029297D"/>
    <w:rsid w:val="002A2FA9"/>
    <w:rsid w:val="002A6BB4"/>
    <w:rsid w:val="002B0871"/>
    <w:rsid w:val="002B6E92"/>
    <w:rsid w:val="002D1956"/>
    <w:rsid w:val="002D3B97"/>
    <w:rsid w:val="002D7A34"/>
    <w:rsid w:val="002F42E8"/>
    <w:rsid w:val="002F7F27"/>
    <w:rsid w:val="00300D03"/>
    <w:rsid w:val="00304735"/>
    <w:rsid w:val="003257E8"/>
    <w:rsid w:val="00331B6D"/>
    <w:rsid w:val="0034128D"/>
    <w:rsid w:val="00346AE6"/>
    <w:rsid w:val="00346D6E"/>
    <w:rsid w:val="0035475E"/>
    <w:rsid w:val="00355865"/>
    <w:rsid w:val="00375100"/>
    <w:rsid w:val="00383CE3"/>
    <w:rsid w:val="00387831"/>
    <w:rsid w:val="0039362E"/>
    <w:rsid w:val="00395659"/>
    <w:rsid w:val="00397928"/>
    <w:rsid w:val="003A0EA6"/>
    <w:rsid w:val="003A53D1"/>
    <w:rsid w:val="003A5D1F"/>
    <w:rsid w:val="003C1ABC"/>
    <w:rsid w:val="003D3821"/>
    <w:rsid w:val="003D7A48"/>
    <w:rsid w:val="003D7EB4"/>
    <w:rsid w:val="003E2B8D"/>
    <w:rsid w:val="003F45F6"/>
    <w:rsid w:val="00407645"/>
    <w:rsid w:val="00411505"/>
    <w:rsid w:val="00413441"/>
    <w:rsid w:val="00423AA6"/>
    <w:rsid w:val="00425EC0"/>
    <w:rsid w:val="00436C6E"/>
    <w:rsid w:val="00443979"/>
    <w:rsid w:val="00444A26"/>
    <w:rsid w:val="0045306B"/>
    <w:rsid w:val="00473E8C"/>
    <w:rsid w:val="004810EE"/>
    <w:rsid w:val="00482204"/>
    <w:rsid w:val="00482734"/>
    <w:rsid w:val="00484055"/>
    <w:rsid w:val="00493735"/>
    <w:rsid w:val="0049463C"/>
    <w:rsid w:val="0049653A"/>
    <w:rsid w:val="004B31CC"/>
    <w:rsid w:val="004D1B13"/>
    <w:rsid w:val="004D2EB9"/>
    <w:rsid w:val="004D7DE4"/>
    <w:rsid w:val="004E25CE"/>
    <w:rsid w:val="004E467B"/>
    <w:rsid w:val="004F08CD"/>
    <w:rsid w:val="004F60BE"/>
    <w:rsid w:val="004F765A"/>
    <w:rsid w:val="00507C44"/>
    <w:rsid w:val="0051616E"/>
    <w:rsid w:val="0051698C"/>
    <w:rsid w:val="00524A4B"/>
    <w:rsid w:val="005332C3"/>
    <w:rsid w:val="00542BC7"/>
    <w:rsid w:val="00543CE7"/>
    <w:rsid w:val="005467CB"/>
    <w:rsid w:val="00550F11"/>
    <w:rsid w:val="005545CD"/>
    <w:rsid w:val="00561C35"/>
    <w:rsid w:val="00562241"/>
    <w:rsid w:val="00564CCD"/>
    <w:rsid w:val="00573BF6"/>
    <w:rsid w:val="005854AE"/>
    <w:rsid w:val="0059557C"/>
    <w:rsid w:val="00595E12"/>
    <w:rsid w:val="005975BB"/>
    <w:rsid w:val="005B0B0D"/>
    <w:rsid w:val="005B7468"/>
    <w:rsid w:val="005C36CB"/>
    <w:rsid w:val="005D17D6"/>
    <w:rsid w:val="005D3BE7"/>
    <w:rsid w:val="005D4CA2"/>
    <w:rsid w:val="005D6852"/>
    <w:rsid w:val="005E1BDF"/>
    <w:rsid w:val="005E4F24"/>
    <w:rsid w:val="005F1222"/>
    <w:rsid w:val="00601B16"/>
    <w:rsid w:val="00601E1E"/>
    <w:rsid w:val="006028E3"/>
    <w:rsid w:val="00615383"/>
    <w:rsid w:val="00616967"/>
    <w:rsid w:val="0063503D"/>
    <w:rsid w:val="006425C5"/>
    <w:rsid w:val="00643437"/>
    <w:rsid w:val="00645FEF"/>
    <w:rsid w:val="00657218"/>
    <w:rsid w:val="00672DDB"/>
    <w:rsid w:val="006829FD"/>
    <w:rsid w:val="006A4200"/>
    <w:rsid w:val="006A50BB"/>
    <w:rsid w:val="006A5231"/>
    <w:rsid w:val="006A6479"/>
    <w:rsid w:val="006A65A8"/>
    <w:rsid w:val="006A6775"/>
    <w:rsid w:val="006B3203"/>
    <w:rsid w:val="006B6A6B"/>
    <w:rsid w:val="006C40E8"/>
    <w:rsid w:val="006C5FD7"/>
    <w:rsid w:val="006E0E7F"/>
    <w:rsid w:val="006E1AAF"/>
    <w:rsid w:val="006E599E"/>
    <w:rsid w:val="006F14E5"/>
    <w:rsid w:val="006F384E"/>
    <w:rsid w:val="0071222A"/>
    <w:rsid w:val="00713727"/>
    <w:rsid w:val="00731D30"/>
    <w:rsid w:val="00734CE2"/>
    <w:rsid w:val="00751FF0"/>
    <w:rsid w:val="0075472C"/>
    <w:rsid w:val="007567F1"/>
    <w:rsid w:val="0076262D"/>
    <w:rsid w:val="00774BAC"/>
    <w:rsid w:val="00785D20"/>
    <w:rsid w:val="007A3E97"/>
    <w:rsid w:val="007B0437"/>
    <w:rsid w:val="007B06AE"/>
    <w:rsid w:val="007B5E9F"/>
    <w:rsid w:val="007C0621"/>
    <w:rsid w:val="007C1A41"/>
    <w:rsid w:val="007D4458"/>
    <w:rsid w:val="007F0577"/>
    <w:rsid w:val="007F2E14"/>
    <w:rsid w:val="007F55AB"/>
    <w:rsid w:val="00814473"/>
    <w:rsid w:val="00814665"/>
    <w:rsid w:val="00814DDD"/>
    <w:rsid w:val="008242AB"/>
    <w:rsid w:val="00827149"/>
    <w:rsid w:val="00844E55"/>
    <w:rsid w:val="00856D63"/>
    <w:rsid w:val="00857DA6"/>
    <w:rsid w:val="00860142"/>
    <w:rsid w:val="0087148F"/>
    <w:rsid w:val="00876BE8"/>
    <w:rsid w:val="008824B7"/>
    <w:rsid w:val="00885F34"/>
    <w:rsid w:val="00886D64"/>
    <w:rsid w:val="008B272E"/>
    <w:rsid w:val="008B3F3D"/>
    <w:rsid w:val="008B410E"/>
    <w:rsid w:val="008B6862"/>
    <w:rsid w:val="008C65B3"/>
    <w:rsid w:val="008E0BD2"/>
    <w:rsid w:val="008F3632"/>
    <w:rsid w:val="00905531"/>
    <w:rsid w:val="0090598E"/>
    <w:rsid w:val="0090712D"/>
    <w:rsid w:val="00912A8C"/>
    <w:rsid w:val="00917FA1"/>
    <w:rsid w:val="009206E5"/>
    <w:rsid w:val="0092693F"/>
    <w:rsid w:val="00926DAC"/>
    <w:rsid w:val="00932FD1"/>
    <w:rsid w:val="00941E4E"/>
    <w:rsid w:val="00942ED8"/>
    <w:rsid w:val="00945121"/>
    <w:rsid w:val="00947787"/>
    <w:rsid w:val="00955586"/>
    <w:rsid w:val="00967FED"/>
    <w:rsid w:val="0098366F"/>
    <w:rsid w:val="00983DA3"/>
    <w:rsid w:val="00984958"/>
    <w:rsid w:val="00993DC9"/>
    <w:rsid w:val="0099747B"/>
    <w:rsid w:val="009D23C2"/>
    <w:rsid w:val="009D4D9E"/>
    <w:rsid w:val="009E0BA1"/>
    <w:rsid w:val="009E3FD3"/>
    <w:rsid w:val="009E4AC2"/>
    <w:rsid w:val="009E4F76"/>
    <w:rsid w:val="009F19BD"/>
    <w:rsid w:val="00A07E3C"/>
    <w:rsid w:val="00A162B2"/>
    <w:rsid w:val="00A16FF2"/>
    <w:rsid w:val="00A20B14"/>
    <w:rsid w:val="00A22531"/>
    <w:rsid w:val="00A260F8"/>
    <w:rsid w:val="00A26F91"/>
    <w:rsid w:val="00A30A60"/>
    <w:rsid w:val="00A3141C"/>
    <w:rsid w:val="00A44811"/>
    <w:rsid w:val="00A60DDC"/>
    <w:rsid w:val="00A64A90"/>
    <w:rsid w:val="00A7305E"/>
    <w:rsid w:val="00A73770"/>
    <w:rsid w:val="00A81CEB"/>
    <w:rsid w:val="00A82DE5"/>
    <w:rsid w:val="00A83E1A"/>
    <w:rsid w:val="00A86389"/>
    <w:rsid w:val="00A913AF"/>
    <w:rsid w:val="00A94263"/>
    <w:rsid w:val="00AA0320"/>
    <w:rsid w:val="00AB2763"/>
    <w:rsid w:val="00AC79ED"/>
    <w:rsid w:val="00AE49D0"/>
    <w:rsid w:val="00AE4C85"/>
    <w:rsid w:val="00AE5A6B"/>
    <w:rsid w:val="00AE70A4"/>
    <w:rsid w:val="00AF237D"/>
    <w:rsid w:val="00B0608F"/>
    <w:rsid w:val="00B16D5E"/>
    <w:rsid w:val="00B23911"/>
    <w:rsid w:val="00B25984"/>
    <w:rsid w:val="00B4314F"/>
    <w:rsid w:val="00B70C64"/>
    <w:rsid w:val="00B718FD"/>
    <w:rsid w:val="00B72D99"/>
    <w:rsid w:val="00B731EF"/>
    <w:rsid w:val="00B91F2D"/>
    <w:rsid w:val="00B93296"/>
    <w:rsid w:val="00BB14DF"/>
    <w:rsid w:val="00BB396D"/>
    <w:rsid w:val="00BB3CA7"/>
    <w:rsid w:val="00BB685A"/>
    <w:rsid w:val="00BB7DD2"/>
    <w:rsid w:val="00BC1C23"/>
    <w:rsid w:val="00BD2785"/>
    <w:rsid w:val="00BD2955"/>
    <w:rsid w:val="00BD3338"/>
    <w:rsid w:val="00BE39BF"/>
    <w:rsid w:val="00C02981"/>
    <w:rsid w:val="00C15492"/>
    <w:rsid w:val="00C201F4"/>
    <w:rsid w:val="00C26C4A"/>
    <w:rsid w:val="00C35DC6"/>
    <w:rsid w:val="00C56263"/>
    <w:rsid w:val="00C56D55"/>
    <w:rsid w:val="00C61A93"/>
    <w:rsid w:val="00C66FF1"/>
    <w:rsid w:val="00C81455"/>
    <w:rsid w:val="00C8157B"/>
    <w:rsid w:val="00C81A67"/>
    <w:rsid w:val="00C835FA"/>
    <w:rsid w:val="00C92AEE"/>
    <w:rsid w:val="00C96AFD"/>
    <w:rsid w:val="00CB5546"/>
    <w:rsid w:val="00CB7999"/>
    <w:rsid w:val="00CC6636"/>
    <w:rsid w:val="00CC74A2"/>
    <w:rsid w:val="00CF0A01"/>
    <w:rsid w:val="00CF12B2"/>
    <w:rsid w:val="00D00E13"/>
    <w:rsid w:val="00D01C92"/>
    <w:rsid w:val="00D03932"/>
    <w:rsid w:val="00D05C66"/>
    <w:rsid w:val="00D06481"/>
    <w:rsid w:val="00D1090D"/>
    <w:rsid w:val="00D10C90"/>
    <w:rsid w:val="00D170C9"/>
    <w:rsid w:val="00D177C7"/>
    <w:rsid w:val="00D17902"/>
    <w:rsid w:val="00D32A3D"/>
    <w:rsid w:val="00D34722"/>
    <w:rsid w:val="00D40A81"/>
    <w:rsid w:val="00D43CFF"/>
    <w:rsid w:val="00D619A7"/>
    <w:rsid w:val="00D628E1"/>
    <w:rsid w:val="00D70B7A"/>
    <w:rsid w:val="00D85ED6"/>
    <w:rsid w:val="00D93A55"/>
    <w:rsid w:val="00DB0F8B"/>
    <w:rsid w:val="00DB4F31"/>
    <w:rsid w:val="00DC3055"/>
    <w:rsid w:val="00DE1DC9"/>
    <w:rsid w:val="00DE1FF4"/>
    <w:rsid w:val="00DE2FB8"/>
    <w:rsid w:val="00DE7BF5"/>
    <w:rsid w:val="00E033E2"/>
    <w:rsid w:val="00E212FA"/>
    <w:rsid w:val="00E26426"/>
    <w:rsid w:val="00E30BEF"/>
    <w:rsid w:val="00E41977"/>
    <w:rsid w:val="00E4392B"/>
    <w:rsid w:val="00E467FC"/>
    <w:rsid w:val="00E50E28"/>
    <w:rsid w:val="00E673BB"/>
    <w:rsid w:val="00E67CFA"/>
    <w:rsid w:val="00E74038"/>
    <w:rsid w:val="00E824DD"/>
    <w:rsid w:val="00E916AD"/>
    <w:rsid w:val="00E97E4D"/>
    <w:rsid w:val="00EA2A8D"/>
    <w:rsid w:val="00EA7260"/>
    <w:rsid w:val="00EB128D"/>
    <w:rsid w:val="00EC3337"/>
    <w:rsid w:val="00ED3E40"/>
    <w:rsid w:val="00ED3E93"/>
    <w:rsid w:val="00EE43FB"/>
    <w:rsid w:val="00EF3544"/>
    <w:rsid w:val="00EF770C"/>
    <w:rsid w:val="00F009DF"/>
    <w:rsid w:val="00F0155E"/>
    <w:rsid w:val="00F01E5B"/>
    <w:rsid w:val="00F0607C"/>
    <w:rsid w:val="00F15F84"/>
    <w:rsid w:val="00F16253"/>
    <w:rsid w:val="00F16954"/>
    <w:rsid w:val="00F2575A"/>
    <w:rsid w:val="00F35896"/>
    <w:rsid w:val="00F54436"/>
    <w:rsid w:val="00F5456D"/>
    <w:rsid w:val="00F57F8D"/>
    <w:rsid w:val="00F67964"/>
    <w:rsid w:val="00F7230D"/>
    <w:rsid w:val="00F732BA"/>
    <w:rsid w:val="00F73B8D"/>
    <w:rsid w:val="00F75356"/>
    <w:rsid w:val="00F81243"/>
    <w:rsid w:val="00F83DB8"/>
    <w:rsid w:val="00F90E82"/>
    <w:rsid w:val="00F9214E"/>
    <w:rsid w:val="00F93D52"/>
    <w:rsid w:val="00FA52A0"/>
    <w:rsid w:val="00FB0579"/>
    <w:rsid w:val="00FC288D"/>
    <w:rsid w:val="00FC3F16"/>
    <w:rsid w:val="00FC578E"/>
    <w:rsid w:val="00FD0152"/>
    <w:rsid w:val="00FD0299"/>
    <w:rsid w:val="00FD1E9C"/>
    <w:rsid w:val="00FD63DA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D8A002-C50F-456E-9D51-4DDFB241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8B6862"/>
    <w:pPr>
      <w:keepNext/>
      <w:jc w:val="center"/>
      <w:outlineLvl w:val="0"/>
    </w:pPr>
    <w:rPr>
      <w:rFonts w:ascii="TmsCyr" w:hAnsi="TmsCyr"/>
      <w:sz w:val="24"/>
    </w:rPr>
  </w:style>
  <w:style w:type="paragraph" w:styleId="Heading3">
    <w:name w:val="heading 3"/>
    <w:basedOn w:val="Normal"/>
    <w:next w:val="Normal"/>
    <w:link w:val="Heading3Char"/>
    <w:qFormat/>
    <w:rsid w:val="008B68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6862"/>
    <w:rPr>
      <w:rFonts w:ascii="TmsCyr" w:eastAsia="Times New Roman" w:hAnsi="TmsCyr" w:cs="Times New Roman"/>
      <w:sz w:val="24"/>
      <w:szCs w:val="20"/>
      <w:lang w:eastAsia="bg-BG"/>
    </w:rPr>
  </w:style>
  <w:style w:type="character" w:customStyle="1" w:styleId="Heading3Char">
    <w:name w:val="Heading 3 Char"/>
    <w:basedOn w:val="DefaultParagraphFont"/>
    <w:link w:val="Heading3"/>
    <w:rsid w:val="008B6862"/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BodyText">
    <w:name w:val="Body Text"/>
    <w:basedOn w:val="Normal"/>
    <w:link w:val="BodyTextChar"/>
    <w:rsid w:val="008B6862"/>
    <w:rPr>
      <w:sz w:val="24"/>
    </w:rPr>
  </w:style>
  <w:style w:type="character" w:customStyle="1" w:styleId="BodyTextChar">
    <w:name w:val="Body Text Char"/>
    <w:basedOn w:val="DefaultParagraphFont"/>
    <w:link w:val="BodyText"/>
    <w:rsid w:val="008B68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B6862"/>
    <w:pPr>
      <w:ind w:left="720"/>
      <w:contextualSpacing/>
    </w:pPr>
  </w:style>
  <w:style w:type="paragraph" w:customStyle="1" w:styleId="Default">
    <w:name w:val="Default"/>
    <w:uiPriority w:val="99"/>
    <w:rsid w:val="00941E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E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E9F"/>
    <w:rPr>
      <w:rFonts w:ascii="Segoe UI" w:eastAsia="Times New Roman" w:hAnsi="Segoe UI" w:cs="Segoe UI"/>
      <w:sz w:val="18"/>
      <w:szCs w:val="18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756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7F1"/>
  </w:style>
  <w:style w:type="character" w:customStyle="1" w:styleId="CommentTextChar">
    <w:name w:val="Comment Text Char"/>
    <w:basedOn w:val="DefaultParagraphFont"/>
    <w:link w:val="CommentText"/>
    <w:uiPriority w:val="99"/>
    <w:rsid w:val="007567F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7F1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alt">
    <w:name w:val="al_t"/>
    <w:basedOn w:val="DefaultParagraphFont"/>
    <w:qFormat/>
    <w:rsid w:val="009D23C2"/>
  </w:style>
  <w:style w:type="character" w:customStyle="1" w:styleId="greenlight">
    <w:name w:val="greenlight"/>
    <w:basedOn w:val="DefaultParagraphFont"/>
    <w:qFormat/>
    <w:rsid w:val="009D23C2"/>
  </w:style>
  <w:style w:type="paragraph" w:styleId="NormalWeb">
    <w:name w:val="Normal (Web)"/>
    <w:basedOn w:val="Normal"/>
    <w:uiPriority w:val="99"/>
    <w:unhideWhenUsed/>
    <w:rsid w:val="00DE1FF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hllightgreen">
    <w:name w:val="hl_lightgreen"/>
    <w:rsid w:val="00DE1FF4"/>
  </w:style>
  <w:style w:type="character" w:customStyle="1" w:styleId="hlyellow">
    <w:name w:val="hl_yellow"/>
    <w:rsid w:val="00DE1FF4"/>
  </w:style>
  <w:style w:type="paragraph" w:styleId="Header">
    <w:name w:val="header"/>
    <w:basedOn w:val="Normal"/>
    <w:link w:val="HeaderChar"/>
    <w:uiPriority w:val="99"/>
    <w:unhideWhenUsed/>
    <w:rsid w:val="0065721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21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5721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218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3048</Words>
  <Characters>17377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stanislavova_m</dc:creator>
  <cp:lastModifiedBy>Ivan Milushev</cp:lastModifiedBy>
  <cp:revision>2</cp:revision>
  <cp:lastPrinted>2025-12-23T16:22:00Z</cp:lastPrinted>
  <dcterms:created xsi:type="dcterms:W3CDTF">2026-03-20T13:30:00Z</dcterms:created>
  <dcterms:modified xsi:type="dcterms:W3CDTF">2026-03-20T13:30:00Z</dcterms:modified>
</cp:coreProperties>
</file>