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b/>
          <w:sz w:val="24"/>
          <w:u w:val="single"/>
        </w:rPr>
        <w:id w:val="608786574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:rsidR="002F7F04" w:rsidRDefault="00381C5D" w:rsidP="00F674D5">
          <w:pPr>
            <w:spacing w:after="100" w:afterAutospacing="1"/>
          </w:pPr>
          <w:r>
            <w:rPr>
              <w:noProof/>
              <w:lang w:val="bg-BG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авоъгъл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авоъгъл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FDC011B" id="Група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">
                    <v:shape id="Правоъгъл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" path="m,l7312660,r,1129665l3619500,733425,,1091565,,xe" fillcolor="#0f6fc6 [3204]" stroked="f" strokeweight="1.25pt">
                      <v:path arrowok="t" o:connecttype="custom" o:connectlocs="0,0;7315200,0;7315200,1130373;3620757,733885;0,1092249;0,0" o:connectangles="0,0,0,0,0,0"/>
                    </v:shape>
                    <v:rect id="Правоъгъл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" stroked="f" strokeweight="1.25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bg-BG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04" w:rsidRDefault="002F7F0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3/LtCoQIAAHI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p w:rsidR="002F7F04" w:rsidRDefault="002F7F04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bg-BG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04" w:rsidRDefault="002F7F0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Текстово поле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" filled="f" stroked="f" strokeweight=".5pt">
                    <v:textbox style="mso-fit-shape-to-text:t" inset="126pt,0,54pt,0">
                      <w:txbxContent>
                        <w:p w:rsidR="002F7F04" w:rsidRDefault="002F7F04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bg-BG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04" w:rsidRDefault="009A119C">
                                <w:pPr>
                                  <w:pStyle w:val="P68B1DB1-Normal1"/>
                                  <w:jc w:val="right"/>
                                </w:pPr>
                                <w:sdt>
                                  <w:sdtPr>
                                    <w:rPr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96C43">
                                      <w:rPr>
                                        <w:szCs w:val="64"/>
                                        <w:lang w:val="bg-BG"/>
                                      </w:rPr>
                                      <w:t xml:space="preserve">цифрова </w:t>
                                    </w:r>
                                    <w:r w:rsidR="00C96C43">
                                      <w:rPr>
                                        <w:szCs w:val="64"/>
                                        <w:lang w:val="bg-BG"/>
                                      </w:rPr>
                                      <w:br/>
                                      <w:t>свързаност</w:t>
                                    </w:r>
                                    <w:r w:rsidR="00C96C43">
                                      <w:rPr>
                                        <w:szCs w:val="64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C96C43">
                                      <w:rPr>
                                        <w:szCs w:val="64"/>
                                        <w:lang w:val="bg-BG"/>
                                      </w:rPr>
                                      <w:t>В БЪЛГАРИЯ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F7F04" w:rsidRDefault="005656D9">
                                    <w:pPr>
                                      <w:pStyle w:val="P68B1DB1-Normal2"/>
                                      <w:jc w:val="right"/>
                                      <w:rPr>
                                        <w:smallCaps/>
                                      </w:rPr>
                                    </w:pPr>
                                    <w:r>
                                      <w:rPr>
                                        <w:lang w:val="bg-BG"/>
                                      </w:rPr>
                                      <w:t>Методология за картографиране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Текстово поле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BWcizjpgIAAHoFAAAOAAAAAAAAAAAAAAAAAC4C&#10;AABkcnMvZTJvRG9jLnhtbFBLAQItABQABgAIAAAAIQDDTVCA2wAAAAYBAAAPAAAAAAAAAAAAAAAA&#10;AAAFAABkcnMvZG93bnJldi54bWxQSwUGAAAAAAQABADzAAAACAYAAAAA&#10;" filled="f" stroked="f" strokeweight=".5pt">
                    <v:textbox inset="126pt,0,54pt,0">
                      <w:txbxContent>
                        <w:p w:rsidR="002F7F04" w:rsidRDefault="00446A23">
                          <w:pPr>
                            <w:pStyle w:val="P68B1DB1-Normal1"/>
                            <w:jc w:val="right"/>
                          </w:pPr>
                          <w:sdt>
                            <w:sdtPr>
                              <w:rPr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96C43">
                                <w:rPr>
                                  <w:szCs w:val="64"/>
                                  <w:lang w:val="bg-BG"/>
                                </w:rPr>
                                <w:t xml:space="preserve">цифрова </w:t>
                              </w:r>
                              <w:r w:rsidR="00C96C43">
                                <w:rPr>
                                  <w:szCs w:val="64"/>
                                  <w:lang w:val="bg-BG"/>
                                </w:rPr>
                                <w:br/>
                                <w:t>свързаност</w:t>
                              </w:r>
                              <w:r w:rsidR="00C96C43">
                                <w:rPr>
                                  <w:szCs w:val="64"/>
                                  <w:lang w:val="en-US"/>
                                </w:rPr>
                                <w:t xml:space="preserve"> </w:t>
                              </w:r>
                              <w:r w:rsidR="00C96C43">
                                <w:rPr>
                                  <w:szCs w:val="64"/>
                                  <w:lang w:val="bg-BG"/>
                                </w:rPr>
                                <w:t>В БЪЛГАРИЯ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F7F04" w:rsidRDefault="005656D9">
                              <w:pPr>
                                <w:pStyle w:val="P68B1DB1-Normal2"/>
                                <w:jc w:val="right"/>
                                <w:rPr>
                                  <w:smallCaps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Методология за картографиране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2F7F04" w:rsidRDefault="00381C5D" w:rsidP="00F674D5">
          <w:pPr>
            <w:pStyle w:val="P68B1DB1-Normal3"/>
            <w:spacing w:after="100" w:afterAutospacing="1"/>
          </w:pPr>
          <w:r>
            <w:br w:type="page"/>
          </w:r>
        </w:p>
      </w:sdtContent>
    </w:sdt>
    <w:p w:rsidR="002F7F04" w:rsidRDefault="002F7F04" w:rsidP="00F674D5">
      <w:pPr>
        <w:spacing w:after="100" w:afterAutospacing="1" w:line="276" w:lineRule="auto"/>
        <w:jc w:val="center"/>
        <w:rPr>
          <w:rFonts w:ascii="Times New Roman" w:hAnsi="Times New Roman" w:cs="Times New Roman"/>
          <w:b/>
          <w:sz w:val="24"/>
          <w:u w:val="single"/>
        </w:rPr>
        <w:sectPr w:rsidR="002F7F04" w:rsidSect="00680EAC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2F7F04" w:rsidRDefault="00381C5D" w:rsidP="00F674D5">
      <w:pPr>
        <w:pStyle w:val="P68B1DB1-Normal4"/>
        <w:spacing w:after="100" w:afterAutospacing="1" w:line="276" w:lineRule="auto"/>
        <w:jc w:val="both"/>
      </w:pPr>
      <w:bookmarkStart w:id="1" w:name="_TOC_250008"/>
      <w:r>
        <w:lastRenderedPageBreak/>
        <w:t xml:space="preserve">Основни аспекти на </w:t>
      </w:r>
      <w:bookmarkEnd w:id="1"/>
      <w:r>
        <w:t>методологията</w:t>
      </w:r>
    </w:p>
    <w:p w:rsidR="002F7F04" w:rsidRPr="005656D9" w:rsidRDefault="00381C5D" w:rsidP="00F674D5">
      <w:pPr>
        <w:pStyle w:val="P68B1DB1-Normal5"/>
        <w:spacing w:after="100" w:afterAutospacing="1" w:line="276" w:lineRule="auto"/>
        <w:jc w:val="both"/>
        <w:rPr>
          <w:lang w:val="bg-BG"/>
        </w:rPr>
      </w:pPr>
      <w:r>
        <w:t xml:space="preserve">Събирането на данни </w:t>
      </w:r>
      <w:r w:rsidR="00EC6703">
        <w:rPr>
          <w:lang w:val="bg-BG"/>
        </w:rPr>
        <w:t>за</w:t>
      </w:r>
      <w:r>
        <w:t xml:space="preserve"> покритието е извършено по методика, разработена от </w:t>
      </w:r>
      <w:r w:rsidR="005656D9" w:rsidRPr="005656D9">
        <w:t>Национална</w:t>
      </w:r>
      <w:r w:rsidR="00C96C43">
        <w:rPr>
          <w:lang w:val="bg-BG"/>
        </w:rPr>
        <w:t>та</w:t>
      </w:r>
      <w:r w:rsidR="005656D9" w:rsidRPr="005656D9">
        <w:t xml:space="preserve"> компетентна служба в областта на широколентовия достъп (Broadband Competence Office – BCO)</w:t>
      </w:r>
      <w:r w:rsidR="00EC6703">
        <w:rPr>
          <w:lang w:val="bg-BG"/>
        </w:rPr>
        <w:t xml:space="preserve"> в България</w:t>
      </w:r>
      <w:r w:rsidR="005656D9">
        <w:rPr>
          <w:lang w:val="bg-BG"/>
        </w:rPr>
        <w:t xml:space="preserve"> </w:t>
      </w:r>
      <w:r w:rsidR="00D914FC">
        <w:rPr>
          <w:lang w:val="bg-BG"/>
        </w:rPr>
        <w:t>на ниво</w:t>
      </w:r>
      <w:r>
        <w:t xml:space="preserve"> растер</w:t>
      </w:r>
      <w:r w:rsidR="00066032">
        <w:rPr>
          <w:lang w:val="bg-BG"/>
        </w:rPr>
        <w:t>но изображение</w:t>
      </w:r>
      <w:r w:rsidR="00187BB8">
        <w:rPr>
          <w:lang w:val="bg-BG"/>
        </w:rPr>
        <w:t xml:space="preserve"> </w:t>
      </w:r>
      <w:r>
        <w:t>на покритието. За тази цел е създаден растер с дължина 100</w:t>
      </w:r>
      <w:r w:rsidR="008B60FC">
        <w:rPr>
          <w:lang w:val="en-US"/>
        </w:rPr>
        <w:t>x100</w:t>
      </w:r>
      <w:r>
        <w:t xml:space="preserve"> метра, </w:t>
      </w:r>
      <w:r w:rsidR="00D914FC">
        <w:rPr>
          <w:lang w:val="bg-BG"/>
        </w:rPr>
        <w:t>използвайки</w:t>
      </w:r>
      <w:r>
        <w:t xml:space="preserve"> ESRI Shapefile</w:t>
      </w:r>
      <w:r w:rsidR="00EC6703">
        <w:rPr>
          <w:lang w:val="bg-BG"/>
        </w:rPr>
        <w:t xml:space="preserve"> </w:t>
      </w:r>
      <w:r w:rsidR="00B240F2">
        <w:rPr>
          <w:lang w:val="bg-BG"/>
        </w:rPr>
        <w:t>формат</w:t>
      </w:r>
      <w:r w:rsidR="00B240F2">
        <w:rPr>
          <w:lang w:val="en-US"/>
        </w:rPr>
        <w:t xml:space="preserve"> (</w:t>
      </w:r>
      <w:r w:rsidR="00B240F2" w:rsidRPr="00B240F2">
        <w:rPr>
          <w:lang w:val="en-US"/>
        </w:rPr>
        <w:t>формат за векторни географски данни</w:t>
      </w:r>
      <w:r w:rsidR="00B240F2">
        <w:rPr>
          <w:lang w:val="en-US"/>
        </w:rPr>
        <w:t>)</w:t>
      </w:r>
      <w:r>
        <w:t>.</w:t>
      </w:r>
    </w:p>
    <w:p w:rsidR="002F7F04" w:rsidRDefault="00714E09" w:rsidP="00F674D5">
      <w:pPr>
        <w:pStyle w:val="P68B1DB1-Normal4"/>
        <w:spacing w:after="100" w:afterAutospacing="1" w:line="276" w:lineRule="auto"/>
        <w:jc w:val="both"/>
      </w:pPr>
      <w:bookmarkStart w:id="2" w:name="_TOC_250007"/>
      <w:bookmarkEnd w:id="2"/>
      <w:r>
        <w:t>Процедура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Министерство</w:t>
      </w:r>
      <w:r w:rsidR="00921892">
        <w:rPr>
          <w:lang w:val="bg-BG"/>
        </w:rPr>
        <w:t>то</w:t>
      </w:r>
      <w:r>
        <w:t xml:space="preserve"> на транспорта и съобщенията</w:t>
      </w:r>
      <w:r w:rsidR="00921892">
        <w:rPr>
          <w:lang w:val="bg-BG"/>
        </w:rPr>
        <w:t xml:space="preserve"> </w:t>
      </w:r>
      <w:r w:rsidR="00714E09">
        <w:rPr>
          <w:lang w:val="bg-BG"/>
        </w:rPr>
        <w:t>предостави</w:t>
      </w:r>
      <w:r>
        <w:t xml:space="preserve"> приложение за лесно и </w:t>
      </w:r>
      <w:r w:rsidR="00714E09">
        <w:rPr>
          <w:lang w:val="bg-BG"/>
        </w:rPr>
        <w:t>удобно</w:t>
      </w:r>
      <w:r>
        <w:t xml:space="preserve"> </w:t>
      </w:r>
      <w:r w:rsidR="00714E09">
        <w:rPr>
          <w:lang w:val="bg-BG"/>
        </w:rPr>
        <w:t>въвеждане</w:t>
      </w:r>
      <w:r>
        <w:t xml:space="preserve"> на информация за </w:t>
      </w:r>
      <w:r w:rsidR="00187BB8">
        <w:rPr>
          <w:lang w:val="bg-BG"/>
        </w:rPr>
        <w:t>широколентовия</w:t>
      </w:r>
      <w:r>
        <w:t xml:space="preserve"> достъп до интернет</w:t>
      </w:r>
      <w:r w:rsidR="00BE2FDD">
        <w:rPr>
          <w:lang w:val="en-US"/>
        </w:rPr>
        <w:t xml:space="preserve">, както и </w:t>
      </w:r>
      <w:r w:rsidR="00B240F2">
        <w:rPr>
          <w:lang w:val="bg-BG"/>
        </w:rPr>
        <w:t xml:space="preserve">визуализирането му </w:t>
      </w:r>
      <w:r w:rsidR="00F60721">
        <w:rPr>
          <w:lang w:val="bg-BG"/>
        </w:rPr>
        <w:t>в растерен формат</w:t>
      </w:r>
      <w:r>
        <w:t xml:space="preserve">. Растерите се състоят от матрица от пиксели (наричани още клетки), всеки от които съдържа стойност, която представлява условията за </w:t>
      </w:r>
      <w:r w:rsidR="00C96C43">
        <w:rPr>
          <w:lang w:val="bg-BG"/>
        </w:rPr>
        <w:t xml:space="preserve">съответната географска </w:t>
      </w:r>
      <w:r>
        <w:t xml:space="preserve">област, </w:t>
      </w:r>
      <w:r w:rsidR="00714E09">
        <w:rPr>
          <w:lang w:val="bg-BG"/>
        </w:rPr>
        <w:t xml:space="preserve">покрита </w:t>
      </w:r>
      <w:r>
        <w:t>от тази клетка. Растерни</w:t>
      </w:r>
      <w:r w:rsidR="00714E09">
        <w:rPr>
          <w:lang w:val="bg-BG"/>
        </w:rPr>
        <w:t>те</w:t>
      </w:r>
      <w:r>
        <w:t xml:space="preserve"> данни се използват в ГИС приложение, когато искаме да покажем информация, която е непрекъсната </w:t>
      </w:r>
      <w:r w:rsidR="00BE2FDD">
        <w:rPr>
          <w:lang w:val="bg-BG"/>
        </w:rPr>
        <w:t>за</w:t>
      </w:r>
      <w:r w:rsidR="00BE2FDD">
        <w:t xml:space="preserve"> </w:t>
      </w:r>
      <w:r>
        <w:t xml:space="preserve">дадена област и не може лесно да бъде разделена на векторни функции. След като бъдат предоставени, данните са постоянно достъпни и могат да бъдат редактирани и актуализирани по всяко време. Проучването е проведено за следните категории </w:t>
      </w:r>
      <w:r w:rsidR="00BE2FDD">
        <w:rPr>
          <w:lang w:val="bg-BG"/>
        </w:rPr>
        <w:t>широколентова свързаност</w:t>
      </w:r>
      <w:r>
        <w:t xml:space="preserve"> (информацията за широчината на честотната лента винаги се отнася до минималната широчина на честотната лента надолу по веригата):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F7F04" w:rsidTr="00921892">
        <w:trPr>
          <w:jc w:val="center"/>
        </w:trPr>
        <w:tc>
          <w:tcPr>
            <w:tcW w:w="9062" w:type="dxa"/>
            <w:gridSpan w:val="2"/>
          </w:tcPr>
          <w:p w:rsidR="002F7F04" w:rsidRPr="004B4A24" w:rsidRDefault="00BE2FDD" w:rsidP="00F674D5">
            <w:pPr>
              <w:pStyle w:val="P68B1DB1-Normal5"/>
              <w:spacing w:after="100" w:afterAutospacing="1" w:line="276" w:lineRule="auto"/>
              <w:jc w:val="center"/>
              <w:rPr>
                <w:b/>
                <w:lang w:val="bg-BG"/>
              </w:rPr>
            </w:pPr>
            <w:r w:rsidRPr="004B4A24">
              <w:rPr>
                <w:b/>
                <w:lang w:val="bg-BG"/>
              </w:rPr>
              <w:t>Широколентова свързаност</w:t>
            </w:r>
          </w:p>
        </w:tc>
      </w:tr>
      <w:tr w:rsidR="002F7F04" w:rsidTr="00921892">
        <w:trPr>
          <w:jc w:val="center"/>
        </w:trPr>
        <w:tc>
          <w:tcPr>
            <w:tcW w:w="4531" w:type="dxa"/>
          </w:tcPr>
          <w:p w:rsidR="002F7F04" w:rsidRPr="004B4A24" w:rsidRDefault="00381C5D" w:rsidP="00F674D5">
            <w:pPr>
              <w:pStyle w:val="P68B1DB1-Normal5"/>
              <w:spacing w:after="100" w:afterAutospacing="1" w:line="276" w:lineRule="auto"/>
              <w:jc w:val="center"/>
              <w:rPr>
                <w:b/>
              </w:rPr>
            </w:pPr>
            <w:r w:rsidRPr="004B4A24">
              <w:rPr>
                <w:b/>
              </w:rPr>
              <w:t>За мобилна мрежа</w:t>
            </w:r>
          </w:p>
        </w:tc>
        <w:tc>
          <w:tcPr>
            <w:tcW w:w="4531" w:type="dxa"/>
          </w:tcPr>
          <w:p w:rsidR="002F7F04" w:rsidRPr="004B4A24" w:rsidRDefault="00381C5D" w:rsidP="00F674D5">
            <w:pPr>
              <w:pStyle w:val="P68B1DB1-Normal5"/>
              <w:spacing w:after="100" w:afterAutospacing="1" w:line="276" w:lineRule="auto"/>
              <w:jc w:val="center"/>
              <w:rPr>
                <w:b/>
              </w:rPr>
            </w:pPr>
            <w:r w:rsidRPr="004B4A24">
              <w:rPr>
                <w:b/>
              </w:rPr>
              <w:t>За фиксирана мрежа</w:t>
            </w:r>
          </w:p>
        </w:tc>
      </w:tr>
      <w:tr w:rsidR="002F7F04" w:rsidTr="00921892">
        <w:trPr>
          <w:jc w:val="center"/>
        </w:trPr>
        <w:tc>
          <w:tcPr>
            <w:tcW w:w="4531" w:type="dxa"/>
          </w:tcPr>
          <w:p w:rsidR="002F7F04" w:rsidRDefault="005656D9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rPr>
                <w:lang w:val="bg-BG"/>
              </w:rPr>
              <w:t>&lt;</w:t>
            </w:r>
            <w:r w:rsidR="00D914FC">
              <w:rPr>
                <w:lang w:val="bg-BG"/>
              </w:rPr>
              <w:t xml:space="preserve"> </w:t>
            </w:r>
            <w:r w:rsidR="00381C5D">
              <w:t>100 Mbps</w:t>
            </w:r>
          </w:p>
        </w:tc>
        <w:tc>
          <w:tcPr>
            <w:tcW w:w="4531" w:type="dxa"/>
          </w:tcPr>
          <w:p w:rsidR="002F7F04" w:rsidRDefault="00D914FC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rPr>
                <w:lang w:val="bg-BG"/>
              </w:rPr>
              <w:t>&lt;</w:t>
            </w:r>
            <w:r w:rsidR="00381C5D">
              <w:t>100 Mbps</w:t>
            </w:r>
          </w:p>
        </w:tc>
      </w:tr>
      <w:tr w:rsidR="002F7F04" w:rsidTr="00921892">
        <w:trPr>
          <w:jc w:val="center"/>
        </w:trPr>
        <w:tc>
          <w:tcPr>
            <w:tcW w:w="4531" w:type="dxa"/>
          </w:tcPr>
          <w:p w:rsidR="002F7F04" w:rsidRDefault="00D914FC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rPr>
                <w:lang w:val="bg-BG"/>
              </w:rPr>
              <w:t>&lt;</w:t>
            </w:r>
            <w:r w:rsidR="00381C5D">
              <w:t xml:space="preserve"> 1000 Mbps</w:t>
            </w:r>
          </w:p>
        </w:tc>
        <w:tc>
          <w:tcPr>
            <w:tcW w:w="4531" w:type="dxa"/>
          </w:tcPr>
          <w:p w:rsidR="002F7F04" w:rsidRDefault="00D914FC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rPr>
                <w:lang w:val="bg-BG"/>
              </w:rPr>
              <w:t>&lt;</w:t>
            </w:r>
            <w:r w:rsidR="00381C5D">
              <w:t>300 Mbps</w:t>
            </w:r>
          </w:p>
        </w:tc>
      </w:tr>
      <w:tr w:rsidR="002F7F04" w:rsidTr="00921892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t>&gt; 1000 Mbps</w:t>
            </w:r>
          </w:p>
        </w:tc>
        <w:tc>
          <w:tcPr>
            <w:tcW w:w="4531" w:type="dxa"/>
          </w:tcPr>
          <w:p w:rsidR="002F7F04" w:rsidRDefault="00D914FC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rPr>
                <w:lang w:val="bg-BG"/>
              </w:rPr>
              <w:t>&lt;</w:t>
            </w:r>
            <w:r w:rsidR="00381C5D">
              <w:t xml:space="preserve"> 1000 Mbps</w:t>
            </w:r>
          </w:p>
        </w:tc>
      </w:tr>
      <w:tr w:rsidR="002F7F04" w:rsidTr="00921892">
        <w:trPr>
          <w:jc w:val="center"/>
        </w:trPr>
        <w:tc>
          <w:tcPr>
            <w:tcW w:w="4531" w:type="dxa"/>
          </w:tcPr>
          <w:p w:rsidR="002F7F04" w:rsidRDefault="002F7F04" w:rsidP="00F674D5">
            <w:pPr>
              <w:spacing w:after="100" w:afterAutospacing="1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center"/>
            </w:pPr>
            <w:r>
              <w:t>&gt; 1000 Mbps</w:t>
            </w:r>
          </w:p>
        </w:tc>
      </w:tr>
    </w:tbl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2F7F04" w:rsidRPr="00187BB8" w:rsidRDefault="00381C5D" w:rsidP="00F674D5">
      <w:pPr>
        <w:pStyle w:val="P68B1DB1-Normal5"/>
        <w:spacing w:after="100" w:afterAutospacing="1" w:line="276" w:lineRule="auto"/>
        <w:jc w:val="both"/>
        <w:rPr>
          <w:b/>
        </w:rPr>
      </w:pPr>
      <w:r w:rsidRPr="00187BB8">
        <w:rPr>
          <w:b/>
        </w:rPr>
        <w:t xml:space="preserve">При събирането на данни </w:t>
      </w:r>
      <w:r w:rsidR="008B60FC" w:rsidRPr="00187BB8">
        <w:rPr>
          <w:b/>
          <w:lang w:val="bg-BG"/>
        </w:rPr>
        <w:t>са отчетени</w:t>
      </w:r>
      <w:r w:rsidRPr="00187BB8">
        <w:rPr>
          <w:b/>
        </w:rPr>
        <w:t xml:space="preserve"> следните технологии за мрежи: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</w:tblGrid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Фиксирани и мобилни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FTTH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FTTB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FTTx bitstream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FTTN/C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LTE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3G, 4G, 5G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5G в 3,4—3,8 GHz</w:t>
            </w:r>
          </w:p>
        </w:tc>
      </w:tr>
      <w:tr w:rsidR="002F7F04">
        <w:trPr>
          <w:jc w:val="center"/>
        </w:trPr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друго</w:t>
            </w:r>
          </w:p>
        </w:tc>
      </w:tr>
    </w:tbl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8938A1" w:rsidRDefault="008938A1" w:rsidP="00F674D5">
      <w:pPr>
        <w:pStyle w:val="P68B1DB1-Normal5"/>
        <w:spacing w:after="100" w:afterAutospacing="1" w:line="276" w:lineRule="auto"/>
        <w:jc w:val="both"/>
      </w:pPr>
      <w:r>
        <w:t xml:space="preserve">За България е важно да се справи с проблема с недостатъчното покритие на цифровата инфраструктура в слабо населените, отдалечените и селските райони, тъй като това е трайно предизвикателство за 5G безжичната и гигабитовата свързаност. Такъв е по-специално случаят с публичното финансиране, особено в селските, отдалечените и слабо </w:t>
      </w:r>
      <w:r>
        <w:lastRenderedPageBreak/>
        <w:t xml:space="preserve">населените райони, където операторите нямат търговски движещи сили да инвестират във внедряването на </w:t>
      </w:r>
      <w:r w:rsidR="004B4A24" w:rsidRPr="004B4A24">
        <w:t>мрежи с много голям капацитет (ММГК)</w:t>
      </w:r>
      <w:r>
        <w:t>. Използването на високоскоростен широколентов достъп е слабо, като делът на абонаментите за фиксиран широколентов достъп е 53,4 % за скорости &gt; 100 Mbps (под средното за ЕС) и 1 % за скорости &gt; 1 Gbps. Високите цени на гигабитовите услуги са проблем предвид ниската покупателна способност на средния интернет потребител в страната.</w:t>
      </w:r>
    </w:p>
    <w:p w:rsidR="008938A1" w:rsidRDefault="008938A1" w:rsidP="00F674D5">
      <w:pPr>
        <w:pStyle w:val="P68B1DB1-Normal5"/>
        <w:spacing w:after="100" w:afterAutospacing="1" w:line="276" w:lineRule="auto"/>
        <w:jc w:val="both"/>
      </w:pPr>
      <w:r>
        <w:t>Мрежите с много голям капацитет (</w:t>
      </w:r>
      <w:r w:rsidR="004B4A24" w:rsidRPr="004B4A24">
        <w:t>ММГК</w:t>
      </w:r>
      <w:r>
        <w:t>) са необходими, за да се увеличи максимално потенциалът за растеж на цифровата икономика. Способността за незабавно предаване и високата надеждност ще позволят на стотици устройства да си сътрудничат в реално време. Първият видим ефект от високоскоростните мрежи е да се увеличи скоростта на устройствата при изтегляне и обмен на информация.</w:t>
      </w:r>
    </w:p>
    <w:p w:rsidR="008938A1" w:rsidRDefault="004F6BAC" w:rsidP="00F674D5">
      <w:pPr>
        <w:pStyle w:val="P68B1DB1-Normal5"/>
        <w:spacing w:after="100" w:afterAutospacing="1" w:line="276" w:lineRule="auto"/>
        <w:jc w:val="both"/>
      </w:pPr>
      <w:r w:rsidRPr="004F6BAC">
        <w:t xml:space="preserve">В България значителна част от населението все още не е в състояние да се свърже с високоскоростни мрежи, което представлява значителна пречка пред прехода на страната към общество на гигабитов интернет. Това цифрово разделение не само </w:t>
      </w:r>
      <w:r>
        <w:t>забавя</w:t>
      </w:r>
      <w:r w:rsidRPr="004F6BAC">
        <w:t xml:space="preserve"> икономическия и технологичния растеж, но и изостря обезлюдяването на селските райони в обширни </w:t>
      </w:r>
      <w:r>
        <w:t>части от страната</w:t>
      </w:r>
      <w:r w:rsidRPr="004F6BAC">
        <w:t xml:space="preserve">. Следователно стратегическата цел е двойна: първо, да се подсили свързаността в населените места с недостатъчно обслужване, и второ, да се осигури универсален достъп до </w:t>
      </w:r>
      <w:r w:rsidR="004B4A24" w:rsidRPr="004B4A24">
        <w:t xml:space="preserve">ММГК </w:t>
      </w:r>
      <w:r w:rsidRPr="004F6BAC">
        <w:t>за всички български граждани.</w:t>
      </w:r>
    </w:p>
    <w:p w:rsidR="004F6BAC" w:rsidRDefault="004C2060" w:rsidP="00F674D5">
      <w:pPr>
        <w:pStyle w:val="P68B1DB1-Normal5"/>
        <w:spacing w:after="100" w:afterAutospacing="1" w:line="276" w:lineRule="auto"/>
        <w:jc w:val="both"/>
      </w:pPr>
      <w:r>
        <w:rPr>
          <w:lang w:val="bg-BG"/>
        </w:rPr>
        <w:t xml:space="preserve">В тази връзка, България предвижда публично финансиране с фокус именно ММГК. </w:t>
      </w:r>
      <w:r w:rsidR="004B4A24">
        <w:t>О</w:t>
      </w:r>
      <w:r w:rsidR="004F6BAC">
        <w:t>бхват</w:t>
      </w:r>
      <w:r w:rsidR="004B4A24">
        <w:t>ът</w:t>
      </w:r>
      <w:r w:rsidR="004F6BAC">
        <w:t xml:space="preserve"> на интервенцията ще бъде ограничен до предоставянето на преносна връзка чрез оптични влакна, включително пасивната част и съответните активни елементи, до области, които понастоящем нямат и няма да разполагат до 30 юни 2026 г. с оптичен пренос, който позволява да се справят с услугите, произтичащи от прилагането на капацитета и характеристиките на </w:t>
      </w:r>
      <w:r w:rsidR="004B4A24">
        <w:t>ММГК</w:t>
      </w:r>
      <w:r w:rsidR="004F6BAC">
        <w:t>, включително 5G. Предоставянето на тези връзки за пренос стимулира възможно най-широкото използване на съществуващата инфраструктура.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В таблицата по-долу от доклада на </w:t>
      </w:r>
      <w:r w:rsidR="00C96C43" w:rsidRPr="00137575">
        <w:t>изследователската</w:t>
      </w:r>
      <w:r w:rsidR="00137575" w:rsidRPr="00137575">
        <w:t xml:space="preserve"> компания Omdia </w:t>
      </w:r>
      <w:r w:rsidR="00137575" w:rsidRPr="00187BB8">
        <w:t xml:space="preserve"> за широколентовия достъп </w:t>
      </w:r>
      <w:r>
        <w:t xml:space="preserve">за 2023 г. </w:t>
      </w:r>
      <w:r w:rsidR="00137575" w:rsidRPr="00187BB8">
        <w:t>е</w:t>
      </w:r>
      <w:r w:rsidR="00137575">
        <w:t xml:space="preserve"> </w:t>
      </w:r>
      <w:r>
        <w:t xml:space="preserve">представено състоянието на широколентовото покритие </w:t>
      </w:r>
      <w:r w:rsidR="00137575">
        <w:t>в България</w:t>
      </w:r>
      <w:r w:rsidR="00137575" w:rsidRPr="00187BB8">
        <w:t>,</w:t>
      </w:r>
      <w:r w:rsidR="00137575">
        <w:t xml:space="preserve"> </w:t>
      </w:r>
      <w:r>
        <w:t xml:space="preserve">в края на юни 2023 г.: </w:t>
      </w:r>
    </w:p>
    <w:p w:rsidR="002F7F04" w:rsidRDefault="00381C5D" w:rsidP="00F674D5">
      <w:pPr>
        <w:pStyle w:val="P68B1DB1-Normal5"/>
        <w:spacing w:after="100" w:afterAutospacing="1" w:line="276" w:lineRule="auto"/>
        <w:jc w:val="center"/>
      </w:pPr>
      <w:r>
        <w:rPr>
          <w:noProof/>
          <w:lang w:val="bg-BG"/>
        </w:rPr>
        <w:lastRenderedPageBreak/>
        <w:drawing>
          <wp:inline distT="0" distB="0" distL="0" distR="0">
            <wp:extent cx="4023360" cy="7147560"/>
            <wp:effectExtent l="0" t="0" r="0" b="0"/>
            <wp:docPr id="1" name="Сним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Най-високата стойност на </w:t>
      </w:r>
      <w:r w:rsidR="00137575">
        <w:rPr>
          <w:lang w:val="bg-BG"/>
        </w:rPr>
        <w:t>достъпна свързаност</w:t>
      </w:r>
      <w:r w:rsidR="00137575">
        <w:t xml:space="preserve"> </w:t>
      </w:r>
      <w:r>
        <w:t xml:space="preserve">в съответната растерна клетка се определя и показва </w:t>
      </w:r>
      <w:r w:rsidR="00592986">
        <w:rPr>
          <w:lang w:val="bg-BG"/>
        </w:rPr>
        <w:t>стойност</w:t>
      </w:r>
      <w:r w:rsidR="008B60FC">
        <w:rPr>
          <w:lang w:val="bg-BG"/>
        </w:rPr>
        <w:t>та</w:t>
      </w:r>
      <w:r w:rsidR="00592986">
        <w:rPr>
          <w:lang w:val="bg-BG"/>
        </w:rPr>
        <w:t xml:space="preserve"> </w:t>
      </w:r>
      <w:r>
        <w:t>въз основа на избраната технология и широчина</w:t>
      </w:r>
      <w:r w:rsidR="00137575">
        <w:rPr>
          <w:lang w:val="bg-BG"/>
        </w:rPr>
        <w:t>та</w:t>
      </w:r>
      <w:r>
        <w:t xml:space="preserve"> на честотната лента.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Информацията от доставчиците на широколентов достъп, </w:t>
      </w:r>
      <w:r w:rsidR="00592986">
        <w:rPr>
          <w:lang w:val="bg-BG"/>
        </w:rPr>
        <w:t xml:space="preserve">функциониращи </w:t>
      </w:r>
      <w:r w:rsidR="00216C5E">
        <w:rPr>
          <w:lang w:val="bg-BG"/>
        </w:rPr>
        <w:t xml:space="preserve">в </w:t>
      </w:r>
      <w:r w:rsidR="00592986">
        <w:rPr>
          <w:lang w:val="bg-BG"/>
        </w:rPr>
        <w:t>даден</w:t>
      </w:r>
      <w:r>
        <w:t xml:space="preserve"> регион, се показва на общинско ниво, а не поотделно за всяка растерна клетка или на </w:t>
      </w:r>
      <w:r w:rsidR="00187BB8">
        <w:rPr>
          <w:lang w:val="bg-BG"/>
        </w:rPr>
        <w:t>цялостно</w:t>
      </w:r>
      <w:r>
        <w:t xml:space="preserve"> равнище, за да се защитят търговските тайни на телекомуникационните дружества. 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Използвани основни данни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lastRenderedPageBreak/>
        <w:t xml:space="preserve">За да може да се извършват оценки за много различни пространствени единици, индивидуалният растер на покритието е </w:t>
      </w:r>
      <w:r w:rsidR="005728D9">
        <w:rPr>
          <w:lang w:val="bg-BG"/>
        </w:rPr>
        <w:t>допълнен</w:t>
      </w:r>
      <w:r w:rsidR="005728D9">
        <w:t xml:space="preserve"> </w:t>
      </w:r>
      <w:r>
        <w:t xml:space="preserve">с широк спектър от административна информация. В този контекст най-важната връзка е </w:t>
      </w:r>
      <w:r w:rsidR="008B60FC">
        <w:rPr>
          <w:lang w:val="bg-BG"/>
        </w:rPr>
        <w:t>приобщаването</w:t>
      </w:r>
      <w:r w:rsidR="008B60FC">
        <w:t xml:space="preserve"> </w:t>
      </w:r>
      <w:r>
        <w:t xml:space="preserve">на всяка растерна клетка на общината, в която се намира </w:t>
      </w:r>
      <w:r w:rsidR="005728D9">
        <w:rPr>
          <w:lang w:val="bg-BG"/>
        </w:rPr>
        <w:t xml:space="preserve">съответната </w:t>
      </w:r>
      <w:r>
        <w:t xml:space="preserve">клетка. За растерни клетки в граничните райони между две или повече общини е извършен </w:t>
      </w:r>
      <w:r w:rsidR="008240D9">
        <w:rPr>
          <w:lang w:val="bg-BG"/>
        </w:rPr>
        <w:t>съпоставителен анализ</w:t>
      </w:r>
      <w:r>
        <w:t xml:space="preserve"> въз основа на броя на абонатите на съответната община в </w:t>
      </w:r>
      <w:r w:rsidR="0000310E">
        <w:rPr>
          <w:lang w:val="bg-BG"/>
        </w:rPr>
        <w:t>дадената</w:t>
      </w:r>
      <w:r w:rsidR="0000310E">
        <w:t xml:space="preserve"> </w:t>
      </w:r>
      <w:r>
        <w:t xml:space="preserve">клетка. Връзката с </w:t>
      </w:r>
      <w:r w:rsidR="0000310E">
        <w:rPr>
          <w:lang w:val="bg-BG"/>
        </w:rPr>
        <w:t>различните</w:t>
      </w:r>
      <w:r w:rsidR="0000310E">
        <w:t xml:space="preserve"> </w:t>
      </w:r>
      <w:r>
        <w:t>район</w:t>
      </w:r>
      <w:r w:rsidR="0000310E">
        <w:rPr>
          <w:lang w:val="bg-BG"/>
        </w:rPr>
        <w:t>и</w:t>
      </w:r>
      <w:r>
        <w:t xml:space="preserve"> се установява и чрез </w:t>
      </w:r>
      <w:r w:rsidR="00714E09">
        <w:rPr>
          <w:lang w:val="bg-BG"/>
        </w:rPr>
        <w:t>Националното сдружение на общините</w:t>
      </w:r>
      <w:r>
        <w:t>.</w:t>
      </w:r>
    </w:p>
    <w:p w:rsidR="002F7F04" w:rsidRDefault="00381C5D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Броят на </w:t>
      </w:r>
      <w:r w:rsidR="008B60FC">
        <w:rPr>
          <w:rFonts w:ascii="Times New Roman" w:hAnsi="Times New Roman" w:cs="Times New Roman"/>
          <w:sz w:val="24"/>
          <w:lang w:val="bg-BG"/>
        </w:rPr>
        <w:t>населението и площта</w:t>
      </w:r>
      <w:r w:rsidR="008B60FC">
        <w:rPr>
          <w:rFonts w:ascii="Times New Roman" w:hAnsi="Times New Roman" w:cs="Times New Roman"/>
          <w:sz w:val="24"/>
        </w:rPr>
        <w:t xml:space="preserve"> </w:t>
      </w:r>
      <w:r w:rsidR="008B60FC">
        <w:rPr>
          <w:rFonts w:ascii="Times New Roman" w:hAnsi="Times New Roman" w:cs="Times New Roman"/>
          <w:sz w:val="24"/>
          <w:lang w:val="bg-BG"/>
        </w:rPr>
        <w:t>са</w:t>
      </w:r>
      <w:r>
        <w:rPr>
          <w:rFonts w:ascii="Times New Roman" w:hAnsi="Times New Roman" w:cs="Times New Roman"/>
          <w:sz w:val="24"/>
        </w:rPr>
        <w:t xml:space="preserve"> определен</w:t>
      </w:r>
      <w:r w:rsidR="008B60FC">
        <w:rPr>
          <w:rFonts w:ascii="Times New Roman" w:hAnsi="Times New Roman" w:cs="Times New Roman"/>
          <w:sz w:val="24"/>
          <w:lang w:val="bg-BG"/>
        </w:rPr>
        <w:t>и</w:t>
      </w:r>
      <w:r>
        <w:rPr>
          <w:rFonts w:ascii="Times New Roman" w:hAnsi="Times New Roman" w:cs="Times New Roman"/>
          <w:sz w:val="24"/>
        </w:rPr>
        <w:t xml:space="preserve"> въз основа на базата данни, предоставена </w:t>
      </w:r>
      <w:r w:rsidR="00714E09">
        <w:rPr>
          <w:rFonts w:ascii="Times New Roman" w:hAnsi="Times New Roman" w:cs="Times New Roman"/>
          <w:sz w:val="24"/>
        </w:rPr>
        <w:t>от Националния</w:t>
      </w:r>
      <w:r>
        <w:rPr>
          <w:rFonts w:ascii="Times New Roman" w:hAnsi="Times New Roman" w:cs="Times New Roman"/>
          <w:sz w:val="24"/>
        </w:rPr>
        <w:t xml:space="preserve"> статистически институт. Освен това </w:t>
      </w:r>
      <w:r w:rsidR="008240D9">
        <w:rPr>
          <w:rFonts w:ascii="Times New Roman" w:hAnsi="Times New Roman" w:cs="Times New Roman"/>
          <w:sz w:val="24"/>
          <w:lang w:val="bg-BG"/>
        </w:rPr>
        <w:t>са</w:t>
      </w:r>
      <w:r w:rsidR="008240D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извършени случайни проверки на наличните данни. Всички данни редовно се актуализират и </w:t>
      </w:r>
      <w:r w:rsidR="002B10FC">
        <w:rPr>
          <w:rFonts w:ascii="Times New Roman" w:hAnsi="Times New Roman" w:cs="Times New Roman"/>
          <w:sz w:val="24"/>
          <w:lang w:val="bg-BG"/>
        </w:rPr>
        <w:t>коригират</w:t>
      </w:r>
      <w:r>
        <w:rPr>
          <w:rFonts w:ascii="Times New Roman" w:hAnsi="Times New Roman" w:cs="Times New Roman"/>
          <w:sz w:val="24"/>
        </w:rPr>
        <w:t>, ако е възможно.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Подход за събиране на данни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Телекомуникационните оператори предоставят данни в </w:t>
      </w:r>
      <w:r w:rsidR="00714E09">
        <w:rPr>
          <w:lang w:val="bg-BG"/>
        </w:rPr>
        <w:t>ЕИТ</w:t>
      </w:r>
      <w:r w:rsidR="008B60FC">
        <w:rPr>
          <w:rStyle w:val="FootnoteReference"/>
          <w:lang w:val="bg-BG"/>
        </w:rPr>
        <w:footnoteReference w:id="1"/>
      </w:r>
      <w:r w:rsidR="00714E09">
        <w:rPr>
          <w:lang w:val="bg-BG"/>
        </w:rPr>
        <w:t xml:space="preserve"> </w:t>
      </w:r>
      <w:r>
        <w:t xml:space="preserve">и </w:t>
      </w:r>
      <w:r w:rsidR="00FE5316">
        <w:rPr>
          <w:lang w:val="bg-BG"/>
        </w:rPr>
        <w:t>отговарят</w:t>
      </w:r>
      <w:r>
        <w:t xml:space="preserve"> на </w:t>
      </w:r>
      <w:r w:rsidR="00FE5316">
        <w:rPr>
          <w:lang w:val="bg-BG"/>
        </w:rPr>
        <w:t xml:space="preserve">годишните въпросници на </w:t>
      </w:r>
      <w:r>
        <w:t xml:space="preserve">КРС </w:t>
      </w:r>
      <w:r w:rsidR="00FE5316">
        <w:rPr>
          <w:lang w:val="bg-BG"/>
        </w:rPr>
        <w:t>относно</w:t>
      </w:r>
      <w:r w:rsidR="00FE5316">
        <w:t xml:space="preserve"> </w:t>
      </w:r>
      <w:r>
        <w:t>дейността на предприятията</w:t>
      </w:r>
      <w:r w:rsidR="00FE5316">
        <w:rPr>
          <w:lang w:val="bg-BG"/>
        </w:rPr>
        <w:t xml:space="preserve"> си</w:t>
      </w:r>
      <w:r>
        <w:t xml:space="preserve">. Данните </w:t>
      </w:r>
      <w:r w:rsidR="00FE5316">
        <w:rPr>
          <w:lang w:val="bg-BG"/>
        </w:rPr>
        <w:t>са</w:t>
      </w:r>
      <w:r w:rsidR="00FE5316">
        <w:t xml:space="preserve"> </w:t>
      </w:r>
      <w:r>
        <w:t xml:space="preserve">анализирани в съответствие с изискванията на Европейската комисия (ЕК) и </w:t>
      </w:r>
      <w:r w:rsidR="009A7BC4">
        <w:rPr>
          <w:lang w:val="bg-BG"/>
        </w:rPr>
        <w:t xml:space="preserve">на </w:t>
      </w:r>
      <w:r>
        <w:t>Органа на европейските регулатори в областта на електронните съобщения (ОЕРЕС).</w:t>
      </w:r>
    </w:p>
    <w:p w:rsidR="002F7F04" w:rsidRDefault="009A7BC4" w:rsidP="00F674D5">
      <w:pPr>
        <w:pStyle w:val="P68B1DB1-Normal5"/>
        <w:spacing w:after="100" w:afterAutospacing="1" w:line="276" w:lineRule="auto"/>
        <w:jc w:val="both"/>
      </w:pPr>
      <w:r>
        <w:rPr>
          <w:lang w:val="bg-BG"/>
        </w:rPr>
        <w:t>На ЕИТ п</w:t>
      </w:r>
      <w:r w:rsidR="00381C5D">
        <w:t>о-голямата част от компаниите са избрали да предоставят своите данни чрез уеб ГИС. Данните се въвеждат въз основа на технологията и широчината на честотната лента, предлагани за всеки доставчик.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В допълнение към директното събиране на данни чрез уеб ГИС</w:t>
      </w:r>
      <w:r w:rsidR="009A7BC4">
        <w:rPr>
          <w:lang w:val="bg-BG"/>
        </w:rPr>
        <w:t>,</w:t>
      </w:r>
      <w:r>
        <w:t xml:space="preserve"> доставчиците могат да използват функция за качване, за да предават своите съществуващи полигони на покритие или други карти, с които разполагат, на уеб ГИС приложение, което след това </w:t>
      </w:r>
      <w:r w:rsidR="002B10FC">
        <w:rPr>
          <w:lang w:val="bg-BG"/>
        </w:rPr>
        <w:t>извършва</w:t>
      </w:r>
      <w:r>
        <w:t xml:space="preserve"> преобразуването </w:t>
      </w:r>
      <w:r w:rsidR="009A7BC4">
        <w:rPr>
          <w:lang w:val="bg-BG"/>
        </w:rPr>
        <w:t>на</w:t>
      </w:r>
      <w:r w:rsidR="009A7BC4">
        <w:t xml:space="preserve"> </w:t>
      </w:r>
      <w:r>
        <w:t>растерно ниво. Телекомуникационните компании предоставят своите данни в широк спектър от различни стандартни ГИС формати.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Изчисляване на наличието на широколентов достъп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Всички растерни клетки, въведени или </w:t>
      </w:r>
      <w:r w:rsidR="009A7BC4">
        <w:rPr>
          <w:lang w:val="bg-BG"/>
        </w:rPr>
        <w:t>предоставени</w:t>
      </w:r>
      <w:r w:rsidR="009A7BC4">
        <w:t xml:space="preserve"> </w:t>
      </w:r>
      <w:r>
        <w:t xml:space="preserve">от телекомуникационните оператори, са комбинирани с информацията за предлаганата технология, широчината на честотната лента, както и </w:t>
      </w:r>
      <w:r w:rsidR="001F6D1E">
        <w:rPr>
          <w:lang w:val="bg-BG"/>
        </w:rPr>
        <w:t xml:space="preserve">покритието </w:t>
      </w:r>
      <w:r w:rsidR="009A7BC4">
        <w:rPr>
          <w:lang w:val="bg-BG"/>
        </w:rPr>
        <w:t>в даден район</w:t>
      </w:r>
      <w:r>
        <w:t xml:space="preserve"> </w:t>
      </w:r>
      <w:r w:rsidR="009A7BC4">
        <w:rPr>
          <w:lang w:val="bg-BG"/>
        </w:rPr>
        <w:t>в</w:t>
      </w:r>
      <w:r w:rsidR="009A7BC4">
        <w:t xml:space="preserve"> </w:t>
      </w:r>
      <w:r>
        <w:t xml:space="preserve">една </w:t>
      </w:r>
      <w:r w:rsidR="009A7BC4">
        <w:rPr>
          <w:lang w:val="bg-BG"/>
        </w:rPr>
        <w:t xml:space="preserve">обобщена </w:t>
      </w:r>
      <w:r>
        <w:t xml:space="preserve">таблица. Растерът на широколентовото покритие </w:t>
      </w:r>
      <w:r w:rsidR="009A7BC4">
        <w:rPr>
          <w:lang w:val="bg-BG"/>
        </w:rPr>
        <w:t>е</w:t>
      </w:r>
      <w:r w:rsidR="009A7BC4">
        <w:t xml:space="preserve"> </w:t>
      </w:r>
      <w:r>
        <w:t xml:space="preserve">създаден въз основа на тази таблица, като за всяка растерна клетка се посочва </w:t>
      </w:r>
      <w:r w:rsidR="001F6D1E">
        <w:t>максималния</w:t>
      </w:r>
      <w:r w:rsidR="001F6D1E">
        <w:rPr>
          <w:lang w:val="bg-BG"/>
        </w:rPr>
        <w:t xml:space="preserve">т </w:t>
      </w:r>
      <w:r>
        <w:t xml:space="preserve"> </w:t>
      </w:r>
      <w:r w:rsidR="00155CBE">
        <w:rPr>
          <w:lang w:val="bg-BG"/>
        </w:rPr>
        <w:t>достъп</w:t>
      </w:r>
      <w:r w:rsidR="00FA2D00">
        <w:rPr>
          <w:lang w:val="bg-BG"/>
        </w:rPr>
        <w:t>ен</w:t>
      </w:r>
      <w:r w:rsidR="00155CBE">
        <w:t xml:space="preserve"> </w:t>
      </w:r>
      <w:r>
        <w:t>широколентов достъп, независимо от доставчика, за всяка от категориите (фиксирани</w:t>
      </w:r>
      <w:r w:rsidR="008B60FC">
        <w:rPr>
          <w:lang w:val="en-US"/>
        </w:rPr>
        <w:t xml:space="preserve"> </w:t>
      </w:r>
      <w:r w:rsidR="008B60FC">
        <w:rPr>
          <w:lang w:val="bg-BG"/>
        </w:rPr>
        <w:t>и</w:t>
      </w:r>
      <w:r>
        <w:t>мобилни) и за съответните категории широчина на честотната лента.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Анализ на грешките и осигуряване на качеството</w:t>
      </w:r>
    </w:p>
    <w:p w:rsidR="002F7F04" w:rsidRDefault="00644E93" w:rsidP="00F674D5">
      <w:pPr>
        <w:pStyle w:val="P68B1DB1-Normal5"/>
        <w:spacing w:after="100" w:afterAutospacing="1" w:line="276" w:lineRule="auto"/>
        <w:jc w:val="both"/>
      </w:pPr>
      <w:r>
        <w:rPr>
          <w:lang w:val="bg-BG"/>
        </w:rPr>
        <w:t xml:space="preserve">Телекомуникационните </w:t>
      </w:r>
      <w:r w:rsidR="00381C5D">
        <w:t>оператори в България имат законово задължение да предоставят данни за своята цифрова инфраструктура и мрежа чрез За</w:t>
      </w:r>
      <w:r>
        <w:t xml:space="preserve">кона за електронните </w:t>
      </w:r>
      <w:r w:rsidR="00FA2D00">
        <w:t>съобщителни</w:t>
      </w:r>
      <w:r>
        <w:t xml:space="preserve"> мрежи и физическа</w:t>
      </w:r>
      <w:r w:rsidR="00381C5D">
        <w:t xml:space="preserve"> инфраструктура.</w:t>
      </w:r>
    </w:p>
    <w:p w:rsidR="002F7F04" w:rsidRPr="004B4A24" w:rsidRDefault="00381C5D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</w:rPr>
        <w:lastRenderedPageBreak/>
        <w:t>В България има повече от 600 оператори, които предоставят</w:t>
      </w:r>
      <w:r>
        <w:t xml:space="preserve"> </w:t>
      </w:r>
      <w:r>
        <w:rPr>
          <w:rFonts w:ascii="Times New Roman" w:hAnsi="Times New Roman" w:cs="Times New Roman"/>
          <w:sz w:val="24"/>
        </w:rPr>
        <w:t xml:space="preserve">обществени електронни съобщителни мрежи или услуги. От 2018 г. насам с приемането на </w:t>
      </w:r>
      <w:r w:rsidR="00644E93">
        <w:rPr>
          <w:rFonts w:ascii="Times New Roman" w:hAnsi="Times New Roman" w:cs="Times New Roman"/>
          <w:sz w:val="24"/>
          <w:lang w:val="bg-BG"/>
        </w:rPr>
        <w:t>ЗЕСМФИ</w:t>
      </w:r>
      <w:r>
        <w:rPr>
          <w:rFonts w:ascii="Times New Roman" w:hAnsi="Times New Roman" w:cs="Times New Roman"/>
          <w:sz w:val="24"/>
        </w:rPr>
        <w:t xml:space="preserve">, с </w:t>
      </w:r>
      <w:r w:rsidR="00FA2D00">
        <w:rPr>
          <w:rFonts w:ascii="Times New Roman" w:hAnsi="Times New Roman" w:cs="Times New Roman"/>
          <w:sz w:val="24"/>
          <w:lang w:val="bg-BG"/>
        </w:rPr>
        <w:t>който</w:t>
      </w:r>
      <w:r w:rsidR="00FA2D0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се транспонира Директива 2014/61/ЕС относно мерки</w:t>
      </w:r>
      <w:r w:rsidR="00FA2D00">
        <w:rPr>
          <w:rFonts w:ascii="Times New Roman" w:hAnsi="Times New Roman" w:cs="Times New Roman"/>
          <w:sz w:val="24"/>
          <w:lang w:val="bg-BG"/>
        </w:rPr>
        <w:t>те</w:t>
      </w:r>
      <w:r>
        <w:rPr>
          <w:rFonts w:ascii="Times New Roman" w:hAnsi="Times New Roman" w:cs="Times New Roman"/>
          <w:sz w:val="24"/>
        </w:rPr>
        <w:t xml:space="preserve"> за намаляване на разходите за разгръщане на високоскоростни електронни съобщителни мрежи, операторите са задължени да предоставят данни в </w:t>
      </w:r>
      <w:r w:rsidR="00644E93">
        <w:rPr>
          <w:rFonts w:ascii="Times New Roman" w:hAnsi="Times New Roman" w:cs="Times New Roman"/>
          <w:sz w:val="24"/>
          <w:lang w:val="bg-BG"/>
        </w:rPr>
        <w:t>ЕИТ</w:t>
      </w:r>
      <w:r>
        <w:rPr>
          <w:rFonts w:ascii="Times New Roman" w:hAnsi="Times New Roman" w:cs="Times New Roman"/>
          <w:sz w:val="24"/>
        </w:rPr>
        <w:t xml:space="preserve">. Задължените съгласно </w:t>
      </w:r>
      <w:r w:rsidR="00644E93">
        <w:rPr>
          <w:rFonts w:ascii="Times New Roman" w:hAnsi="Times New Roman" w:cs="Times New Roman"/>
          <w:sz w:val="24"/>
          <w:lang w:val="bg-BG"/>
        </w:rPr>
        <w:t>ЗЕСМФИ</w:t>
      </w:r>
      <w:r>
        <w:rPr>
          <w:rFonts w:ascii="Times New Roman" w:hAnsi="Times New Roman" w:cs="Times New Roman"/>
          <w:sz w:val="24"/>
        </w:rPr>
        <w:t xml:space="preserve"> оператори предоставят на </w:t>
      </w:r>
      <w:r w:rsidR="00644E93">
        <w:rPr>
          <w:rFonts w:ascii="Times New Roman" w:hAnsi="Times New Roman" w:cs="Times New Roman"/>
          <w:sz w:val="24"/>
          <w:lang w:val="bg-BG"/>
        </w:rPr>
        <w:t>ЕИТ</w:t>
      </w:r>
      <w:r>
        <w:rPr>
          <w:rFonts w:ascii="Times New Roman" w:hAnsi="Times New Roman" w:cs="Times New Roman"/>
          <w:sz w:val="24"/>
        </w:rPr>
        <w:t xml:space="preserve"> съответната информация във форматите, определени в </w:t>
      </w:r>
      <w:r w:rsidR="00644E93" w:rsidRPr="00644E93">
        <w:rPr>
          <w:rFonts w:ascii="Times New Roman" w:hAnsi="Times New Roman" w:cs="Times New Roman"/>
          <w:sz w:val="24"/>
        </w:rPr>
        <w:t>Наредба за форматите на данните и за условията и реда за предоставяне на достъп до информацията в Единната информационна точка</w:t>
      </w:r>
      <w:r>
        <w:rPr>
          <w:rFonts w:ascii="Times New Roman" w:hAnsi="Times New Roman" w:cs="Times New Roman"/>
          <w:sz w:val="24"/>
        </w:rPr>
        <w:t xml:space="preserve">. Досега повечето оператори от големите градове </w:t>
      </w:r>
      <w:r w:rsidR="0087599C">
        <w:rPr>
          <w:rFonts w:ascii="Times New Roman" w:hAnsi="Times New Roman" w:cs="Times New Roman"/>
          <w:sz w:val="24"/>
          <w:lang w:val="bg-BG"/>
        </w:rPr>
        <w:t xml:space="preserve">са предоставили </w:t>
      </w:r>
      <w:r>
        <w:rPr>
          <w:rFonts w:ascii="Times New Roman" w:hAnsi="Times New Roman" w:cs="Times New Roman"/>
          <w:sz w:val="24"/>
        </w:rPr>
        <w:t xml:space="preserve">данни в </w:t>
      </w:r>
      <w:r w:rsidR="00644E93">
        <w:rPr>
          <w:rFonts w:ascii="Times New Roman" w:hAnsi="Times New Roman" w:cs="Times New Roman"/>
          <w:sz w:val="24"/>
          <w:lang w:val="bg-BG"/>
        </w:rPr>
        <w:t>ЕИТ</w:t>
      </w:r>
      <w:r>
        <w:rPr>
          <w:rFonts w:ascii="Times New Roman" w:hAnsi="Times New Roman" w:cs="Times New Roman"/>
          <w:sz w:val="24"/>
        </w:rPr>
        <w:t xml:space="preserve">, но </w:t>
      </w:r>
      <w:r w:rsidR="00187BB8">
        <w:rPr>
          <w:rFonts w:ascii="Times New Roman" w:hAnsi="Times New Roman" w:cs="Times New Roman"/>
          <w:sz w:val="24"/>
          <w:lang w:val="bg-BG"/>
        </w:rPr>
        <w:t>тези</w:t>
      </w:r>
      <w:r>
        <w:rPr>
          <w:rFonts w:ascii="Times New Roman" w:hAnsi="Times New Roman" w:cs="Times New Roman"/>
          <w:sz w:val="24"/>
        </w:rPr>
        <w:t xml:space="preserve"> в малките и селските райони </w:t>
      </w:r>
      <w:r w:rsidR="0087599C">
        <w:rPr>
          <w:rFonts w:ascii="Times New Roman" w:hAnsi="Times New Roman" w:cs="Times New Roman"/>
          <w:sz w:val="24"/>
          <w:lang w:val="bg-BG"/>
        </w:rPr>
        <w:t xml:space="preserve">не разполагат с </w:t>
      </w:r>
      <w:r>
        <w:rPr>
          <w:rFonts w:ascii="Times New Roman" w:hAnsi="Times New Roman" w:cs="Times New Roman"/>
          <w:sz w:val="24"/>
        </w:rPr>
        <w:t xml:space="preserve">данни </w:t>
      </w:r>
      <w:r w:rsidR="0087599C">
        <w:rPr>
          <w:rFonts w:ascii="Times New Roman" w:hAnsi="Times New Roman" w:cs="Times New Roman"/>
          <w:sz w:val="24"/>
          <w:lang w:val="bg-BG"/>
        </w:rPr>
        <w:t xml:space="preserve">в цифров формат </w:t>
      </w:r>
      <w:r>
        <w:rPr>
          <w:rFonts w:ascii="Times New Roman" w:hAnsi="Times New Roman" w:cs="Times New Roman"/>
          <w:sz w:val="24"/>
        </w:rPr>
        <w:t xml:space="preserve">и не предоставят </w:t>
      </w:r>
      <w:r w:rsidR="008B60FC">
        <w:rPr>
          <w:rFonts w:ascii="Times New Roman" w:hAnsi="Times New Roman" w:cs="Times New Roman"/>
          <w:sz w:val="24"/>
          <w:lang w:val="bg-BG"/>
        </w:rPr>
        <w:t xml:space="preserve"> достатъчно детайлна</w:t>
      </w:r>
      <w:r w:rsidR="00187BB8">
        <w:rPr>
          <w:rFonts w:ascii="Times New Roman" w:hAnsi="Times New Roman" w:cs="Times New Roman"/>
          <w:sz w:val="24"/>
          <w:lang w:val="bg-BG"/>
        </w:rPr>
        <w:t xml:space="preserve"> </w:t>
      </w:r>
      <w:r w:rsidR="0087599C">
        <w:rPr>
          <w:rFonts w:ascii="Times New Roman" w:hAnsi="Times New Roman" w:cs="Times New Roman"/>
          <w:sz w:val="24"/>
          <w:lang w:val="bg-BG"/>
        </w:rPr>
        <w:t>информация</w:t>
      </w:r>
      <w:r w:rsidR="0087599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</w:t>
      </w:r>
      <w:r w:rsidR="00644E93">
        <w:rPr>
          <w:rFonts w:ascii="Times New Roman" w:hAnsi="Times New Roman" w:cs="Times New Roman"/>
          <w:sz w:val="24"/>
          <w:lang w:val="bg-BG"/>
        </w:rPr>
        <w:t>ЕИТ</w:t>
      </w:r>
      <w:r>
        <w:rPr>
          <w:rFonts w:ascii="Times New Roman" w:hAnsi="Times New Roman" w:cs="Times New Roman"/>
          <w:sz w:val="24"/>
        </w:rPr>
        <w:t>.</w:t>
      </w:r>
      <w:r w:rsidR="008B60FC">
        <w:rPr>
          <w:rFonts w:ascii="Times New Roman" w:hAnsi="Times New Roman" w:cs="Times New Roman"/>
          <w:sz w:val="24"/>
          <w:lang w:val="bg-BG"/>
        </w:rPr>
        <w:t xml:space="preserve"> Предвид ограничения обхват на техните мрежи, това не се отразява съществено на създадената база данни.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MTC </w:t>
      </w:r>
      <w:r w:rsidR="008B60FC">
        <w:rPr>
          <w:lang w:val="bg-BG"/>
        </w:rPr>
        <w:t>приложи</w:t>
      </w:r>
      <w:r w:rsidR="008B60FC">
        <w:t xml:space="preserve"> </w:t>
      </w:r>
      <w:r>
        <w:t xml:space="preserve">сложен процес на проверка на данните след </w:t>
      </w:r>
      <w:r w:rsidR="0087599C">
        <w:rPr>
          <w:lang w:val="bg-BG"/>
        </w:rPr>
        <w:t>тяхно</w:t>
      </w:r>
      <w:r w:rsidR="008B60FC">
        <w:rPr>
          <w:lang w:val="bg-BG"/>
        </w:rPr>
        <w:t>то</w:t>
      </w:r>
      <w:r w:rsidR="0087599C">
        <w:rPr>
          <w:lang w:val="bg-BG"/>
        </w:rPr>
        <w:t xml:space="preserve"> предаване</w:t>
      </w:r>
      <w:r>
        <w:t xml:space="preserve">, за да идентифицира, изясни и коригира възможни несъответствия в данните за широколентовото покритие. Това включва, освен официална проверка на данните, проверки на правдоподобността по отношение на логиката и съгласуваността със съществуващата инфраструктура и топографските характеристики. 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За да се сведе до минимум и да се ограничи този източник на грешки, MTC продължава усилията си за насърчаване на останалите дружества да предоставят своите данни за покритието.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Освен това </w:t>
      </w:r>
      <w:r w:rsidR="00D168AC">
        <w:rPr>
          <w:lang w:val="bg-BG"/>
        </w:rPr>
        <w:t>са</w:t>
      </w:r>
      <w:r w:rsidR="00D168AC">
        <w:t xml:space="preserve"> </w:t>
      </w:r>
      <w:r>
        <w:t xml:space="preserve">установени следните групи/източници на грешки, които могат да повлияят на резултата от </w:t>
      </w:r>
      <w:r w:rsidR="00D56E1D">
        <w:rPr>
          <w:lang w:val="bg-BG"/>
        </w:rPr>
        <w:t>картографирането</w:t>
      </w:r>
      <w:r>
        <w:t xml:space="preserve"> и изчислението на наличността на широколентов достъп: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—</w:t>
      </w:r>
      <w:r>
        <w:tab/>
        <w:t>Несъответствия в данните, предоставени от операторите;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—</w:t>
      </w:r>
      <w:r>
        <w:tab/>
        <w:t>Забавено предаване на актуални данни за покритието;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—</w:t>
      </w:r>
      <w:r>
        <w:tab/>
        <w:t>Забавено предоставяне и предаване на информация за нови райони на развитие;</w:t>
      </w:r>
    </w:p>
    <w:p w:rsidR="002F7F04" w:rsidRPr="00D56E1D" w:rsidRDefault="00381C5D" w:rsidP="00F674D5">
      <w:pPr>
        <w:pStyle w:val="P68B1DB1-Normal5"/>
        <w:spacing w:after="100" w:afterAutospacing="1" w:line="276" w:lineRule="auto"/>
        <w:jc w:val="both"/>
        <w:rPr>
          <w:lang w:val="bg-BG"/>
        </w:rPr>
      </w:pPr>
      <w:r>
        <w:t>—</w:t>
      </w:r>
      <w:r>
        <w:tab/>
        <w:t xml:space="preserve">Данните за </w:t>
      </w:r>
      <w:r w:rsidR="008B60FC">
        <w:rPr>
          <w:lang w:val="bg-BG"/>
        </w:rPr>
        <w:t>населението</w:t>
      </w:r>
      <w:r>
        <w:t>/основните статистически данни се различават от действителното местно положение</w:t>
      </w:r>
      <w:r w:rsidR="00D56E1D">
        <w:rPr>
          <w:lang w:val="bg-BG"/>
        </w:rPr>
        <w:t>;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—</w:t>
      </w:r>
      <w:r>
        <w:tab/>
        <w:t>Ако растерна клетка от 100 х 100 метра се обслужва от няколко оператора, се използват само данните на оператора, осигуряващ по-голям дял на широколентовото покритие в растерната клетка</w:t>
      </w:r>
      <w:r w:rsidR="00D56E1D">
        <w:rPr>
          <w:lang w:val="bg-BG"/>
        </w:rPr>
        <w:t>;</w:t>
      </w:r>
      <w:r>
        <w:t xml:space="preserve"> 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—</w:t>
      </w:r>
      <w:r>
        <w:tab/>
        <w:t>Покритието с безжичен широколентов достъп се осигурява от телекомуникационните оператори, отчасти чрез предоставяне на процент от растерните зони, обхванати от безжични широколентови решения. Тук предоставеният процент на покритие се комбинира</w:t>
      </w:r>
      <w:r w:rsidR="001828EA">
        <w:rPr>
          <w:lang w:val="bg-BG"/>
        </w:rPr>
        <w:t xml:space="preserve"> с </w:t>
      </w:r>
      <w:r w:rsidR="008B60FC">
        <w:rPr>
          <w:lang w:val="bg-BG"/>
        </w:rPr>
        <w:t>населението</w:t>
      </w:r>
      <w:r w:rsidR="007A6A8F">
        <w:t xml:space="preserve"> </w:t>
      </w:r>
      <w:r w:rsidR="007A6A8F">
        <w:rPr>
          <w:lang w:val="bg-BG"/>
        </w:rPr>
        <w:t xml:space="preserve">в </w:t>
      </w:r>
      <w:r w:rsidR="00187BB8">
        <w:rPr>
          <w:lang w:val="bg-BG"/>
        </w:rPr>
        <w:t>съответния</w:t>
      </w:r>
      <w:r>
        <w:t xml:space="preserve"> район в растерната клетка. Описаните източници на грешка не могат да бъдат изчислени и оценени чрез математически анализ на грешките. Възможно е припокриване на източници на грешки. Освен това емпиричната проверка на данните въз основа на проверки на случаен принцип не е подходяща поради големите количества данни и площи. Въпреки това, </w:t>
      </w:r>
      <w:r>
        <w:lastRenderedPageBreak/>
        <w:t>описаните подробни процедури за проверка и сравнението с други налични набори от данни, както и с избрания подход, допустимото отклонение на грешките за горепосочените източници може да се приеме за много малко.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Визуализация и анализ на данни</w:t>
      </w:r>
    </w:p>
    <w:p w:rsidR="002F7F04" w:rsidRDefault="00381C5D" w:rsidP="00F674D5">
      <w:pPr>
        <w:pStyle w:val="P68B1DB1-Normal7"/>
        <w:spacing w:after="100" w:afterAutospacing="1" w:line="276" w:lineRule="auto"/>
        <w:jc w:val="both"/>
      </w:pPr>
      <w:r>
        <w:t>Картографирането на мобилните и фиксираните мрежи се придържа към Насоките на Органа на европейските регулатори в областта на електронните съобщения (ОЕРЕС) по отношение на географските проучвания и разгръщането на мрежи. Няколко ключови фактор</w:t>
      </w:r>
      <w:r w:rsidR="00D56E1D">
        <w:rPr>
          <w:lang w:val="bg-BG"/>
        </w:rPr>
        <w:t>и</w:t>
      </w:r>
      <w:r>
        <w:t xml:space="preserve"> </w:t>
      </w:r>
      <w:r w:rsidR="001F6D1E">
        <w:rPr>
          <w:lang w:val="bg-BG"/>
        </w:rPr>
        <w:t>са</w:t>
      </w:r>
      <w:r w:rsidR="001F6D1E">
        <w:t xml:space="preserve"> </w:t>
      </w:r>
      <w:r>
        <w:t>внимателно разгледани по време на процеса на картографиране:</w:t>
      </w:r>
    </w:p>
    <w:p w:rsidR="002F7F04" w:rsidRDefault="00381C5D" w:rsidP="00F674D5">
      <w:pPr>
        <w:pStyle w:val="P68B1DB1-ListParagraph8"/>
        <w:numPr>
          <w:ilvl w:val="0"/>
          <w:numId w:val="5"/>
        </w:numPr>
        <w:tabs>
          <w:tab w:val="left" w:pos="142"/>
        </w:tabs>
        <w:spacing w:after="100" w:afterAutospacing="1" w:line="276" w:lineRule="auto"/>
        <w:jc w:val="both"/>
      </w:pPr>
      <w:r w:rsidRPr="006E3FC9">
        <w:rPr>
          <w:b/>
        </w:rPr>
        <w:t>Оптична свързаност</w:t>
      </w:r>
      <w:r>
        <w:t>: Оценка на съществуващата оптична свързаност до крайна то</w:t>
      </w:r>
      <w:r w:rsidR="00D56E1D">
        <w:t>чка в рамките на населено</w:t>
      </w:r>
      <w:r w:rsidR="000A3D3A">
        <w:rPr>
          <w:lang w:val="bg-BG"/>
        </w:rPr>
        <w:t>то</w:t>
      </w:r>
      <w:r w:rsidR="00D56E1D">
        <w:t xml:space="preserve"> място;</w:t>
      </w:r>
    </w:p>
    <w:p w:rsidR="002F7F04" w:rsidRDefault="00381C5D" w:rsidP="00F674D5">
      <w:pPr>
        <w:pStyle w:val="P68B1DB1-ListParagraph8"/>
        <w:numPr>
          <w:ilvl w:val="0"/>
          <w:numId w:val="5"/>
        </w:numPr>
        <w:tabs>
          <w:tab w:val="left" w:pos="142"/>
        </w:tabs>
        <w:spacing w:after="100" w:afterAutospacing="1" w:line="276" w:lineRule="auto"/>
        <w:jc w:val="both"/>
      </w:pPr>
      <w:r w:rsidRPr="006E3FC9">
        <w:rPr>
          <w:b/>
        </w:rPr>
        <w:t>Измерване на ефективността на мрежата</w:t>
      </w:r>
      <w:r>
        <w:t>: Анализ на върховите времеви условия, загуба на пакети, трептене, латентност и пропускателна способност, като последните определят за RFC2544 максималната скорост на прено</w:t>
      </w:r>
      <w:r w:rsidR="00D56E1D">
        <w:t>с на данни, постижима в мрежата;</w:t>
      </w:r>
    </w:p>
    <w:p w:rsidR="002F7F04" w:rsidRDefault="00381C5D" w:rsidP="00F674D5">
      <w:pPr>
        <w:pStyle w:val="P68B1DB1-ListParagraph8"/>
        <w:numPr>
          <w:ilvl w:val="0"/>
          <w:numId w:val="5"/>
        </w:numPr>
        <w:tabs>
          <w:tab w:val="left" w:pos="142"/>
        </w:tabs>
        <w:spacing w:after="100" w:afterAutospacing="1" w:line="276" w:lineRule="auto"/>
        <w:jc w:val="both"/>
      </w:pPr>
      <w:r w:rsidRPr="006E3FC9">
        <w:rPr>
          <w:b/>
        </w:rPr>
        <w:t>Съгласуваност на услугите</w:t>
      </w:r>
      <w:r>
        <w:t>: Оценка на еднаквото качество на услугите, предоставяни на крайните ползватели и взаимодействието с други паралелни услуги</w:t>
      </w:r>
      <w:r w:rsidR="00D56E1D">
        <w:rPr>
          <w:lang w:val="bg-BG"/>
        </w:rPr>
        <w:t>;</w:t>
      </w:r>
    </w:p>
    <w:p w:rsidR="002F7F04" w:rsidRDefault="00381C5D" w:rsidP="00F674D5">
      <w:pPr>
        <w:pStyle w:val="P68B1DB1-ListParagraph8"/>
        <w:numPr>
          <w:ilvl w:val="0"/>
          <w:numId w:val="5"/>
        </w:numPr>
        <w:tabs>
          <w:tab w:val="left" w:pos="142"/>
        </w:tabs>
        <w:spacing w:after="100" w:afterAutospacing="1" w:line="276" w:lineRule="auto"/>
        <w:jc w:val="both"/>
      </w:pPr>
      <w:r w:rsidRPr="006E3FC9">
        <w:rPr>
          <w:b/>
        </w:rPr>
        <w:t>Въздействие върху околната среда</w:t>
      </w:r>
      <w:r>
        <w:t>: Р</w:t>
      </w:r>
      <w:r w:rsidR="00D56E1D">
        <w:t>азглеждане на начина, по който</w:t>
      </w:r>
      <w:r>
        <w:t xml:space="preserve"> условия</w:t>
      </w:r>
      <w:r w:rsidR="00D56E1D">
        <w:rPr>
          <w:lang w:val="bg-BG"/>
        </w:rPr>
        <w:t>та</w:t>
      </w:r>
      <w:r>
        <w:t xml:space="preserve"> на околната среда могат да повлияят на характеристиките на разпределение на сигналите, като смущения и отражения.</w:t>
      </w:r>
    </w:p>
    <w:p w:rsidR="002F7F04" w:rsidRDefault="00381C5D" w:rsidP="00F674D5">
      <w:pPr>
        <w:pStyle w:val="P68B1DB1-Normal7"/>
        <w:spacing w:after="100" w:afterAutospacing="1" w:line="276" w:lineRule="auto"/>
        <w:jc w:val="both"/>
      </w:pPr>
      <w:r>
        <w:t xml:space="preserve">Данните </w:t>
      </w:r>
      <w:r w:rsidR="006E3FC9">
        <w:rPr>
          <w:lang w:val="bg-BG"/>
        </w:rPr>
        <w:t>са</w:t>
      </w:r>
      <w:r>
        <w:t xml:space="preserve"> събрани с точност от 100 метра на 100 метра, което осигури подробна и </w:t>
      </w:r>
      <w:r w:rsidR="00D56E1D">
        <w:rPr>
          <w:lang w:val="bg-BG"/>
        </w:rPr>
        <w:t>приложима</w:t>
      </w:r>
      <w:r>
        <w:t xml:space="preserve"> информация за последващото разгръщане на </w:t>
      </w:r>
      <w:r w:rsidR="00D56E1D">
        <w:rPr>
          <w:lang w:val="bg-BG"/>
        </w:rPr>
        <w:t>цифрова</w:t>
      </w:r>
      <w:r>
        <w:t xml:space="preserve"> инфраструктура. Тази инициатива за задълбочено картографиране е от основно значение за определяне на конкретни области, нуждаещи се от държавна намеса, като по този начин се насърчава по-свързана и устойчива България.</w:t>
      </w:r>
    </w:p>
    <w:p w:rsidR="002F7F04" w:rsidRDefault="00381C5D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Комбинираните данни от растера на широколентовото покритие са визуализирани с уеб ГИС приложение (</w:t>
      </w:r>
      <w:hyperlink r:id="rId11" w:history="1">
        <w:r>
          <w:rPr>
            <w:rStyle w:val="Hyperlink"/>
            <w:rFonts w:ascii="Times New Roman" w:hAnsi="Times New Roman" w:cs="Times New Roman"/>
            <w:sz w:val="24"/>
          </w:rPr>
          <w:t>https://sipbg.gov.bg/Web/?configUrl=https://sipbg.gov.bg/Web/BaseProject/Configs/config.json</w:t>
        </w:r>
      </w:hyperlink>
      <w:r>
        <w:rPr>
          <w:rFonts w:ascii="Times New Roman" w:hAnsi="Times New Roman" w:cs="Times New Roman"/>
          <w:sz w:val="24"/>
        </w:rPr>
        <w:t>). Интегрираната функция за търсене позволява прости и лесни за ползване търсения на различни пространствени единици, които след това могат да бъдат навигирани на картата. Възможни са следните пространствени търсения</w:t>
      </w:r>
      <w:r w:rsidR="00D56E1D">
        <w:rPr>
          <w:rFonts w:ascii="Times New Roman" w:hAnsi="Times New Roman" w:cs="Times New Roman"/>
          <w:sz w:val="24"/>
          <w:lang w:val="bg-BG"/>
        </w:rPr>
        <w:t xml:space="preserve"> по</w:t>
      </w:r>
      <w:r>
        <w:rPr>
          <w:rFonts w:ascii="Times New Roman" w:hAnsi="Times New Roman" w:cs="Times New Roman"/>
          <w:sz w:val="24"/>
        </w:rPr>
        <w:t xml:space="preserve">: </w:t>
      </w:r>
    </w:p>
    <w:p w:rsidR="002F7F04" w:rsidRDefault="00381C5D" w:rsidP="00F674D5">
      <w:pPr>
        <w:pStyle w:val="P68B1DB1-ListParagraph9"/>
        <w:numPr>
          <w:ilvl w:val="0"/>
          <w:numId w:val="2"/>
        </w:numPr>
        <w:spacing w:after="100" w:afterAutospacing="1" w:line="276" w:lineRule="auto"/>
        <w:jc w:val="both"/>
      </w:pPr>
      <w:r>
        <w:t>Община и населен район;</w:t>
      </w:r>
    </w:p>
    <w:p w:rsidR="002F7F04" w:rsidRDefault="00381C5D" w:rsidP="00F674D5">
      <w:pPr>
        <w:pStyle w:val="P68B1DB1-ListParagraph9"/>
        <w:numPr>
          <w:ilvl w:val="0"/>
          <w:numId w:val="2"/>
        </w:numPr>
        <w:spacing w:after="100" w:afterAutospacing="1" w:line="276" w:lineRule="auto"/>
        <w:jc w:val="both"/>
      </w:pPr>
      <w:r>
        <w:t>Адрес.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Освен това е възможно свободно да </w:t>
      </w:r>
      <w:r w:rsidR="001F6D1E">
        <w:rPr>
          <w:lang w:val="bg-BG"/>
        </w:rPr>
        <w:t>движение</w:t>
      </w:r>
      <w:r>
        <w:t xml:space="preserve"> на картата, </w:t>
      </w:r>
      <w:r w:rsidR="001F6D1E">
        <w:rPr>
          <w:lang w:val="bg-BG"/>
        </w:rPr>
        <w:t>чрез</w:t>
      </w:r>
      <w:r w:rsidR="001F6D1E">
        <w:t xml:space="preserve"> използва</w:t>
      </w:r>
      <w:r w:rsidR="001F6D1E">
        <w:rPr>
          <w:lang w:val="bg-BG"/>
        </w:rPr>
        <w:t>н</w:t>
      </w:r>
      <w:r w:rsidR="001F6D1E">
        <w:t xml:space="preserve">е </w:t>
      </w:r>
      <w:r w:rsidR="001F6D1E">
        <w:rPr>
          <w:lang w:val="bg-BG"/>
        </w:rPr>
        <w:t xml:space="preserve">на </w:t>
      </w:r>
      <w:r>
        <w:t xml:space="preserve">опциите за увеличаване, </w:t>
      </w:r>
      <w:r w:rsidR="00D56E1D">
        <w:rPr>
          <w:lang w:val="bg-BG"/>
        </w:rPr>
        <w:t>намаляване</w:t>
      </w:r>
      <w:r>
        <w:t xml:space="preserve"> и </w:t>
      </w:r>
      <w:r w:rsidR="00D56E1D">
        <w:rPr>
          <w:lang w:val="bg-BG"/>
        </w:rPr>
        <w:t>движение</w:t>
      </w:r>
      <w:r>
        <w:t>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rPr>
          <w:noProof/>
          <w:lang w:val="bg-BG"/>
        </w:rPr>
        <w:lastRenderedPageBreak/>
        <w:drawing>
          <wp:inline distT="0" distB="0" distL="0" distR="0">
            <wp:extent cx="5760720" cy="3406140"/>
            <wp:effectExtent l="0" t="0" r="0" b="3810"/>
            <wp:docPr id="2" name="Сним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Например показаната карта от търсенето на населени места (община Троян, </w:t>
      </w:r>
      <w:r w:rsidR="006636F8">
        <w:rPr>
          <w:lang w:val="bg-BG"/>
        </w:rPr>
        <w:t xml:space="preserve">област </w:t>
      </w:r>
      <w:r>
        <w:t>Ловеч) е обогатена с допълнителна информация за мобилни или фиксирани мрежи на квадратен метър в района и др.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Всички инструменти, налични в приложението за уеб ГИС, са илюстрирани на фигурата по-горе. Съществуват следните инструменти: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F7F04">
        <w:tc>
          <w:tcPr>
            <w:tcW w:w="4531" w:type="dxa"/>
          </w:tcPr>
          <w:p w:rsidR="002F7F04" w:rsidRDefault="00381C5D" w:rsidP="00F674D5">
            <w:pPr>
              <w:pStyle w:val="P68B1DB1-Normal6"/>
              <w:spacing w:after="100" w:afterAutospacing="1" w:line="276" w:lineRule="auto"/>
              <w:jc w:val="both"/>
            </w:pPr>
            <w:r>
              <w:t>Инструмент</w:t>
            </w:r>
          </w:p>
        </w:tc>
        <w:tc>
          <w:tcPr>
            <w:tcW w:w="4531" w:type="dxa"/>
          </w:tcPr>
          <w:p w:rsidR="002F7F04" w:rsidRDefault="00381C5D" w:rsidP="00F674D5">
            <w:pPr>
              <w:pStyle w:val="P68B1DB1-Normal6"/>
              <w:spacing w:after="100" w:afterAutospacing="1" w:line="276" w:lineRule="auto"/>
              <w:jc w:val="both"/>
            </w:pPr>
            <w:r>
              <w:t>Описание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396" w:dyaOrig="3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8pt;height:18.6pt" o:ole="">
                  <v:imagedata r:id="rId13" o:title=""/>
                </v:shape>
                <o:OLEObject Type="Embed" ProgID="PBrush" ShapeID="_x0000_i1025" DrawAspect="Content" ObjectID="_1796210000" r:id="rId14"/>
              </w:object>
            </w:r>
          </w:p>
        </w:tc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Слоеве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492" w:dyaOrig="408">
                <v:shape id="_x0000_i1026" type="#_x0000_t75" style="width:24.6pt;height:20.4pt" o:ole="">
                  <v:imagedata r:id="rId15" o:title=""/>
                </v:shape>
                <o:OLEObject Type="Embed" ProgID="PBrush" ShapeID="_x0000_i1026" DrawAspect="Content" ObjectID="_1796210001" r:id="rId16"/>
              </w:object>
            </w:r>
          </w:p>
        </w:tc>
        <w:tc>
          <w:tcPr>
            <w:tcW w:w="4531" w:type="dxa"/>
          </w:tcPr>
          <w:p w:rsidR="002F7F04" w:rsidRPr="003A50D9" w:rsidRDefault="003A50D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Справки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444" w:dyaOrig="420">
                <v:shape id="_x0000_i1027" type="#_x0000_t75" style="width:22.2pt;height:21pt" o:ole="">
                  <v:imagedata r:id="rId17" o:title=""/>
                </v:shape>
                <o:OLEObject Type="Embed" ProgID="PBrush" ShapeID="_x0000_i1027" DrawAspect="Content" ObjectID="_1796210002" r:id="rId18"/>
              </w:object>
            </w:r>
          </w:p>
        </w:tc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Легенда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432" w:dyaOrig="456">
                <v:shape id="_x0000_i1028" type="#_x0000_t75" style="width:21.6pt;height:22.8pt" o:ole="">
                  <v:imagedata r:id="rId19" o:title=""/>
                </v:shape>
                <o:OLEObject Type="Embed" ProgID="PBrush" ShapeID="_x0000_i1028" DrawAspect="Content" ObjectID="_1796210003" r:id="rId20"/>
              </w:object>
            </w:r>
          </w:p>
        </w:tc>
        <w:tc>
          <w:tcPr>
            <w:tcW w:w="4531" w:type="dxa"/>
          </w:tcPr>
          <w:p w:rsidR="002F7F04" w:rsidRDefault="00381C5D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За системата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492" w:dyaOrig="456">
                <v:shape id="_x0000_i1029" type="#_x0000_t75" style="width:24.6pt;height:22.8pt" o:ole="">
                  <v:imagedata r:id="rId21" o:title=""/>
                </v:shape>
                <o:OLEObject Type="Embed" ProgID="PBrush" ShapeID="_x0000_i1029" DrawAspect="Content" ObjectID="_1796210004" r:id="rId22"/>
              </w:object>
            </w:r>
          </w:p>
        </w:tc>
        <w:tc>
          <w:tcPr>
            <w:tcW w:w="4531" w:type="dxa"/>
          </w:tcPr>
          <w:p w:rsidR="002F7F04" w:rsidRPr="003A50D9" w:rsidRDefault="003A50D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Приближи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540" w:dyaOrig="456">
                <v:shape id="_x0000_i1030" type="#_x0000_t75" style="width:27pt;height:22.8pt" o:ole="">
                  <v:imagedata r:id="rId23" o:title=""/>
                </v:shape>
                <o:OLEObject Type="Embed" ProgID="PBrush" ShapeID="_x0000_i1030" DrawAspect="Content" ObjectID="_1796210005" r:id="rId24"/>
              </w:object>
            </w:r>
          </w:p>
        </w:tc>
        <w:tc>
          <w:tcPr>
            <w:tcW w:w="4531" w:type="dxa"/>
          </w:tcPr>
          <w:p w:rsidR="002F7F04" w:rsidRPr="006E3FC9" w:rsidRDefault="006E3FC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Маркирай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588" w:dyaOrig="456">
                <v:shape id="_x0000_i1031" type="#_x0000_t75" style="width:29.4pt;height:22.8pt" o:ole="">
                  <v:imagedata r:id="rId25" o:title=""/>
                </v:shape>
                <o:OLEObject Type="Embed" ProgID="PBrush" ShapeID="_x0000_i1031" DrawAspect="Content" ObjectID="_1796210006" r:id="rId26"/>
              </w:object>
            </w:r>
          </w:p>
        </w:tc>
        <w:tc>
          <w:tcPr>
            <w:tcW w:w="4531" w:type="dxa"/>
          </w:tcPr>
          <w:p w:rsidR="002F7F04" w:rsidRDefault="003A50D9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Справка за покритие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396" w:dyaOrig="432">
                <v:shape id="_x0000_i1032" type="#_x0000_t75" style="width:19.8pt;height:21.6pt" o:ole="">
                  <v:imagedata r:id="rId27" o:title=""/>
                </v:shape>
                <o:OLEObject Type="Embed" ProgID="PBrush" ShapeID="_x0000_i1032" DrawAspect="Content" ObjectID="_1796210007" r:id="rId28"/>
              </w:object>
            </w:r>
          </w:p>
        </w:tc>
        <w:tc>
          <w:tcPr>
            <w:tcW w:w="4531" w:type="dxa"/>
          </w:tcPr>
          <w:p w:rsidR="002F7F04" w:rsidRPr="003A50D9" w:rsidRDefault="003A50D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Начало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420" w:dyaOrig="360">
                <v:shape id="_x0000_i1033" type="#_x0000_t75" style="width:21pt;height:18pt" o:ole="">
                  <v:imagedata r:id="rId29" o:title=""/>
                </v:shape>
                <o:OLEObject Type="Embed" ProgID="PBrush" ShapeID="_x0000_i1033" DrawAspect="Content" ObjectID="_1796210008" r:id="rId30"/>
              </w:object>
            </w:r>
          </w:p>
        </w:tc>
        <w:tc>
          <w:tcPr>
            <w:tcW w:w="4531" w:type="dxa"/>
          </w:tcPr>
          <w:p w:rsidR="002F7F04" w:rsidRPr="003A50D9" w:rsidRDefault="003A50D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Приближи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444" w:dyaOrig="336">
                <v:shape id="_x0000_i1034" type="#_x0000_t75" style="width:22.2pt;height:16.8pt" o:ole="">
                  <v:imagedata r:id="rId31" o:title=""/>
                </v:shape>
                <o:OLEObject Type="Embed" ProgID="PBrush" ShapeID="_x0000_i1034" DrawAspect="Content" ObjectID="_1796210009" r:id="rId32"/>
              </w:object>
            </w:r>
          </w:p>
        </w:tc>
        <w:tc>
          <w:tcPr>
            <w:tcW w:w="4531" w:type="dxa"/>
          </w:tcPr>
          <w:p w:rsidR="002F7F04" w:rsidRPr="003A50D9" w:rsidRDefault="003A50D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Отдалечи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396" w:dyaOrig="324">
                <v:shape id="_x0000_i1035" type="#_x0000_t75" style="width:19.8pt;height:16.2pt" o:ole="">
                  <v:imagedata r:id="rId33" o:title=""/>
                </v:shape>
                <o:OLEObject Type="Embed" ProgID="PBrush" ShapeID="_x0000_i1035" DrawAspect="Content" ObjectID="_1796210010" r:id="rId34"/>
              </w:object>
            </w:r>
          </w:p>
        </w:tc>
        <w:tc>
          <w:tcPr>
            <w:tcW w:w="4531" w:type="dxa"/>
          </w:tcPr>
          <w:p w:rsidR="002F7F04" w:rsidRDefault="003A50D9" w:rsidP="00F674D5">
            <w:pPr>
              <w:pStyle w:val="P68B1DB1-Normal5"/>
              <w:spacing w:after="100" w:afterAutospacing="1" w:line="276" w:lineRule="auto"/>
              <w:jc w:val="both"/>
            </w:pPr>
            <w:r>
              <w:t>Предишен изглед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396" w:dyaOrig="336">
                <v:shape id="_x0000_i1036" type="#_x0000_t75" style="width:19.8pt;height:16.8pt" o:ole="">
                  <v:imagedata r:id="rId35" o:title=""/>
                </v:shape>
                <o:OLEObject Type="Embed" ProgID="PBrush" ShapeID="_x0000_i1036" DrawAspect="Content" ObjectID="_1796210011" r:id="rId36"/>
              </w:object>
            </w:r>
          </w:p>
        </w:tc>
        <w:tc>
          <w:tcPr>
            <w:tcW w:w="4531" w:type="dxa"/>
          </w:tcPr>
          <w:p w:rsidR="002F7F04" w:rsidRPr="003A50D9" w:rsidRDefault="00381C5D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t xml:space="preserve">Следващ </w:t>
            </w:r>
            <w:r w:rsidR="003A50D9">
              <w:rPr>
                <w:lang w:val="bg-BG"/>
              </w:rPr>
              <w:t>изглед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372" w:dyaOrig="360">
                <v:shape id="_x0000_i1037" type="#_x0000_t75" style="width:18.6pt;height:18pt" o:ole="">
                  <v:imagedata r:id="rId37" o:title=""/>
                </v:shape>
                <o:OLEObject Type="Embed" ProgID="PBrush" ShapeID="_x0000_i1037" DrawAspect="Content" ObjectID="_1796210012" r:id="rId38"/>
              </w:object>
            </w:r>
          </w:p>
        </w:tc>
        <w:tc>
          <w:tcPr>
            <w:tcW w:w="4531" w:type="dxa"/>
          </w:tcPr>
          <w:p w:rsidR="002F7F04" w:rsidRPr="003A50D9" w:rsidRDefault="003A50D9" w:rsidP="00F674D5">
            <w:pPr>
              <w:pStyle w:val="P68B1DB1-Normal5"/>
              <w:spacing w:after="100" w:afterAutospacing="1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Изчисти</w:t>
            </w:r>
          </w:p>
        </w:tc>
      </w:tr>
      <w:tr w:rsidR="002F7F04">
        <w:trPr>
          <w:trHeight w:val="58"/>
        </w:trPr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432" w:dyaOrig="372">
                <v:shape id="_x0000_i1038" type="#_x0000_t75" style="width:21.6pt;height:18.6pt" o:ole="">
                  <v:imagedata r:id="rId39" o:title=""/>
                </v:shape>
                <o:OLEObject Type="Embed" ProgID="PBrush" ShapeID="_x0000_i1038" DrawAspect="Content" ObjectID="_1796210013" r:id="rId40"/>
              </w:object>
            </w:r>
          </w:p>
        </w:tc>
        <w:tc>
          <w:tcPr>
            <w:tcW w:w="4531" w:type="dxa"/>
          </w:tcPr>
          <w:p w:rsidR="002F7F04" w:rsidRDefault="003A50D9" w:rsidP="00F674D5">
            <w:pPr>
              <w:pStyle w:val="P68B1DB1-Normal5"/>
              <w:spacing w:after="100" w:afterAutospacing="1" w:line="276" w:lineRule="auto"/>
              <w:jc w:val="both"/>
            </w:pPr>
            <w:r>
              <w:rPr>
                <w:lang w:val="bg-BG"/>
              </w:rPr>
              <w:t>Базови</w:t>
            </w:r>
            <w:r w:rsidR="00381C5D">
              <w:t xml:space="preserve"> карти</w:t>
            </w:r>
          </w:p>
        </w:tc>
      </w:tr>
      <w:tr w:rsidR="002F7F04">
        <w:tc>
          <w:tcPr>
            <w:tcW w:w="4531" w:type="dxa"/>
          </w:tcPr>
          <w:p w:rsidR="002F7F04" w:rsidRDefault="005656D9" w:rsidP="00F674D5">
            <w:pPr>
              <w:spacing w:after="100" w:afterAutospacing="1" w:line="276" w:lineRule="auto"/>
              <w:jc w:val="both"/>
            </w:pPr>
            <w:r>
              <w:object w:dxaOrig="408" w:dyaOrig="372">
                <v:shape id="_x0000_i1039" type="#_x0000_t75" style="width:20.4pt;height:18.6pt" o:ole="">
                  <v:imagedata r:id="rId41" o:title=""/>
                </v:shape>
                <o:OLEObject Type="Embed" ProgID="PBrush" ShapeID="_x0000_i1039" DrawAspect="Content" ObjectID="_1796210014" r:id="rId42"/>
              </w:object>
            </w:r>
          </w:p>
        </w:tc>
        <w:tc>
          <w:tcPr>
            <w:tcW w:w="4531" w:type="dxa"/>
          </w:tcPr>
          <w:p w:rsidR="002F7F04" w:rsidRDefault="003A50D9" w:rsidP="00F674D5">
            <w:pPr>
              <w:pStyle w:val="P68B1DB1-Normal5"/>
              <w:spacing w:after="100" w:afterAutospacing="1" w:line="276" w:lineRule="auto"/>
              <w:jc w:val="both"/>
            </w:pPr>
            <w:r>
              <w:rPr>
                <w:lang w:val="bg-BG"/>
              </w:rPr>
              <w:t>Изчертаване по</w:t>
            </w:r>
            <w:r>
              <w:t xml:space="preserve"> координати</w:t>
            </w:r>
          </w:p>
        </w:tc>
      </w:tr>
    </w:tbl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8B60FC" w:rsidRPr="008B60FC" w:rsidRDefault="008B60FC" w:rsidP="00F674D5">
      <w:pPr>
        <w:pStyle w:val="P68B1DB1-Normal6"/>
        <w:spacing w:after="100" w:afterAutospacing="1" w:line="276" w:lineRule="auto"/>
        <w:jc w:val="both"/>
        <w:rPr>
          <w:lang w:val="bg-BG"/>
        </w:rPr>
      </w:pPr>
      <w:r>
        <w:rPr>
          <w:lang w:val="bg-BG"/>
        </w:rPr>
        <w:t>Обхват на базата данни и допустими отклонения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Данните з</w:t>
      </w:r>
      <w:r w:rsidR="003A50D9">
        <w:t xml:space="preserve">а </w:t>
      </w:r>
      <w:r w:rsidR="006636F8">
        <w:rPr>
          <w:lang w:val="bg-BG"/>
        </w:rPr>
        <w:t>наличието на широколентов достъп</w:t>
      </w:r>
      <w:r w:rsidR="006636F8">
        <w:t xml:space="preserve"> </w:t>
      </w:r>
      <w:r w:rsidR="003A50D9">
        <w:t>се събират от бизнеса</w:t>
      </w:r>
      <w:r>
        <w:t xml:space="preserve">, в промишлените области, в областите със смесено предназначение, където присъстват частни домакинства и дружества. Базата данни е генерирана чрез комбиниране на данни от различни източници и впоследствие </w:t>
      </w:r>
      <w:r w:rsidR="006636F8">
        <w:rPr>
          <w:lang w:val="bg-BG"/>
        </w:rPr>
        <w:t>е</w:t>
      </w:r>
      <w:r w:rsidR="003A50D9">
        <w:t xml:space="preserve"> частично изчистена. </w:t>
      </w:r>
      <w:r w:rsidR="003A50D9">
        <w:rPr>
          <w:lang w:val="bg-BG"/>
        </w:rPr>
        <w:t xml:space="preserve">За </w:t>
      </w:r>
      <w:r w:rsidR="0008009C">
        <w:rPr>
          <w:lang w:val="bg-BG"/>
        </w:rPr>
        <w:t>базата</w:t>
      </w:r>
      <w:r>
        <w:t xml:space="preserve"> данни не </w:t>
      </w:r>
      <w:r w:rsidR="003A50D9">
        <w:rPr>
          <w:lang w:val="bg-BG"/>
        </w:rPr>
        <w:t xml:space="preserve">се </w:t>
      </w:r>
      <w:r>
        <w:t>твърди, че е пълна.</w:t>
      </w:r>
    </w:p>
    <w:p w:rsidR="002F7F04" w:rsidRDefault="003A50D9" w:rsidP="00F674D5">
      <w:pPr>
        <w:pStyle w:val="P68B1DB1-Normal5"/>
        <w:spacing w:after="100" w:afterAutospacing="1" w:line="276" w:lineRule="auto"/>
        <w:jc w:val="both"/>
      </w:pPr>
      <w:r>
        <w:t xml:space="preserve">Показанията за пазара на </w:t>
      </w:r>
      <w:r w:rsidR="00381C5D">
        <w:t>широколентово покритие се основава</w:t>
      </w:r>
      <w:r w:rsidR="006636F8">
        <w:rPr>
          <w:lang w:val="bg-BG"/>
        </w:rPr>
        <w:t>т</w:t>
      </w:r>
      <w:r w:rsidR="00381C5D">
        <w:t xml:space="preserve"> на данни, получени от доставчиците на широколентов достъп и впоследствие обработени от MTC. Тъй като търговските широколентови решения често са силно персонализирани, действителната ситуация на местно покритие може да бъде различна. </w:t>
      </w:r>
    </w:p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2F7F04" w:rsidRDefault="00381C5D" w:rsidP="00F674D5">
      <w:pPr>
        <w:pStyle w:val="P68B1DB1-Normal5"/>
        <w:spacing w:after="100" w:afterAutospacing="1"/>
      </w:pPr>
      <w:r>
        <w:br w:type="page"/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lastRenderedPageBreak/>
        <w:t>Приложение 1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 xml:space="preserve">Доставчици на данни в </w:t>
      </w:r>
      <w:r w:rsidR="003A50D9">
        <w:rPr>
          <w:lang w:val="bg-BG"/>
        </w:rPr>
        <w:t>ЕИТ</w:t>
      </w:r>
      <w:r>
        <w:t>, чиито данни са били използвани за картографиране на нуждите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Булгартрансгаз ЕАД 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Бояна ЕООД 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Изоглас Комуникации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A50D9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Булгартел</w:t>
            </w:r>
            <w:r w:rsidR="00381C5D" w:rsidRPr="003A50D9">
              <w:rPr>
                <w:szCs w:val="24"/>
              </w:rPr>
              <w:t xml:space="preserve"> 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Овергаз Мрежи АД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Булсатком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A3532F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>
              <w:rPr>
                <w:szCs w:val="24"/>
                <w:lang w:val="bg-BG"/>
              </w:rPr>
              <w:t>Е</w:t>
            </w:r>
            <w:r w:rsidR="00981CE8">
              <w:rPr>
                <w:szCs w:val="24"/>
                <w:lang w:val="bg-BG"/>
              </w:rPr>
              <w:t>РП</w:t>
            </w:r>
            <w:r w:rsidRPr="003A50D9">
              <w:rPr>
                <w:szCs w:val="24"/>
              </w:rPr>
              <w:t xml:space="preserve"> </w:t>
            </w:r>
            <w:r w:rsidR="00381C5D" w:rsidRPr="003A50D9">
              <w:rPr>
                <w:szCs w:val="24"/>
              </w:rPr>
              <w:t>Север АД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Бумеранг ФМ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А1 България ЕАД </w:t>
            </w:r>
            <w:r w:rsidRPr="003A50D9">
              <w:rPr>
                <w:b/>
                <w:szCs w:val="24"/>
              </w:rPr>
              <w:t>(А1)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Бургаснет 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Агенция „Пътна инфраструктура“ 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Българска телекомуникационна компания ЕАД </w:t>
            </w:r>
            <w:r w:rsidRPr="003A50D9">
              <w:rPr>
                <w:b/>
                <w:szCs w:val="24"/>
              </w:rPr>
              <w:t>(ВИВАКОМ)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„Атлантида Нет“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Варна Нет 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Боряна ЕООД</w:t>
            </w:r>
          </w:p>
        </w:tc>
        <w:tc>
          <w:tcPr>
            <w:tcW w:w="4531" w:type="dxa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Вестител БГ 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Киви-ТВ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Ком Нет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Вирджиния-Р Н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Комнет България Холдинг 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Дигитал Комуникации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Комнет София ЕАД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Добруджа Кейбъл ЕООД 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Охладителна кутия АД 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Държавна агенция „Електронно управление“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Лъки 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Еволинк АД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„М Сат Кабел“ ЕАД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Електроника НС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„Минпроджект“ ЕАД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I Connect OOD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Мултимедия БГ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Интер Кариер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„Нет 1“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Кабелна телевизия Делта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Нетбокс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Кейбълнет (Русе) ООД 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Нетера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Нетком (Карнобат)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Община Априлци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„Нет-сърф.нет“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Община Бургас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Мрежи-България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Община Елхово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„Нино Р 27“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Община Перник 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„Новател“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Община Разград 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„Пълдин Нет“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Столична община 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„Пълдин ТВ“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Скат — Питеком 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Резонанс ЕООД 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„София Кънекти“ ЕАД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Скай Фибър АД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SSV ЕАД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Скат ТВ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Телекабъл АД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Скат Телеком 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Транскабъл ТВ 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Телекомуникационна компания Варна ЕАД 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 xml:space="preserve">Цетин България </w:t>
            </w:r>
            <w:r w:rsidRPr="003A50D9">
              <w:rPr>
                <w:b/>
                <w:szCs w:val="24"/>
              </w:rPr>
              <w:t>(CETIN)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„Телия Кариер България“ ЕООД</w:t>
            </w:r>
          </w:p>
        </w:tc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Юнайтед Тауърс България ЕООД</w:t>
            </w:r>
          </w:p>
        </w:tc>
      </w:tr>
      <w:tr w:rsidR="002F7F04" w:rsidRPr="003A50D9">
        <w:tc>
          <w:tcPr>
            <w:tcW w:w="4531" w:type="dxa"/>
            <w:vAlign w:val="bottom"/>
          </w:tcPr>
          <w:p w:rsidR="002F7F04" w:rsidRPr="003A50D9" w:rsidRDefault="00381C5D" w:rsidP="00F674D5">
            <w:pPr>
              <w:pStyle w:val="P68B1DB1-Normal7"/>
              <w:spacing w:after="100" w:afterAutospacing="1" w:line="276" w:lineRule="auto"/>
              <w:jc w:val="both"/>
              <w:rPr>
                <w:szCs w:val="24"/>
              </w:rPr>
            </w:pPr>
            <w:r w:rsidRPr="003A50D9">
              <w:rPr>
                <w:szCs w:val="24"/>
              </w:rPr>
              <w:t>Теранет ЕООД</w:t>
            </w:r>
          </w:p>
        </w:tc>
        <w:tc>
          <w:tcPr>
            <w:tcW w:w="4531" w:type="dxa"/>
            <w:vAlign w:val="bottom"/>
          </w:tcPr>
          <w:p w:rsidR="002F7F04" w:rsidRPr="003A50D9" w:rsidRDefault="002F7F04" w:rsidP="00F674D5">
            <w:pPr>
              <w:spacing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2F7F04" w:rsidRPr="003A50D9" w:rsidRDefault="009379B1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  <w:lang w:val="bg-BG"/>
        </w:rPr>
      </w:pPr>
      <w:r w:rsidRPr="009379B1">
        <w:rPr>
          <w:rFonts w:ascii="Times New Roman" w:hAnsi="Times New Roman" w:cs="Times New Roman"/>
          <w:sz w:val="24"/>
        </w:rPr>
        <w:t>Регистър на доставчиците на обществени електронни съобщителни мрежи и услуги</w:t>
      </w:r>
      <w:r>
        <w:rPr>
          <w:rFonts w:ascii="Times New Roman" w:hAnsi="Times New Roman" w:cs="Times New Roman"/>
          <w:sz w:val="24"/>
          <w:lang w:val="bg-BG"/>
        </w:rPr>
        <w:t xml:space="preserve"> и </w:t>
      </w:r>
      <w:r w:rsidR="00381C5D">
        <w:rPr>
          <w:rFonts w:ascii="Times New Roman" w:hAnsi="Times New Roman" w:cs="Times New Roman"/>
          <w:sz w:val="24"/>
        </w:rPr>
        <w:t>годишни доклади на КРС са достъпни на</w:t>
      </w:r>
      <w:r w:rsidR="003A50D9">
        <w:rPr>
          <w:rFonts w:ascii="Times New Roman" w:hAnsi="Times New Roman" w:cs="Times New Roman"/>
          <w:sz w:val="24"/>
          <w:lang w:val="bg-BG"/>
        </w:rPr>
        <w:t xml:space="preserve"> адрес</w:t>
      </w:r>
      <w:r w:rsidR="00381C5D">
        <w:rPr>
          <w:rFonts w:ascii="Times New Roman" w:hAnsi="Times New Roman" w:cs="Times New Roman"/>
          <w:sz w:val="24"/>
        </w:rPr>
        <w:t xml:space="preserve">: </w:t>
      </w:r>
      <w:hyperlink r:id="rId43" w:history="1">
        <w:r w:rsidR="00381C5D">
          <w:rPr>
            <w:rStyle w:val="Hyperlink"/>
            <w:rFonts w:ascii="Times New Roman" w:hAnsi="Times New Roman" w:cs="Times New Roman"/>
            <w:sz w:val="24"/>
          </w:rPr>
          <w:t>https://crc.bg/ords/f?p=723:12:30286394632914</w:t>
        </w:r>
      </w:hyperlink>
      <w:r w:rsidR="003A50D9">
        <w:rPr>
          <w:rFonts w:ascii="Times New Roman" w:hAnsi="Times New Roman" w:cs="Times New Roman"/>
          <w:sz w:val="24"/>
          <w:lang w:val="bg-BG"/>
        </w:rPr>
        <w:t>.</w:t>
      </w:r>
    </w:p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>Често задавани въпроси и отговори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Общи въпроси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Проведено е цялостно картографиране на широколентовия достъп до интернет в цялата страна. </w:t>
      </w:r>
      <w:r w:rsidR="00BC2C5A">
        <w:rPr>
          <w:lang w:val="bg-BG"/>
        </w:rPr>
        <w:t>Проучването направи</w:t>
      </w:r>
      <w:r>
        <w:t xml:space="preserve"> моментна снимка както на частната, така и на публичната цифрова инфраструктура, наред с качеството на услугите, като </w:t>
      </w:r>
      <w:r w:rsidR="00BC2C5A">
        <w:t>с</w:t>
      </w:r>
      <w:r w:rsidR="00BC2C5A">
        <w:rPr>
          <w:lang w:val="bg-BG"/>
        </w:rPr>
        <w:t>а</w:t>
      </w:r>
      <w:r w:rsidR="00BC2C5A">
        <w:t xml:space="preserve"> използва</w:t>
      </w:r>
      <w:r w:rsidR="00BC2C5A">
        <w:rPr>
          <w:lang w:val="bg-BG"/>
        </w:rPr>
        <w:t>ни</w:t>
      </w:r>
      <w:r w:rsidR="00BC2C5A">
        <w:t xml:space="preserve"> </w:t>
      </w:r>
      <w:r>
        <w:t xml:space="preserve">стандартни показатели за картографиране на широколентовите мрежи. Оценката и анализът на комуникационната свързаност и широколентовото покритие </w:t>
      </w:r>
      <w:r w:rsidR="00BC2C5A">
        <w:rPr>
          <w:lang w:val="bg-BG"/>
        </w:rPr>
        <w:t>са</w:t>
      </w:r>
      <w:r w:rsidR="00BC2C5A">
        <w:t xml:space="preserve"> </w:t>
      </w:r>
      <w:r>
        <w:t>направени с уеб-базирано ГИС приложение, интегриращо данни от Единната информационна точка (</w:t>
      </w:r>
      <w:r w:rsidR="00605C3B">
        <w:rPr>
          <w:lang w:val="bg-BG"/>
        </w:rPr>
        <w:t>ЕИТ/</w:t>
      </w:r>
      <w:r>
        <w:t xml:space="preserve">SIP), Комисията за регулиране на съобщенията (КРС) и различни </w:t>
      </w:r>
      <w:r w:rsidR="00605C3B">
        <w:rPr>
          <w:lang w:val="bg-BG"/>
        </w:rPr>
        <w:t>телекомуникационни</w:t>
      </w:r>
      <w:r>
        <w:t xml:space="preserve"> </w:t>
      </w:r>
      <w:r w:rsidR="00605C3B">
        <w:rPr>
          <w:lang w:val="bg-BG"/>
        </w:rPr>
        <w:t>оператори</w:t>
      </w:r>
      <w:r>
        <w:t xml:space="preserve">. Този подход улесни определянето на географските райони, </w:t>
      </w:r>
      <w:r w:rsidR="00BC2C5A">
        <w:rPr>
          <w:lang w:val="bg-BG"/>
        </w:rPr>
        <w:t>планирани</w:t>
      </w:r>
      <w:r w:rsidR="00BC2C5A">
        <w:t xml:space="preserve"> </w:t>
      </w:r>
      <w:r>
        <w:t xml:space="preserve">за </w:t>
      </w:r>
      <w:r w:rsidR="00BC2C5A">
        <w:rPr>
          <w:lang w:val="bg-BG"/>
        </w:rPr>
        <w:t>намеса</w:t>
      </w:r>
      <w:r w:rsidR="00BC2C5A">
        <w:t xml:space="preserve"> </w:t>
      </w:r>
      <w:r>
        <w:t xml:space="preserve">чрез държавна помощ по проекта </w:t>
      </w:r>
      <w:r w:rsidR="00605C3B">
        <w:rPr>
          <w:lang w:val="bg-BG"/>
        </w:rPr>
        <w:t>по Националния план за възстановяване и устойчивост (НП</w:t>
      </w:r>
      <w:r>
        <w:t>ВУ</w:t>
      </w:r>
      <w:r w:rsidR="00605C3B">
        <w:rPr>
          <w:lang w:val="bg-BG"/>
        </w:rPr>
        <w:t>)</w:t>
      </w:r>
      <w:r>
        <w:t>.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Данните </w:t>
      </w:r>
      <w:r w:rsidR="00BC2C5A">
        <w:rPr>
          <w:lang w:val="bg-BG"/>
        </w:rPr>
        <w:t>са</w:t>
      </w:r>
      <w:r w:rsidR="00BC2C5A">
        <w:t xml:space="preserve"> </w:t>
      </w:r>
      <w:r>
        <w:t>събрани с точност от 100 метра на 100 метра, което осигури подробна</w:t>
      </w:r>
      <w:r w:rsidR="00BC2C5A">
        <w:rPr>
          <w:lang w:val="bg-BG"/>
        </w:rPr>
        <w:t>, актуална</w:t>
      </w:r>
      <w:r>
        <w:t xml:space="preserve">информация за последващото разгръщане на </w:t>
      </w:r>
      <w:r w:rsidR="00997C70">
        <w:rPr>
          <w:lang w:val="bg-BG"/>
        </w:rPr>
        <w:t>цифрова</w:t>
      </w:r>
      <w:r>
        <w:t xml:space="preserve"> инфраструктура. Тази инициатива за задълбочено картографиране е от основно значение за определяне на конкретни области, нуждаещи се от държавна намеса, като по този начин се насърчава по-свързана и устойчива България.</w:t>
      </w:r>
    </w:p>
    <w:p w:rsidR="002F7F04" w:rsidRDefault="00381C5D" w:rsidP="00F674D5">
      <w:pPr>
        <w:pStyle w:val="P68B1DB1-Normal10"/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bg-BG"/>
        </w:rPr>
        <w:drawing>
          <wp:inline distT="0" distB="0" distL="0" distR="0" wp14:anchorId="48D54CE3" wp14:editId="39F38D1D">
            <wp:extent cx="5753100" cy="3261360"/>
            <wp:effectExtent l="0" t="0" r="0" b="0"/>
            <wp:docPr id="4" name="Сним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p w:rsidR="002F7F04" w:rsidRDefault="00381C5D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bg-BG"/>
        </w:rPr>
        <w:lastRenderedPageBreak/>
        <w:drawing>
          <wp:inline distT="0" distB="0" distL="0" distR="0" wp14:anchorId="7E5223B4" wp14:editId="3030A61B">
            <wp:extent cx="5753100" cy="4008120"/>
            <wp:effectExtent l="0" t="0" r="0" b="0"/>
            <wp:docPr id="3" name="Сним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Кой използва картографирането на комуникационната свързаност в България?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Картографирането на комуникационната свързаност в България, направено от уеб ГИС приложението към </w:t>
      </w:r>
      <w:r w:rsidR="00997C70">
        <w:rPr>
          <w:lang w:val="bg-BG"/>
        </w:rPr>
        <w:t>ЕИТ</w:t>
      </w:r>
      <w:r>
        <w:t>, може да се използва от всички гр</w:t>
      </w:r>
      <w:r w:rsidR="00997C70">
        <w:t>аждани и заинтересовани страни, а в</w:t>
      </w:r>
      <w:r>
        <w:t xml:space="preserve"> този случай е </w:t>
      </w:r>
      <w:r w:rsidR="001A0FF9">
        <w:rPr>
          <w:lang w:val="bg-BG"/>
        </w:rPr>
        <w:t xml:space="preserve">използвано </w:t>
      </w:r>
      <w:r>
        <w:t xml:space="preserve">за нуждите на проекта </w:t>
      </w:r>
      <w:r w:rsidR="00997C70">
        <w:rPr>
          <w:lang w:val="bg-BG"/>
        </w:rPr>
        <w:t>по НП</w:t>
      </w:r>
      <w:r>
        <w:t xml:space="preserve">ВУ за широкомащабно </w:t>
      </w:r>
      <w:r w:rsidR="00BC2C5A">
        <w:rPr>
          <w:lang w:val="bg-BG"/>
        </w:rPr>
        <w:t>разгръщане</w:t>
      </w:r>
      <w:r w:rsidR="00BC2C5A">
        <w:t xml:space="preserve"> </w:t>
      </w:r>
      <w:r>
        <w:t>на цифрова инфраструктура.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 xml:space="preserve">Защо </w:t>
      </w:r>
      <w:r w:rsidR="0008009C">
        <w:rPr>
          <w:lang w:val="bg-BG"/>
        </w:rPr>
        <w:t>липсва</w:t>
      </w:r>
      <w:r w:rsidR="00EF61E3">
        <w:t xml:space="preserve"> информация от </w:t>
      </w:r>
      <w:r w:rsidR="0008009C">
        <w:rPr>
          <w:lang w:val="bg-BG"/>
        </w:rPr>
        <w:t>доставчици</w:t>
      </w:r>
      <w:r w:rsidR="00EF61E3">
        <w:t xml:space="preserve"> на</w:t>
      </w:r>
      <w:r w:rsidR="00EF61E3">
        <w:rPr>
          <w:lang w:val="bg-BG"/>
        </w:rPr>
        <w:t xml:space="preserve"> </w:t>
      </w:r>
      <w:r>
        <w:t xml:space="preserve">широколентови </w:t>
      </w:r>
      <w:r w:rsidR="00EF61E3">
        <w:rPr>
          <w:lang w:val="bg-BG"/>
        </w:rPr>
        <w:t>услуги</w:t>
      </w:r>
      <w:r>
        <w:t>?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От всички доставчици на широколентов достъп в България редовно се изисква да предоставят своите данни. Някои доставчици все още не са </w:t>
      </w:r>
      <w:r w:rsidR="00EF61E3">
        <w:rPr>
          <w:lang w:val="bg-BG"/>
        </w:rPr>
        <w:t xml:space="preserve">предоставили </w:t>
      </w:r>
      <w:r>
        <w:t xml:space="preserve">никакви данни, по-специално поради липса на време или липса на технически способности. Данните се предават и предоставят на доброволен принцип. Дружествата, които понастоящем не са </w:t>
      </w:r>
      <w:r w:rsidR="00EF61E3">
        <w:rPr>
          <w:lang w:val="bg-BG"/>
        </w:rPr>
        <w:t>включени</w:t>
      </w:r>
      <w:r>
        <w:t xml:space="preserve">, ще бъдат включени в списъка веднага след като предоставят данни. </w:t>
      </w:r>
      <w:r w:rsidR="001A0FF9">
        <w:rPr>
          <w:lang w:val="bg-BG"/>
        </w:rPr>
        <w:t>Би</w:t>
      </w:r>
      <w:r w:rsidR="00BC2C5A">
        <w:rPr>
          <w:lang w:val="bg-BG"/>
        </w:rPr>
        <w:t>хме могли да бъдем</w:t>
      </w:r>
      <w:r>
        <w:t xml:space="preserve"> </w:t>
      </w:r>
      <w:r w:rsidR="00BC2C5A">
        <w:t>информира</w:t>
      </w:r>
      <w:r w:rsidR="00BC2C5A">
        <w:rPr>
          <w:lang w:val="bg-BG"/>
        </w:rPr>
        <w:t>ни</w:t>
      </w:r>
      <w:r w:rsidR="00BC2C5A">
        <w:t xml:space="preserve"> </w:t>
      </w:r>
      <w:r>
        <w:t xml:space="preserve">за липсващи доставчици на широколентов достъп (телекомуникационни компании), например чрез </w:t>
      </w:r>
      <w:r w:rsidR="0008009C">
        <w:rPr>
          <w:lang w:val="bg-BG"/>
        </w:rPr>
        <w:t>възможностите</w:t>
      </w:r>
      <w:r>
        <w:t xml:space="preserve"> за контакт на </w:t>
      </w:r>
      <w:r w:rsidR="00EF61E3">
        <w:rPr>
          <w:lang w:val="bg-BG"/>
        </w:rPr>
        <w:t>ЕИТ</w:t>
      </w:r>
      <w:r>
        <w:t>.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Задължени ли са дружествата да предоставят данните си?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t xml:space="preserve">Телекомуникационните дружества са предоставили своите данни за широколентово покритие на Министерството на транспорта и съобщенията на доброволен принцип. По този начин общините, които действително са обхванати, могат да бъдат показани като не напълно обхванати в отделни случаи. </w:t>
      </w:r>
    </w:p>
    <w:p w:rsidR="002F7F04" w:rsidRDefault="00381C5D" w:rsidP="00F674D5">
      <w:pPr>
        <w:pStyle w:val="P68B1DB1-Normal6"/>
        <w:spacing w:after="100" w:afterAutospacing="1" w:line="276" w:lineRule="auto"/>
        <w:jc w:val="both"/>
      </w:pPr>
      <w:r>
        <w:t>Как могат да допринесат доставчиците на широколентов достъп?</w:t>
      </w:r>
    </w:p>
    <w:p w:rsidR="002F7F04" w:rsidRDefault="00381C5D" w:rsidP="00F674D5">
      <w:pPr>
        <w:pStyle w:val="P68B1DB1-Normal5"/>
        <w:spacing w:after="100" w:afterAutospacing="1" w:line="276" w:lineRule="auto"/>
        <w:jc w:val="both"/>
      </w:pPr>
      <w:r>
        <w:lastRenderedPageBreak/>
        <w:t>Порталът за широколентови данни, създаден специално за доставчиците на широколентов достъп, предлага различни възможности за лесно и бързо въвеждане или актуали</w:t>
      </w:r>
      <w:r w:rsidR="00D35785">
        <w:t xml:space="preserve">зиране на данните за </w:t>
      </w:r>
      <w:r w:rsidR="00D40F99">
        <w:rPr>
          <w:lang w:val="bg-BG"/>
        </w:rPr>
        <w:t>покритие</w:t>
      </w:r>
      <w:r>
        <w:t>.</w:t>
      </w:r>
    </w:p>
    <w:p w:rsidR="002F7F04" w:rsidRDefault="002F7F04" w:rsidP="00F674D5">
      <w:pPr>
        <w:spacing w:after="100" w:afterAutospacing="1" w:line="276" w:lineRule="auto"/>
        <w:jc w:val="both"/>
        <w:rPr>
          <w:rFonts w:ascii="Times New Roman" w:hAnsi="Times New Roman" w:cs="Times New Roman"/>
          <w:sz w:val="24"/>
        </w:rPr>
      </w:pPr>
    </w:p>
    <w:sectPr w:rsidR="002F7F04" w:rsidSect="0008009C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19C" w:rsidRDefault="009A119C">
      <w:pPr>
        <w:spacing w:after="0" w:line="240" w:lineRule="auto"/>
      </w:pPr>
      <w:r>
        <w:separator/>
      </w:r>
    </w:p>
  </w:endnote>
  <w:endnote w:type="continuationSeparator" w:id="0">
    <w:p w:rsidR="009A119C" w:rsidRDefault="009A1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19C" w:rsidRDefault="009A119C">
      <w:pPr>
        <w:spacing w:after="0" w:line="240" w:lineRule="auto"/>
      </w:pPr>
      <w:r>
        <w:separator/>
      </w:r>
    </w:p>
  </w:footnote>
  <w:footnote w:type="continuationSeparator" w:id="0">
    <w:p w:rsidR="009A119C" w:rsidRDefault="009A119C">
      <w:pPr>
        <w:spacing w:after="0" w:line="240" w:lineRule="auto"/>
      </w:pPr>
      <w:r>
        <w:continuationSeparator/>
      </w:r>
    </w:p>
  </w:footnote>
  <w:footnote w:id="1">
    <w:p w:rsidR="008B60FC" w:rsidRPr="004B4A24" w:rsidRDefault="008B60F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6A39A4">
          <w:rPr>
            <w:rStyle w:val="Hyperlink"/>
          </w:rPr>
          <w:t>https://sipbg.gov.bg/SIP.Experts/</w:t>
        </w:r>
      </w:hyperlink>
      <w:r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8649E"/>
    <w:multiLevelType w:val="hybridMultilevel"/>
    <w:tmpl w:val="F95E1CA4"/>
    <w:lvl w:ilvl="0" w:tplc="BED817D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35BF3"/>
    <w:multiLevelType w:val="hybridMultilevel"/>
    <w:tmpl w:val="697E7F2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A6DAB"/>
    <w:multiLevelType w:val="hybridMultilevel"/>
    <w:tmpl w:val="01DA63F4"/>
    <w:lvl w:ilvl="0" w:tplc="34DA18DC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70EA8"/>
    <w:multiLevelType w:val="multilevel"/>
    <w:tmpl w:val="ED5094C2"/>
    <w:lvl w:ilvl="0">
      <w:start w:val="1"/>
      <w:numFmt w:val="decimal"/>
      <w:lvlText w:val="%1"/>
      <w:lvlJc w:val="left"/>
      <w:pPr>
        <w:ind w:left="2626" w:hanging="576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2626" w:hanging="576"/>
      </w:pPr>
      <w:rPr>
        <w:rFonts w:ascii="Arial" w:eastAsia="Arial" w:hAnsi="Arial" w:cs="Arial" w:hint="default"/>
        <w:b/>
        <w:bCs/>
        <w:i/>
        <w:iCs/>
        <w:color w:val="0079C2"/>
        <w:w w:val="99"/>
        <w:sz w:val="24"/>
        <w:szCs w:val="24"/>
        <w:lang w:val="de-DE" w:eastAsia="en-US" w:bidi="ar-SA"/>
      </w:rPr>
    </w:lvl>
    <w:lvl w:ilvl="2">
      <w:numFmt w:val="bullet"/>
      <w:lvlText w:val="•"/>
      <w:lvlJc w:val="left"/>
      <w:pPr>
        <w:ind w:left="4221" w:hanging="576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5021" w:hanging="57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822" w:hanging="57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623" w:hanging="57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423" w:hanging="57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224" w:hanging="57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025" w:hanging="576"/>
      </w:pPr>
      <w:rPr>
        <w:rFonts w:hint="default"/>
        <w:lang w:val="de-DE" w:eastAsia="en-US" w:bidi="ar-SA"/>
      </w:rPr>
    </w:lvl>
  </w:abstractNum>
  <w:abstractNum w:abstractNumId="4" w15:restartNumberingAfterBreak="0">
    <w:nsid w:val="7F7D229C"/>
    <w:multiLevelType w:val="hybridMultilevel"/>
    <w:tmpl w:val="35B2579E"/>
    <w:lvl w:ilvl="0" w:tplc="9A90328A">
      <w:start w:val="10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4FB"/>
    <w:rsid w:val="0000310E"/>
    <w:rsid w:val="000072D1"/>
    <w:rsid w:val="000124C2"/>
    <w:rsid w:val="000225FA"/>
    <w:rsid w:val="00066032"/>
    <w:rsid w:val="0008009C"/>
    <w:rsid w:val="000A0991"/>
    <w:rsid w:val="000A3D3A"/>
    <w:rsid w:val="000B3B8A"/>
    <w:rsid w:val="000C7470"/>
    <w:rsid w:val="000D5069"/>
    <w:rsid w:val="000D568D"/>
    <w:rsid w:val="0011596F"/>
    <w:rsid w:val="00115ADD"/>
    <w:rsid w:val="001264B8"/>
    <w:rsid w:val="00137575"/>
    <w:rsid w:val="00155CBE"/>
    <w:rsid w:val="001564A3"/>
    <w:rsid w:val="001828EA"/>
    <w:rsid w:val="00187BB8"/>
    <w:rsid w:val="00187F14"/>
    <w:rsid w:val="001A0FF9"/>
    <w:rsid w:val="001B5162"/>
    <w:rsid w:val="001C7C92"/>
    <w:rsid w:val="001F6D1E"/>
    <w:rsid w:val="00216C5E"/>
    <w:rsid w:val="00232292"/>
    <w:rsid w:val="0023277F"/>
    <w:rsid w:val="00244FFE"/>
    <w:rsid w:val="002635E3"/>
    <w:rsid w:val="00270E95"/>
    <w:rsid w:val="00275282"/>
    <w:rsid w:val="00277E74"/>
    <w:rsid w:val="002B10FC"/>
    <w:rsid w:val="002F7F04"/>
    <w:rsid w:val="00303741"/>
    <w:rsid w:val="003551AE"/>
    <w:rsid w:val="00360CF3"/>
    <w:rsid w:val="00381C5D"/>
    <w:rsid w:val="00392F14"/>
    <w:rsid w:val="003A50D9"/>
    <w:rsid w:val="003E3BBA"/>
    <w:rsid w:val="003E6475"/>
    <w:rsid w:val="00406CB5"/>
    <w:rsid w:val="0042089D"/>
    <w:rsid w:val="004263B6"/>
    <w:rsid w:val="00427C94"/>
    <w:rsid w:val="00446A23"/>
    <w:rsid w:val="00454CB2"/>
    <w:rsid w:val="00467704"/>
    <w:rsid w:val="004A1367"/>
    <w:rsid w:val="004B1924"/>
    <w:rsid w:val="004B4A24"/>
    <w:rsid w:val="004C2060"/>
    <w:rsid w:val="004C6B2C"/>
    <w:rsid w:val="004E52B1"/>
    <w:rsid w:val="004F6BAC"/>
    <w:rsid w:val="00504D00"/>
    <w:rsid w:val="005656D9"/>
    <w:rsid w:val="005728D9"/>
    <w:rsid w:val="005732E7"/>
    <w:rsid w:val="00583529"/>
    <w:rsid w:val="00592986"/>
    <w:rsid w:val="005A6CA6"/>
    <w:rsid w:val="005B2B74"/>
    <w:rsid w:val="005F10F8"/>
    <w:rsid w:val="006018DB"/>
    <w:rsid w:val="006041E8"/>
    <w:rsid w:val="00605A8B"/>
    <w:rsid w:val="00605C3B"/>
    <w:rsid w:val="006179DF"/>
    <w:rsid w:val="00644E93"/>
    <w:rsid w:val="006636F8"/>
    <w:rsid w:val="00672370"/>
    <w:rsid w:val="00680EAC"/>
    <w:rsid w:val="00685275"/>
    <w:rsid w:val="006C51D2"/>
    <w:rsid w:val="006C66A8"/>
    <w:rsid w:val="006E09C0"/>
    <w:rsid w:val="006E3FC9"/>
    <w:rsid w:val="006E74B4"/>
    <w:rsid w:val="00714E09"/>
    <w:rsid w:val="00715B1E"/>
    <w:rsid w:val="00715DDB"/>
    <w:rsid w:val="00717CFE"/>
    <w:rsid w:val="007370BD"/>
    <w:rsid w:val="00771540"/>
    <w:rsid w:val="0079167B"/>
    <w:rsid w:val="007A6A8F"/>
    <w:rsid w:val="007B6C45"/>
    <w:rsid w:val="007D138A"/>
    <w:rsid w:val="007E0D65"/>
    <w:rsid w:val="007E7CEB"/>
    <w:rsid w:val="00806E86"/>
    <w:rsid w:val="008240D9"/>
    <w:rsid w:val="008673D6"/>
    <w:rsid w:val="0087599C"/>
    <w:rsid w:val="008938A1"/>
    <w:rsid w:val="008B1E8C"/>
    <w:rsid w:val="008B60FC"/>
    <w:rsid w:val="008E6BCE"/>
    <w:rsid w:val="008F3B4E"/>
    <w:rsid w:val="00921892"/>
    <w:rsid w:val="009379B1"/>
    <w:rsid w:val="00945820"/>
    <w:rsid w:val="009777FB"/>
    <w:rsid w:val="00981CE8"/>
    <w:rsid w:val="00995EC8"/>
    <w:rsid w:val="00997C70"/>
    <w:rsid w:val="009A119C"/>
    <w:rsid w:val="009A283E"/>
    <w:rsid w:val="009A7BC4"/>
    <w:rsid w:val="009B3490"/>
    <w:rsid w:val="00A03757"/>
    <w:rsid w:val="00A03CF2"/>
    <w:rsid w:val="00A159D3"/>
    <w:rsid w:val="00A21EEE"/>
    <w:rsid w:val="00A3532F"/>
    <w:rsid w:val="00A7475E"/>
    <w:rsid w:val="00A8181D"/>
    <w:rsid w:val="00AA345C"/>
    <w:rsid w:val="00B05554"/>
    <w:rsid w:val="00B07A25"/>
    <w:rsid w:val="00B240F2"/>
    <w:rsid w:val="00B26B81"/>
    <w:rsid w:val="00B631C7"/>
    <w:rsid w:val="00B71D3C"/>
    <w:rsid w:val="00BB17FA"/>
    <w:rsid w:val="00BB69D5"/>
    <w:rsid w:val="00BC2C5A"/>
    <w:rsid w:val="00BD4AF3"/>
    <w:rsid w:val="00BD607C"/>
    <w:rsid w:val="00BE2FDD"/>
    <w:rsid w:val="00BE51C3"/>
    <w:rsid w:val="00C44014"/>
    <w:rsid w:val="00C61BFF"/>
    <w:rsid w:val="00C96C43"/>
    <w:rsid w:val="00CA6F43"/>
    <w:rsid w:val="00CD2226"/>
    <w:rsid w:val="00CD6F18"/>
    <w:rsid w:val="00CE6A9E"/>
    <w:rsid w:val="00D168AC"/>
    <w:rsid w:val="00D21DCB"/>
    <w:rsid w:val="00D35785"/>
    <w:rsid w:val="00D40F99"/>
    <w:rsid w:val="00D4115F"/>
    <w:rsid w:val="00D50E00"/>
    <w:rsid w:val="00D521D0"/>
    <w:rsid w:val="00D56E1D"/>
    <w:rsid w:val="00D802E7"/>
    <w:rsid w:val="00D80A62"/>
    <w:rsid w:val="00D914FC"/>
    <w:rsid w:val="00DB4705"/>
    <w:rsid w:val="00DB5A4C"/>
    <w:rsid w:val="00DD4508"/>
    <w:rsid w:val="00DF522D"/>
    <w:rsid w:val="00E23744"/>
    <w:rsid w:val="00E23B4E"/>
    <w:rsid w:val="00E32D16"/>
    <w:rsid w:val="00E4688C"/>
    <w:rsid w:val="00EA10B0"/>
    <w:rsid w:val="00EC6703"/>
    <w:rsid w:val="00ED14FB"/>
    <w:rsid w:val="00EE381D"/>
    <w:rsid w:val="00EF61E3"/>
    <w:rsid w:val="00F20AC9"/>
    <w:rsid w:val="00F55E2B"/>
    <w:rsid w:val="00F60721"/>
    <w:rsid w:val="00F674D5"/>
    <w:rsid w:val="00F73BCD"/>
    <w:rsid w:val="00F9005B"/>
    <w:rsid w:val="00F957EE"/>
    <w:rsid w:val="00FA2D00"/>
    <w:rsid w:val="00FE4A18"/>
    <w:rsid w:val="00FE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77F"/>
  </w:style>
  <w:style w:type="paragraph" w:styleId="Heading1">
    <w:name w:val="heading 1"/>
    <w:basedOn w:val="Normal"/>
    <w:next w:val="Normal"/>
    <w:link w:val="Heading1Char"/>
    <w:uiPriority w:val="9"/>
    <w:qFormat/>
    <w:rsid w:val="0023277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73763" w:themeColor="accent1" w:themeShade="80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277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277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B5294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27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B5294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27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27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aps/>
      <w:color w:val="07376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27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color w:val="07376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27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07376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27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color w:val="07376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5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A4C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A4C"/>
    <w:rPr>
      <w:rFonts w:ascii="Segoe UI" w:hAnsi="Segoe UI" w:cs="Segoe UI"/>
      <w:sz w:val="18"/>
    </w:rPr>
  </w:style>
  <w:style w:type="paragraph" w:styleId="ListParagraph">
    <w:name w:val="List Paragraph"/>
    <w:basedOn w:val="Normal"/>
    <w:uiPriority w:val="34"/>
    <w:qFormat/>
    <w:rsid w:val="00DB5A4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6CB5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B5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6CB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06CB5"/>
    <w:rPr>
      <w:color w:val="F49100" w:themeColor="hyperlink"/>
      <w:u w:val="single"/>
    </w:rPr>
  </w:style>
  <w:style w:type="paragraph" w:customStyle="1" w:styleId="TableParagraph">
    <w:name w:val="Table Paragraph"/>
    <w:basedOn w:val="Normal"/>
    <w:uiPriority w:val="1"/>
    <w:rsid w:val="004A1367"/>
    <w:pPr>
      <w:widowControl w:val="0"/>
      <w:autoSpaceDE w:val="0"/>
      <w:autoSpaceDN w:val="0"/>
      <w:spacing w:after="0" w:line="265" w:lineRule="exact"/>
      <w:ind w:left="69"/>
    </w:pPr>
    <w:rPr>
      <w:rFonts w:ascii="Calibri" w:eastAsia="Calibri" w:hAnsi="Calibri" w:cs="Calibri"/>
    </w:rPr>
  </w:style>
  <w:style w:type="paragraph" w:styleId="BodyText">
    <w:name w:val="Body Text"/>
    <w:basedOn w:val="Normal"/>
    <w:link w:val="BodyTextChar"/>
    <w:uiPriority w:val="1"/>
    <w:rsid w:val="008F3B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F3B4E"/>
    <w:rPr>
      <w:rFonts w:ascii="Arial" w:eastAsia="Arial" w:hAnsi="Arial" w:cs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605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A8B"/>
  </w:style>
  <w:style w:type="paragraph" w:styleId="Footer">
    <w:name w:val="footer"/>
    <w:basedOn w:val="Normal"/>
    <w:link w:val="FooterChar"/>
    <w:uiPriority w:val="99"/>
    <w:unhideWhenUsed/>
    <w:rsid w:val="00605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A8B"/>
  </w:style>
  <w:style w:type="character" w:customStyle="1" w:styleId="Heading1Char">
    <w:name w:val="Heading 1 Char"/>
    <w:basedOn w:val="DefaultParagraphFont"/>
    <w:link w:val="Heading1"/>
    <w:uiPriority w:val="9"/>
    <w:rsid w:val="0023277F"/>
    <w:rPr>
      <w:rFonts w:asciiTheme="majorHAnsi" w:eastAsiaTheme="majorEastAsia" w:hAnsiTheme="majorHAnsi" w:cstheme="majorBidi"/>
      <w:color w:val="073763" w:themeColor="accent1" w:themeShade="8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277F"/>
    <w:rPr>
      <w:rFonts w:asciiTheme="majorHAnsi" w:eastAsiaTheme="majorEastAsia" w:hAnsiTheme="majorHAnsi" w:cstheme="majorBidi"/>
      <w:color w:val="0B5294" w:themeColor="accent1" w:themeShade="B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277F"/>
    <w:rPr>
      <w:rFonts w:asciiTheme="majorHAnsi" w:eastAsiaTheme="majorEastAsia" w:hAnsiTheme="majorHAnsi" w:cstheme="majorBidi"/>
      <w:color w:val="0B5294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77F"/>
    <w:rPr>
      <w:rFonts w:asciiTheme="majorHAnsi" w:eastAsiaTheme="majorEastAsia" w:hAnsiTheme="majorHAnsi" w:cstheme="majorBidi"/>
      <w:color w:val="0B5294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277F"/>
    <w:rPr>
      <w:rFonts w:asciiTheme="majorHAnsi" w:eastAsiaTheme="majorEastAsia" w:hAnsiTheme="majorHAnsi" w:cstheme="majorBidi"/>
      <w:caps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277F"/>
    <w:rPr>
      <w:rFonts w:asciiTheme="majorHAnsi" w:eastAsiaTheme="majorEastAsia" w:hAnsiTheme="majorHAnsi" w:cstheme="majorBidi"/>
      <w:i/>
      <w:caps/>
      <w:color w:val="07376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277F"/>
    <w:rPr>
      <w:rFonts w:asciiTheme="majorHAnsi" w:eastAsiaTheme="majorEastAsia" w:hAnsiTheme="majorHAnsi" w:cstheme="majorBidi"/>
      <w:b/>
      <w:color w:val="07376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277F"/>
    <w:rPr>
      <w:rFonts w:asciiTheme="majorHAnsi" w:eastAsiaTheme="majorEastAsia" w:hAnsiTheme="majorHAnsi" w:cstheme="majorBidi"/>
      <w:b/>
      <w:i/>
      <w:color w:val="07376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277F"/>
    <w:rPr>
      <w:rFonts w:asciiTheme="majorHAnsi" w:eastAsiaTheme="majorEastAsia" w:hAnsiTheme="majorHAnsi" w:cstheme="majorBidi"/>
      <w:i/>
      <w:color w:val="07376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277F"/>
    <w:pPr>
      <w:spacing w:line="240" w:lineRule="auto"/>
    </w:pPr>
    <w:rPr>
      <w:b/>
      <w:smallCaps/>
      <w:color w:val="17406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23277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7406D" w:themeColor="text2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23277F"/>
    <w:rPr>
      <w:rFonts w:asciiTheme="majorHAnsi" w:eastAsiaTheme="majorEastAsia" w:hAnsiTheme="majorHAnsi" w:cstheme="majorBidi"/>
      <w:caps/>
      <w:color w:val="17406D" w:themeColor="text2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277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F6FC6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277F"/>
    <w:rPr>
      <w:rFonts w:asciiTheme="majorHAnsi" w:eastAsiaTheme="majorEastAsia" w:hAnsiTheme="majorHAnsi" w:cstheme="majorBidi"/>
      <w:color w:val="0F6FC6" w:themeColor="accent1"/>
      <w:sz w:val="28"/>
    </w:rPr>
  </w:style>
  <w:style w:type="character" w:styleId="Strong">
    <w:name w:val="Strong"/>
    <w:basedOn w:val="DefaultParagraphFont"/>
    <w:uiPriority w:val="22"/>
    <w:qFormat/>
    <w:rsid w:val="0023277F"/>
    <w:rPr>
      <w:b/>
    </w:rPr>
  </w:style>
  <w:style w:type="character" w:styleId="Emphasis">
    <w:name w:val="Emphasis"/>
    <w:basedOn w:val="DefaultParagraphFont"/>
    <w:uiPriority w:val="20"/>
    <w:qFormat/>
    <w:rsid w:val="0023277F"/>
    <w:rPr>
      <w:i/>
    </w:rPr>
  </w:style>
  <w:style w:type="paragraph" w:styleId="NoSpacing">
    <w:name w:val="No Spacing"/>
    <w:link w:val="NoSpacingChar"/>
    <w:uiPriority w:val="1"/>
    <w:qFormat/>
    <w:rsid w:val="0023277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3277F"/>
    <w:pPr>
      <w:spacing w:before="120" w:after="120"/>
      <w:ind w:left="720"/>
    </w:pPr>
    <w:rPr>
      <w:color w:val="17406D" w:themeColor="tex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3277F"/>
    <w:rPr>
      <w:color w:val="17406D" w:themeColor="text2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277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7406D" w:themeColor="text2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277F"/>
    <w:rPr>
      <w:rFonts w:asciiTheme="majorHAnsi" w:eastAsiaTheme="majorEastAsia" w:hAnsiTheme="majorHAnsi" w:cstheme="majorBidi"/>
      <w:color w:val="17406D" w:themeColor="text2"/>
      <w:sz w:val="32"/>
    </w:rPr>
  </w:style>
  <w:style w:type="character" w:styleId="SubtleEmphasis">
    <w:name w:val="Subtle Emphasis"/>
    <w:basedOn w:val="DefaultParagraphFont"/>
    <w:uiPriority w:val="19"/>
    <w:qFormat/>
    <w:rsid w:val="0023277F"/>
    <w:rPr>
      <w:i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3277F"/>
    <w:rPr>
      <w:b/>
      <w:i/>
    </w:rPr>
  </w:style>
  <w:style w:type="character" w:styleId="SubtleReference">
    <w:name w:val="Subtle Reference"/>
    <w:basedOn w:val="DefaultParagraphFont"/>
    <w:uiPriority w:val="31"/>
    <w:qFormat/>
    <w:rsid w:val="0023277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3277F"/>
    <w:rPr>
      <w:b/>
      <w:smallCaps/>
      <w:color w:val="17406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23277F"/>
    <w:rPr>
      <w:b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277F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680EAC"/>
  </w:style>
  <w:style w:type="paragraph" w:customStyle="1" w:styleId="P68B1DB1-Normal1">
    <w:name w:val="P68B1DB1-Normal1"/>
    <w:basedOn w:val="Normal"/>
    <w:rPr>
      <w:caps/>
      <w:color w:val="0F6FC6" w:themeColor="accent1"/>
      <w:sz w:val="64"/>
    </w:rPr>
  </w:style>
  <w:style w:type="paragraph" w:customStyle="1" w:styleId="P68B1DB1-Normal2">
    <w:name w:val="P68B1DB1-Normal2"/>
    <w:basedOn w:val="Normal"/>
    <w:rPr>
      <w:color w:val="404040" w:themeColor="text1" w:themeTint="BF"/>
      <w:sz w:val="36"/>
    </w:rPr>
  </w:style>
  <w:style w:type="paragraph" w:customStyle="1" w:styleId="P68B1DB1-Normal3">
    <w:name w:val="P68B1DB1-Normal3"/>
    <w:basedOn w:val="Normal"/>
    <w:rPr>
      <w:rFonts w:ascii="Times New Roman" w:hAnsi="Times New Roman" w:cs="Times New Roman"/>
      <w:b/>
      <w:sz w:val="24"/>
      <w:u w:val="single"/>
    </w:rPr>
  </w:style>
  <w:style w:type="paragraph" w:customStyle="1" w:styleId="P68B1DB1-Normal4">
    <w:name w:val="P68B1DB1-Normal4"/>
    <w:basedOn w:val="Normal"/>
    <w:rPr>
      <w:rFonts w:ascii="Times New Roman" w:hAnsi="Times New Roman" w:cs="Times New Roman"/>
      <w:b/>
      <w:i/>
      <w:sz w:val="24"/>
    </w:rPr>
  </w:style>
  <w:style w:type="paragraph" w:customStyle="1" w:styleId="P68B1DB1-Normal5">
    <w:name w:val="P68B1DB1-Normal5"/>
    <w:basedOn w:val="Normal"/>
    <w:rPr>
      <w:rFonts w:ascii="Times New Roman" w:hAnsi="Times New Roman" w:cs="Times New Roman"/>
      <w:sz w:val="24"/>
    </w:rPr>
  </w:style>
  <w:style w:type="paragraph" w:customStyle="1" w:styleId="P68B1DB1-Normal6">
    <w:name w:val="P68B1DB1-Normal6"/>
    <w:basedOn w:val="Normal"/>
    <w:rPr>
      <w:rFonts w:ascii="Times New Roman" w:hAnsi="Times New Roman" w:cs="Times New Roman"/>
      <w:b/>
      <w:sz w:val="24"/>
    </w:rPr>
  </w:style>
  <w:style w:type="paragraph" w:customStyle="1" w:styleId="P68B1DB1-Normal7">
    <w:name w:val="P68B1DB1-Normal7"/>
    <w:basedOn w:val="Normal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P68B1DB1-ListParagraph8">
    <w:name w:val="P68B1DB1-ListParagraph8"/>
    <w:basedOn w:val="ListParagraph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P68B1DB1-ListParagraph9">
    <w:name w:val="P68B1DB1-ListParagraph9"/>
    <w:basedOn w:val="ListParagraph"/>
    <w:rPr>
      <w:rFonts w:ascii="Times New Roman" w:hAnsi="Times New Roman" w:cs="Times New Roman"/>
      <w:sz w:val="24"/>
    </w:rPr>
  </w:style>
  <w:style w:type="paragraph" w:customStyle="1" w:styleId="P68B1DB1-Normal10">
    <w:name w:val="P68B1DB1-Normal10"/>
    <w:basedOn w:val="Normal"/>
    <w:rPr>
      <w:rFonts w:eastAsia="Times New Roman"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3A50D9"/>
    <w:rPr>
      <w:color w:val="85DFD0" w:themeColor="followedHyperlink"/>
      <w:u w:val="single"/>
    </w:rPr>
  </w:style>
  <w:style w:type="paragraph" w:customStyle="1" w:styleId="P68B1DB1-Text211">
    <w:name w:val="P68B1DB1-Text211"/>
    <w:basedOn w:val="Normal"/>
    <w:rsid w:val="008938A1"/>
    <w:pPr>
      <w:tabs>
        <w:tab w:val="left" w:pos="2161"/>
      </w:tabs>
      <w:spacing w:after="240" w:line="240" w:lineRule="auto"/>
      <w:ind w:left="1077"/>
      <w:jc w:val="both"/>
    </w:pPr>
    <w:rPr>
      <w:rFonts w:ascii="Times New Roman" w:eastAsia="Times New Roman" w:hAnsi="Times New Roman" w:cs="Times New Roman"/>
      <w:color w:val="000000" w:themeColor="text1"/>
      <w:sz w:val="24"/>
      <w:lang w:val="bg-BG"/>
    </w:rPr>
  </w:style>
  <w:style w:type="paragraph" w:customStyle="1" w:styleId="P68B1DB1-Text28">
    <w:name w:val="P68B1DB1-Text28"/>
    <w:basedOn w:val="Normal"/>
    <w:rsid w:val="008938A1"/>
    <w:pPr>
      <w:tabs>
        <w:tab w:val="left" w:pos="2161"/>
      </w:tabs>
      <w:spacing w:after="240" w:line="240" w:lineRule="auto"/>
      <w:ind w:left="1077"/>
      <w:jc w:val="both"/>
    </w:pPr>
    <w:rPr>
      <w:rFonts w:ascii="Times New Roman" w:eastAsia="Times New Roman" w:hAnsi="Times New Roman" w:cs="Times New Roman"/>
      <w:color w:val="000000" w:themeColor="text1"/>
      <w:sz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3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bg.gov.bg/Web/?configUrl=https://sipbg.gov.bg/Web/BaseProject/Configs/config.json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hyperlink" Target="https://crc.bg/ords/f?p=723:12:30286394632914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bg.gov.bg/SIP.Experts/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Organic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FCCA0-8723-498D-ABB2-1A78CFCB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2671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цифрова 
свързаност В БЪЛГАРИЯ</vt:lpstr>
    </vt:vector>
  </TitlesOfParts>
  <Company/>
  <LinksUpToDate>false</LinksUpToDate>
  <CharactersWithSpaces>17861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цифрова 
свързаност В БЪЛГАРИЯ</dc:title>
  <dc:subject>Методология за картографиране</dc:subject>
  <dc:creator/>
  <cp:keywords/>
  <dc:description/>
  <cp:lastModifiedBy/>
  <cp:revision>1</cp:revision>
  <dcterms:created xsi:type="dcterms:W3CDTF">2024-12-20T12:25:00Z</dcterms:created>
  <dcterms:modified xsi:type="dcterms:W3CDTF">2024-12-20T12:25:00Z</dcterms:modified>
</cp:coreProperties>
</file>