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6A016" w14:textId="77777777" w:rsidR="00AA0373" w:rsidRPr="00B23D63" w:rsidRDefault="00AA0373" w:rsidP="00B1703A">
      <w:pPr>
        <w:pStyle w:val="Heading2"/>
        <w:spacing w:line="360" w:lineRule="auto"/>
        <w:ind w:right="559"/>
        <w:rPr>
          <w:b/>
        </w:rPr>
      </w:pPr>
      <w:r w:rsidRPr="00B23D63">
        <w:rPr>
          <w:b/>
        </w:rPr>
        <w:t>М</w:t>
      </w:r>
      <w:r>
        <w:rPr>
          <w:b/>
        </w:rPr>
        <w:t xml:space="preserve"> </w:t>
      </w:r>
      <w:r w:rsidRPr="00B23D63">
        <w:rPr>
          <w:b/>
        </w:rPr>
        <w:t>О</w:t>
      </w:r>
      <w:r>
        <w:rPr>
          <w:b/>
        </w:rPr>
        <w:t xml:space="preserve"> </w:t>
      </w:r>
      <w:r w:rsidRPr="00B23D63">
        <w:rPr>
          <w:b/>
        </w:rPr>
        <w:t>Т</w:t>
      </w:r>
      <w:r>
        <w:rPr>
          <w:b/>
        </w:rPr>
        <w:t xml:space="preserve"> </w:t>
      </w:r>
      <w:r w:rsidRPr="00B23D63">
        <w:rPr>
          <w:b/>
        </w:rPr>
        <w:t>И</w:t>
      </w:r>
      <w:r>
        <w:rPr>
          <w:b/>
        </w:rPr>
        <w:t xml:space="preserve"> </w:t>
      </w:r>
      <w:r w:rsidRPr="00B23D63">
        <w:rPr>
          <w:b/>
        </w:rPr>
        <w:t>В</w:t>
      </w:r>
      <w:r>
        <w:rPr>
          <w:b/>
        </w:rPr>
        <w:t xml:space="preserve"> </w:t>
      </w:r>
      <w:r w:rsidRPr="00B23D63">
        <w:rPr>
          <w:b/>
        </w:rPr>
        <w:t>И</w:t>
      </w:r>
    </w:p>
    <w:p w14:paraId="7F38229D" w14:textId="77777777" w:rsidR="00AA0373" w:rsidRDefault="00AA0373" w:rsidP="00B1703A">
      <w:pPr>
        <w:spacing w:after="0" w:line="360" w:lineRule="auto"/>
        <w:ind w:left="0" w:right="559" w:firstLine="0"/>
        <w:jc w:val="center"/>
        <w:rPr>
          <w:szCs w:val="24"/>
        </w:rPr>
      </w:pPr>
      <w:r w:rsidRPr="00DB26C2">
        <w:rPr>
          <w:szCs w:val="24"/>
        </w:rPr>
        <w:t xml:space="preserve">към </w:t>
      </w:r>
    </w:p>
    <w:p w14:paraId="2794CAD6" w14:textId="77777777" w:rsidR="00AA0373" w:rsidRPr="00B225F9" w:rsidRDefault="00AA0373" w:rsidP="00B1703A">
      <w:pPr>
        <w:spacing w:after="0" w:line="360" w:lineRule="auto"/>
        <w:ind w:left="0" w:right="559" w:firstLine="0"/>
        <w:jc w:val="center"/>
        <w:rPr>
          <w:szCs w:val="24"/>
          <w:lang w:val="en-US"/>
        </w:rPr>
      </w:pPr>
      <w:r>
        <w:rPr>
          <w:szCs w:val="24"/>
        </w:rPr>
        <w:t xml:space="preserve">проекта на Наредба за </w:t>
      </w:r>
      <w:r w:rsidR="00B82817">
        <w:rPr>
          <w:szCs w:val="24"/>
        </w:rPr>
        <w:t xml:space="preserve">изменение и </w:t>
      </w:r>
      <w:r w:rsidR="00F12A5E">
        <w:rPr>
          <w:szCs w:val="24"/>
        </w:rPr>
        <w:t xml:space="preserve">допълнение на </w:t>
      </w:r>
      <w:r w:rsidR="00F12A5E" w:rsidRPr="00F12A5E">
        <w:rPr>
          <w:szCs w:val="24"/>
        </w:rPr>
        <w:t>Методика</w:t>
      </w:r>
      <w:r w:rsidR="00B82817">
        <w:rPr>
          <w:szCs w:val="24"/>
        </w:rPr>
        <w:t>та</w:t>
      </w:r>
      <w:r w:rsidR="00F12A5E" w:rsidRPr="00F12A5E">
        <w:rPr>
          <w:szCs w:val="24"/>
        </w:rPr>
        <w:t xml:space="preserve"> за начина за разпределяне на разходите при определяне на цени за предоставяне на достъп до и съвместно ползване на физическа инфраструктура и право на преминаване по Закона за електронните съобщителни мрежи и физическа инфраструктура</w:t>
      </w:r>
      <w:r w:rsidRPr="00E0366C">
        <w:rPr>
          <w:szCs w:val="24"/>
        </w:rPr>
        <w:t xml:space="preserve"> </w:t>
      </w:r>
      <w:r w:rsidR="00F12A5E">
        <w:rPr>
          <w:szCs w:val="24"/>
        </w:rPr>
        <w:t xml:space="preserve">(приета с Наредба </w:t>
      </w:r>
      <w:r w:rsidR="00F12A5E" w:rsidRPr="00F12A5E">
        <w:rPr>
          <w:szCs w:val="24"/>
        </w:rPr>
        <w:t xml:space="preserve">№ 34 от </w:t>
      </w:r>
      <w:r w:rsidR="00F12A5E">
        <w:rPr>
          <w:szCs w:val="24"/>
        </w:rPr>
        <w:t>2017 г. на</w:t>
      </w:r>
      <w:r w:rsidR="00F12A5E" w:rsidRPr="00F12A5E">
        <w:rPr>
          <w:szCs w:val="24"/>
        </w:rPr>
        <w:t xml:space="preserve"> министъра на транспорта, информаци</w:t>
      </w:r>
      <w:r w:rsidR="00F12A5E">
        <w:rPr>
          <w:szCs w:val="24"/>
        </w:rPr>
        <w:t>онните технологии и съобщенията</w:t>
      </w:r>
      <w:r w:rsidR="00F12A5E" w:rsidRPr="00F12A5E">
        <w:rPr>
          <w:szCs w:val="24"/>
        </w:rPr>
        <w:t xml:space="preserve"> </w:t>
      </w:r>
      <w:r w:rsidR="00F12A5E">
        <w:rPr>
          <w:szCs w:val="24"/>
        </w:rPr>
        <w:t>(</w:t>
      </w:r>
      <w:proofErr w:type="spellStart"/>
      <w:r w:rsidR="00F12A5E" w:rsidRPr="00F12A5E">
        <w:rPr>
          <w:szCs w:val="24"/>
        </w:rPr>
        <w:t>обн</w:t>
      </w:r>
      <w:proofErr w:type="spellEnd"/>
      <w:r w:rsidR="00F12A5E" w:rsidRPr="00F12A5E">
        <w:rPr>
          <w:szCs w:val="24"/>
        </w:rPr>
        <w:t>., ДВ, бр. 92 от 2018 г.</w:t>
      </w:r>
      <w:r w:rsidR="00F12A5E">
        <w:rPr>
          <w:szCs w:val="24"/>
        </w:rPr>
        <w:t>)</w:t>
      </w:r>
    </w:p>
    <w:p w14:paraId="12363981" w14:textId="77777777" w:rsidR="00AA0373" w:rsidRDefault="00AA0373" w:rsidP="00B1703A">
      <w:pPr>
        <w:spacing w:after="0" w:line="360" w:lineRule="auto"/>
        <w:ind w:left="0" w:right="559" w:hanging="336"/>
        <w:jc w:val="center"/>
        <w:rPr>
          <w:szCs w:val="24"/>
          <w:lang w:val="en-US"/>
        </w:rPr>
      </w:pPr>
    </w:p>
    <w:p w14:paraId="4548C176" w14:textId="77777777" w:rsidR="003F7B93" w:rsidRPr="00A37F2C" w:rsidRDefault="003F7B93" w:rsidP="00B1703A">
      <w:pPr>
        <w:spacing w:after="0" w:line="360" w:lineRule="auto"/>
        <w:ind w:left="0" w:right="559" w:hanging="336"/>
        <w:jc w:val="center"/>
        <w:rPr>
          <w:szCs w:val="24"/>
          <w:lang w:val="en-US"/>
        </w:rPr>
      </w:pPr>
    </w:p>
    <w:p w14:paraId="13329D2B" w14:textId="77777777" w:rsidR="00800F23" w:rsidRDefault="00800F23" w:rsidP="00B1703A">
      <w:pPr>
        <w:spacing w:after="0" w:line="360" w:lineRule="auto"/>
        <w:ind w:left="0" w:right="559" w:firstLine="709"/>
        <w:rPr>
          <w:szCs w:val="24"/>
        </w:rPr>
      </w:pPr>
      <w:r w:rsidRPr="00F12A5E">
        <w:rPr>
          <w:szCs w:val="24"/>
        </w:rPr>
        <w:t>Методика</w:t>
      </w:r>
      <w:r w:rsidR="00F814AD">
        <w:rPr>
          <w:szCs w:val="24"/>
        </w:rPr>
        <w:t>та</w:t>
      </w:r>
      <w:r w:rsidRPr="00F12A5E">
        <w:rPr>
          <w:szCs w:val="24"/>
        </w:rPr>
        <w:t xml:space="preserve"> за начина за разпределяне на разходите при определяне на цени за предоставяне на достъп до и съвместно ползване на физическа инфраструктура и право на преминаване по Закона за електронните съобщителни мрежи и физическа инфраструктура</w:t>
      </w:r>
      <w:r>
        <w:rPr>
          <w:szCs w:val="24"/>
        </w:rPr>
        <w:t xml:space="preserve"> (Методиката) е издадена в изпълнение на чл. 3, ал. 5 и ал. 6 от Закона за електронните съобщителни мрежи и физическа инфраструктура (ЗЕСМФИ).</w:t>
      </w:r>
    </w:p>
    <w:p w14:paraId="17C4312C" w14:textId="0462E401" w:rsidR="00446328" w:rsidRDefault="00F12A5E" w:rsidP="00B1703A">
      <w:pPr>
        <w:spacing w:after="0" w:line="360" w:lineRule="auto"/>
        <w:ind w:left="0" w:right="559" w:firstLine="709"/>
        <w:rPr>
          <w:color w:val="auto"/>
          <w:szCs w:val="24"/>
        </w:rPr>
      </w:pPr>
      <w:r>
        <w:rPr>
          <w:color w:val="auto"/>
          <w:szCs w:val="24"/>
        </w:rPr>
        <w:t>С</w:t>
      </w:r>
      <w:r w:rsidR="00FD0910">
        <w:rPr>
          <w:color w:val="auto"/>
          <w:szCs w:val="24"/>
        </w:rPr>
        <w:t xml:space="preserve">ъс Закона за изменение и допълнение на </w:t>
      </w:r>
      <w:r w:rsidR="00B1703A" w:rsidRPr="00F12A5E">
        <w:rPr>
          <w:szCs w:val="24"/>
        </w:rPr>
        <w:t>Закона за електронните съобщителни мрежи и физическа инфраструктура</w:t>
      </w:r>
      <w:r w:rsidR="00B1703A">
        <w:rPr>
          <w:color w:val="auto"/>
          <w:szCs w:val="24"/>
        </w:rPr>
        <w:t xml:space="preserve"> </w:t>
      </w:r>
      <w:bookmarkStart w:id="0" w:name="_GoBack"/>
      <w:bookmarkEnd w:id="0"/>
      <w:r w:rsidR="00446328">
        <w:rPr>
          <w:color w:val="auto"/>
          <w:szCs w:val="24"/>
        </w:rPr>
        <w:t>(</w:t>
      </w:r>
      <w:proofErr w:type="spellStart"/>
      <w:r w:rsidR="00446328">
        <w:rPr>
          <w:color w:val="auto"/>
          <w:szCs w:val="24"/>
        </w:rPr>
        <w:t>обн</w:t>
      </w:r>
      <w:proofErr w:type="spellEnd"/>
      <w:r w:rsidR="00446328">
        <w:rPr>
          <w:color w:val="auto"/>
          <w:szCs w:val="24"/>
        </w:rPr>
        <w:t xml:space="preserve">. ДВ, бр. 35 от 2025 г.) се разширява предметът на </w:t>
      </w:r>
      <w:r w:rsidR="00B225F9">
        <w:rPr>
          <w:color w:val="auto"/>
          <w:szCs w:val="24"/>
        </w:rPr>
        <w:t>м</w:t>
      </w:r>
      <w:r w:rsidR="00446328" w:rsidRPr="00446328">
        <w:rPr>
          <w:color w:val="auto"/>
          <w:szCs w:val="24"/>
        </w:rPr>
        <w:t>етодика</w:t>
      </w:r>
      <w:r w:rsidR="00446328">
        <w:rPr>
          <w:color w:val="auto"/>
          <w:szCs w:val="24"/>
        </w:rPr>
        <w:t>та</w:t>
      </w:r>
      <w:r w:rsidR="00B225F9">
        <w:rPr>
          <w:color w:val="auto"/>
          <w:szCs w:val="24"/>
        </w:rPr>
        <w:t>, к</w:t>
      </w:r>
      <w:r w:rsidR="00F814AD">
        <w:rPr>
          <w:color w:val="auto"/>
          <w:szCs w:val="24"/>
        </w:rPr>
        <w:t>оето налага съответни</w:t>
      </w:r>
      <w:r w:rsidR="00B225F9">
        <w:rPr>
          <w:color w:val="auto"/>
          <w:szCs w:val="24"/>
        </w:rPr>
        <w:t xml:space="preserve"> промени</w:t>
      </w:r>
      <w:r w:rsidR="00695325">
        <w:rPr>
          <w:color w:val="auto"/>
          <w:szCs w:val="24"/>
        </w:rPr>
        <w:t xml:space="preserve"> в акта.</w:t>
      </w:r>
    </w:p>
    <w:p w14:paraId="5C9F2173" w14:textId="6A8538E8" w:rsidR="00FD0910" w:rsidRDefault="00446328" w:rsidP="00B1703A">
      <w:pPr>
        <w:spacing w:after="0" w:line="360" w:lineRule="auto"/>
        <w:ind w:left="0" w:right="559" w:firstLine="709"/>
        <w:rPr>
          <w:color w:val="auto"/>
          <w:szCs w:val="24"/>
        </w:rPr>
      </w:pPr>
      <w:r>
        <w:rPr>
          <w:color w:val="auto"/>
          <w:szCs w:val="24"/>
        </w:rPr>
        <w:t xml:space="preserve">На първо място, съгласно чл. 3, ал. 9 </w:t>
      </w:r>
      <w:r w:rsidR="00B225F9">
        <w:rPr>
          <w:color w:val="auto"/>
          <w:szCs w:val="24"/>
        </w:rPr>
        <w:t xml:space="preserve">от </w:t>
      </w:r>
      <w:r w:rsidR="00B1703A">
        <w:rPr>
          <w:color w:val="auto"/>
          <w:szCs w:val="24"/>
        </w:rPr>
        <w:t xml:space="preserve">на </w:t>
      </w:r>
      <w:r w:rsidR="00B225F9">
        <w:rPr>
          <w:color w:val="auto"/>
          <w:szCs w:val="24"/>
        </w:rPr>
        <w:t xml:space="preserve">ЗЕСМФИ </w:t>
      </w:r>
      <w:r>
        <w:rPr>
          <w:color w:val="auto"/>
          <w:szCs w:val="24"/>
        </w:rPr>
        <w:t>с методика</w:t>
      </w:r>
      <w:r w:rsidR="00B225F9">
        <w:rPr>
          <w:color w:val="auto"/>
          <w:szCs w:val="24"/>
        </w:rPr>
        <w:t>та</w:t>
      </w:r>
      <w:r>
        <w:rPr>
          <w:color w:val="auto"/>
          <w:szCs w:val="24"/>
        </w:rPr>
        <w:t xml:space="preserve"> се определят и правилата за изчисляване на размера на обезщетенията за възникнали сервитути по чл. 31, ал. 2, т. 2 върху имоти – частна държавна или общинска собственост, както и за учредяването на други ограничени вещни права върху имоти – публична или частна държавна или общинска собственост, за изграждане на нова или разширяване на съществуваща физическа инфраструктура за разполагане</w:t>
      </w:r>
      <w:r w:rsidR="00FD0910">
        <w:rPr>
          <w:color w:val="auto"/>
          <w:szCs w:val="24"/>
        </w:rPr>
        <w:t xml:space="preserve"> на електронни съобщителни мрежи, за които се дължи обезщетение по закон.</w:t>
      </w:r>
      <w:r w:rsidR="00AE6BB9" w:rsidRPr="00AE6BB9">
        <w:t xml:space="preserve"> </w:t>
      </w:r>
      <w:r w:rsidR="003F7B93">
        <w:t>За тази цел в проекта се в</w:t>
      </w:r>
      <w:r w:rsidR="00AE6BB9" w:rsidRPr="00AE6BB9">
        <w:rPr>
          <w:color w:val="auto"/>
          <w:szCs w:val="24"/>
        </w:rPr>
        <w:t xml:space="preserve">ъвежда се формула за изчисление на обезщетението за сервитут или за учредяването на други ограничени вещни права върху имоти – частна държавна или общинска собственост, която взема за основа данъчната оценка на имота, приложена пропорционално за засегнатата площ и умножена по коефициент, за който в методиката се установява горна граница. Така, от една страна, са зачетени интересите на съответната община (съответно – на държавата) да получи обезщетение за ограничението на вещните си права, а от друга страна се избягват случаите на прекомерност на търсените </w:t>
      </w:r>
      <w:r w:rsidR="00AE6BB9" w:rsidRPr="00AE6BB9">
        <w:rPr>
          <w:color w:val="auto"/>
          <w:szCs w:val="24"/>
        </w:rPr>
        <w:lastRenderedPageBreak/>
        <w:t xml:space="preserve">обезщетения, които биха могли да доведат до по-високи цени или по-ограничено предлагане за потребителите на </w:t>
      </w:r>
      <w:r w:rsidR="005B304C">
        <w:rPr>
          <w:color w:val="auto"/>
          <w:szCs w:val="24"/>
        </w:rPr>
        <w:t xml:space="preserve">услугите на </w:t>
      </w:r>
      <w:r w:rsidR="00AE6BB9" w:rsidRPr="00AE6BB9">
        <w:rPr>
          <w:color w:val="auto"/>
          <w:szCs w:val="24"/>
        </w:rPr>
        <w:t>съответната територия.</w:t>
      </w:r>
    </w:p>
    <w:p w14:paraId="5FD32905" w14:textId="77777777" w:rsidR="00FD0910" w:rsidRDefault="00FD0910" w:rsidP="00B1703A">
      <w:pPr>
        <w:spacing w:after="0" w:line="360" w:lineRule="auto"/>
        <w:ind w:left="0" w:right="559" w:firstLine="709"/>
        <w:rPr>
          <w:color w:val="auto"/>
          <w:szCs w:val="24"/>
        </w:rPr>
      </w:pPr>
      <w:r>
        <w:rPr>
          <w:color w:val="auto"/>
          <w:szCs w:val="24"/>
        </w:rPr>
        <w:t xml:space="preserve">На второ място, с § 10, т. 1 от </w:t>
      </w:r>
      <w:r w:rsidR="00710B3B">
        <w:rPr>
          <w:color w:val="auto"/>
          <w:szCs w:val="24"/>
        </w:rPr>
        <w:t>посочения</w:t>
      </w:r>
      <w:r w:rsidR="00B225F9">
        <w:rPr>
          <w:color w:val="auto"/>
          <w:szCs w:val="24"/>
        </w:rPr>
        <w:t xml:space="preserve"> </w:t>
      </w:r>
      <w:r w:rsidR="006F22AB">
        <w:rPr>
          <w:color w:val="auto"/>
          <w:szCs w:val="24"/>
        </w:rPr>
        <w:t xml:space="preserve">по-горе </w:t>
      </w:r>
      <w:proofErr w:type="spellStart"/>
      <w:r>
        <w:rPr>
          <w:color w:val="auto"/>
          <w:szCs w:val="24"/>
        </w:rPr>
        <w:t>изменителен</w:t>
      </w:r>
      <w:proofErr w:type="spellEnd"/>
      <w:r>
        <w:rPr>
          <w:color w:val="auto"/>
          <w:szCs w:val="24"/>
        </w:rPr>
        <w:t xml:space="preserve"> закон  са внесени промени в чл. 72 от Закона за устройство на територията (ЗУТ), с които се предвижда, че </w:t>
      </w:r>
      <w:r w:rsidR="005B304C">
        <w:rPr>
          <w:color w:val="auto"/>
          <w:szCs w:val="24"/>
        </w:rPr>
        <w:t>с тази</w:t>
      </w:r>
      <w:r>
        <w:rPr>
          <w:color w:val="auto"/>
          <w:szCs w:val="24"/>
        </w:rPr>
        <w:t xml:space="preserve"> методика се определя и размерът на гаранцията, която да обезпечи изпълнението на задълженията на възложителя на строеж на физическа инфраструктура, предназначена за разполагане на електронни съобщителни мрежи и приемно-предавателни станции да възстанови улични и тротоарни настилки и </w:t>
      </w:r>
      <w:proofErr w:type="spellStart"/>
      <w:r>
        <w:rPr>
          <w:color w:val="auto"/>
          <w:szCs w:val="24"/>
        </w:rPr>
        <w:t>вътрешноквартални</w:t>
      </w:r>
      <w:proofErr w:type="spellEnd"/>
      <w:r>
        <w:rPr>
          <w:color w:val="auto"/>
          <w:szCs w:val="24"/>
        </w:rPr>
        <w:t xml:space="preserve"> пространства с нарушена цялост, възложено му с чл. 72, ал. 1 от ЗУТ.</w:t>
      </w:r>
      <w:r w:rsidR="00AE6BB9" w:rsidRPr="00AE6BB9">
        <w:t xml:space="preserve"> </w:t>
      </w:r>
      <w:r w:rsidR="00B225F9">
        <w:t xml:space="preserve">В тази връзка в проекта е </w:t>
      </w:r>
      <w:r w:rsidR="00B225F9">
        <w:rPr>
          <w:color w:val="auto"/>
          <w:szCs w:val="24"/>
        </w:rPr>
        <w:t>п</w:t>
      </w:r>
      <w:r w:rsidR="00AE6BB9" w:rsidRPr="00AE6BB9">
        <w:rPr>
          <w:color w:val="auto"/>
          <w:szCs w:val="24"/>
        </w:rPr>
        <w:t xml:space="preserve">редложена  формула за определянето на размера на гаранция за възстановяване на улични и тротоарни настилки и </w:t>
      </w:r>
      <w:proofErr w:type="spellStart"/>
      <w:r w:rsidR="00AE6BB9" w:rsidRPr="00AE6BB9">
        <w:rPr>
          <w:color w:val="auto"/>
          <w:szCs w:val="24"/>
        </w:rPr>
        <w:t>вътрешноквартални</w:t>
      </w:r>
      <w:proofErr w:type="spellEnd"/>
      <w:r w:rsidR="00AE6BB9" w:rsidRPr="00AE6BB9">
        <w:rPr>
          <w:color w:val="auto"/>
          <w:szCs w:val="24"/>
        </w:rPr>
        <w:t xml:space="preserve"> пространства с нарушена цялост, която съразмерно на засегнатата площ въвежда коефициент, основан на историческия опит на съответната община при изграждането на съоръжения, подобни на засегнатото, а при липса на такъв опит – на аналог на цените на други възложители, публикувани в Регистъра на обществените поръчки. Така, от една страна, се цели оптимална защита на общината в случай, че не бъде възстановено нарушението на целостта на настилките и пространствата, а от друга страна, се поставя граница срещу евентуална прекомерност на търсените гаранции от страна на съответния орган.</w:t>
      </w:r>
    </w:p>
    <w:p w14:paraId="42D98267" w14:textId="77777777" w:rsidR="00800F23" w:rsidRDefault="00800F23" w:rsidP="00B1703A">
      <w:pPr>
        <w:spacing w:after="0" w:line="360" w:lineRule="auto"/>
        <w:ind w:left="0" w:right="559" w:firstLine="709"/>
        <w:rPr>
          <w:color w:val="auto"/>
          <w:szCs w:val="24"/>
        </w:rPr>
      </w:pPr>
      <w:r>
        <w:rPr>
          <w:color w:val="auto"/>
          <w:szCs w:val="24"/>
        </w:rPr>
        <w:t>На трето място, в хода на консултации с Националното сдружение на общините в Република България беше установен проблем при прилагането на съществуващи текстове на методиката. От една страна, м</w:t>
      </w:r>
      <w:r w:rsidRPr="00800F23">
        <w:rPr>
          <w:color w:val="auto"/>
          <w:szCs w:val="24"/>
        </w:rPr>
        <w:t xml:space="preserve">етодиката не урежда как общините прилагат </w:t>
      </w:r>
      <w:r>
        <w:rPr>
          <w:color w:val="auto"/>
          <w:szCs w:val="24"/>
        </w:rPr>
        <w:t>действащия чл. 5, ал. 4</w:t>
      </w:r>
      <w:r w:rsidRPr="00800F23">
        <w:rPr>
          <w:color w:val="auto"/>
          <w:szCs w:val="24"/>
        </w:rPr>
        <w:t>, когато определят цени за достъп до собствена физическа инфраструктура (канална мрежа, стълбове за улично осветление), докато същевременно са и субекти, върху чиято собственост се учредяват серв</w:t>
      </w:r>
      <w:r>
        <w:rPr>
          <w:color w:val="auto"/>
          <w:szCs w:val="24"/>
        </w:rPr>
        <w:t>итути и ограничени вещни права. От друга страна, д</w:t>
      </w:r>
      <w:r w:rsidRPr="00800F23">
        <w:rPr>
          <w:color w:val="auto"/>
          <w:szCs w:val="24"/>
        </w:rPr>
        <w:t>опълнителна трудност създава чл. 7</w:t>
      </w:r>
      <w:r>
        <w:rPr>
          <w:color w:val="auto"/>
          <w:szCs w:val="24"/>
        </w:rPr>
        <w:t xml:space="preserve"> –</w:t>
      </w:r>
      <w:r w:rsidRPr="00800F23">
        <w:rPr>
          <w:color w:val="auto"/>
          <w:szCs w:val="24"/>
        </w:rPr>
        <w:t xml:space="preserve"> правилото за алтернативна оценка при липса на историческа цена на придобиване е приложимо при независещи от мрежовия оператор обстоятелства. В практиката значителна част от общинската инфраструктура е изградена преди 1990 г. и част от общините не разполагат с надлежно документирана историческа цена на придобиване</w:t>
      </w:r>
      <w:r>
        <w:rPr>
          <w:color w:val="auto"/>
          <w:szCs w:val="24"/>
        </w:rPr>
        <w:t xml:space="preserve">. Посочените въпроси също </w:t>
      </w:r>
      <w:r w:rsidR="00B225F9">
        <w:rPr>
          <w:color w:val="auto"/>
          <w:szCs w:val="24"/>
        </w:rPr>
        <w:t>намират</w:t>
      </w:r>
      <w:r>
        <w:rPr>
          <w:color w:val="auto"/>
          <w:szCs w:val="24"/>
        </w:rPr>
        <w:t xml:space="preserve"> нормативен отговор</w:t>
      </w:r>
      <w:r w:rsidR="00B225F9">
        <w:rPr>
          <w:color w:val="auto"/>
          <w:szCs w:val="24"/>
        </w:rPr>
        <w:t xml:space="preserve"> в проекта</w:t>
      </w:r>
      <w:r>
        <w:rPr>
          <w:color w:val="auto"/>
          <w:szCs w:val="24"/>
        </w:rPr>
        <w:t>.</w:t>
      </w:r>
    </w:p>
    <w:p w14:paraId="2D6C7E3D" w14:textId="77777777" w:rsidR="00FD0910" w:rsidRDefault="00FD0910" w:rsidP="00B1703A">
      <w:pPr>
        <w:spacing w:after="0" w:line="360" w:lineRule="auto"/>
        <w:ind w:left="0" w:right="559" w:firstLine="709"/>
        <w:rPr>
          <w:color w:val="auto"/>
          <w:szCs w:val="24"/>
        </w:rPr>
      </w:pPr>
    </w:p>
    <w:p w14:paraId="3633B550" w14:textId="77777777" w:rsidR="00AA0373" w:rsidRDefault="00AA0373" w:rsidP="00B1703A">
      <w:pPr>
        <w:spacing w:after="0" w:line="360" w:lineRule="auto"/>
        <w:ind w:left="0" w:right="559" w:firstLine="708"/>
        <w:rPr>
          <w:szCs w:val="24"/>
        </w:rPr>
      </w:pPr>
      <w:r w:rsidRPr="00DB26C2">
        <w:rPr>
          <w:szCs w:val="24"/>
        </w:rPr>
        <w:t xml:space="preserve">С </w:t>
      </w:r>
      <w:r w:rsidR="00B1703A">
        <w:rPr>
          <w:szCs w:val="24"/>
        </w:rPr>
        <w:t xml:space="preserve">измененията и </w:t>
      </w:r>
      <w:r w:rsidR="005B304C">
        <w:rPr>
          <w:szCs w:val="24"/>
        </w:rPr>
        <w:t>допълненията</w:t>
      </w:r>
      <w:r w:rsidR="00800F23">
        <w:rPr>
          <w:szCs w:val="24"/>
        </w:rPr>
        <w:t xml:space="preserve"> </w:t>
      </w:r>
      <w:r w:rsidR="00B1703A">
        <w:rPr>
          <w:szCs w:val="24"/>
        </w:rPr>
        <w:t>в</w:t>
      </w:r>
      <w:r w:rsidR="00800F23">
        <w:rPr>
          <w:szCs w:val="24"/>
        </w:rPr>
        <w:t xml:space="preserve"> М</w:t>
      </w:r>
      <w:r w:rsidR="00800F23" w:rsidRPr="00F12A5E">
        <w:rPr>
          <w:szCs w:val="24"/>
        </w:rPr>
        <w:t>етодика</w:t>
      </w:r>
      <w:r w:rsidR="00B1703A">
        <w:rPr>
          <w:szCs w:val="24"/>
        </w:rPr>
        <w:t>та</w:t>
      </w:r>
      <w:r w:rsidR="00800F23" w:rsidRPr="00F12A5E">
        <w:rPr>
          <w:szCs w:val="24"/>
        </w:rPr>
        <w:t xml:space="preserve"> </w:t>
      </w:r>
      <w:r w:rsidRPr="00DB26C2">
        <w:rPr>
          <w:szCs w:val="24"/>
        </w:rPr>
        <w:t xml:space="preserve">се </w:t>
      </w:r>
      <w:r>
        <w:rPr>
          <w:szCs w:val="24"/>
        </w:rPr>
        <w:t xml:space="preserve">цели </w:t>
      </w:r>
      <w:r w:rsidR="00800F23">
        <w:rPr>
          <w:szCs w:val="24"/>
        </w:rPr>
        <w:t>създаването на нова</w:t>
      </w:r>
      <w:r w:rsidRPr="00DB26C2">
        <w:rPr>
          <w:szCs w:val="24"/>
        </w:rPr>
        <w:t xml:space="preserve"> подзаконова нормативна уредба</w:t>
      </w:r>
      <w:r w:rsidR="00800F23">
        <w:rPr>
          <w:szCs w:val="24"/>
        </w:rPr>
        <w:t xml:space="preserve"> по чл. 3, ал. 9 от ЗЕСМФИ и чл. 72, ал. 3 от ЗУТ, както и да се решат констатира</w:t>
      </w:r>
      <w:r w:rsidR="005B304C">
        <w:rPr>
          <w:szCs w:val="24"/>
        </w:rPr>
        <w:t>ни трудности в правоприлагането</w:t>
      </w:r>
      <w:r w:rsidRPr="00DB26C2">
        <w:rPr>
          <w:szCs w:val="24"/>
        </w:rPr>
        <w:t>.</w:t>
      </w:r>
    </w:p>
    <w:p w14:paraId="78BF9F04" w14:textId="77777777" w:rsidR="00AA0373" w:rsidRPr="00DB26C2" w:rsidRDefault="00AA0373" w:rsidP="00B1703A">
      <w:pPr>
        <w:spacing w:after="0" w:line="360" w:lineRule="auto"/>
        <w:ind w:left="0" w:right="559" w:firstLine="0"/>
        <w:rPr>
          <w:szCs w:val="24"/>
        </w:rPr>
      </w:pPr>
    </w:p>
    <w:p w14:paraId="6A445E4D" w14:textId="77777777" w:rsidR="00AA0373" w:rsidRDefault="00AA0373" w:rsidP="00B1703A">
      <w:pPr>
        <w:spacing w:after="0" w:line="360" w:lineRule="auto"/>
        <w:ind w:left="0" w:right="559" w:firstLine="708"/>
        <w:rPr>
          <w:szCs w:val="24"/>
        </w:rPr>
      </w:pPr>
      <w:r w:rsidRPr="00DB26C2">
        <w:rPr>
          <w:szCs w:val="24"/>
        </w:rPr>
        <w:t>Пр</w:t>
      </w:r>
      <w:r>
        <w:rPr>
          <w:szCs w:val="24"/>
        </w:rPr>
        <w:t>илагането</w:t>
      </w:r>
      <w:r w:rsidRPr="00DB26C2">
        <w:rPr>
          <w:szCs w:val="24"/>
        </w:rPr>
        <w:t xml:space="preserve"> на </w:t>
      </w:r>
      <w:r>
        <w:rPr>
          <w:color w:val="auto"/>
          <w:szCs w:val="24"/>
        </w:rPr>
        <w:t xml:space="preserve">проекта на Наредба за </w:t>
      </w:r>
      <w:r w:rsidR="00B82817">
        <w:rPr>
          <w:color w:val="auto"/>
          <w:szCs w:val="24"/>
        </w:rPr>
        <w:t xml:space="preserve">изменение и </w:t>
      </w:r>
      <w:r w:rsidR="00663737">
        <w:rPr>
          <w:szCs w:val="24"/>
        </w:rPr>
        <w:t xml:space="preserve">допълнение на </w:t>
      </w:r>
      <w:r w:rsidR="00663737" w:rsidRPr="00F12A5E">
        <w:rPr>
          <w:szCs w:val="24"/>
        </w:rPr>
        <w:t>Методика</w:t>
      </w:r>
      <w:r w:rsidR="00B225F9">
        <w:rPr>
          <w:szCs w:val="24"/>
        </w:rPr>
        <w:t>та</w:t>
      </w:r>
      <w:r w:rsidR="00663737" w:rsidRPr="00F12A5E">
        <w:rPr>
          <w:szCs w:val="24"/>
        </w:rPr>
        <w:t xml:space="preserve"> за начина за разпределяне на разходите при определяне на цени за предоставяне на достъп до и съвместно ползване на физическа инфраструктура и право на преминаване по Закона за електронните съобщителни мрежи и физическа инфраструктура</w:t>
      </w:r>
      <w:r w:rsidR="00663737" w:rsidRPr="00E0366C">
        <w:rPr>
          <w:szCs w:val="24"/>
        </w:rPr>
        <w:t xml:space="preserve"> </w:t>
      </w:r>
      <w:r w:rsidRPr="00DB26C2">
        <w:rPr>
          <w:szCs w:val="24"/>
        </w:rPr>
        <w:t>не води до необходимост от допълнителни финансови средства.</w:t>
      </w:r>
    </w:p>
    <w:p w14:paraId="5BE2A7EE" w14:textId="77777777" w:rsidR="00AA0373" w:rsidRPr="00DB26C2" w:rsidRDefault="00AA0373" w:rsidP="00B1703A">
      <w:pPr>
        <w:spacing w:after="0" w:line="360" w:lineRule="auto"/>
        <w:ind w:left="0" w:right="559" w:firstLine="0"/>
        <w:rPr>
          <w:szCs w:val="24"/>
        </w:rPr>
      </w:pPr>
    </w:p>
    <w:p w14:paraId="21514E3F" w14:textId="77777777" w:rsidR="00AA0373" w:rsidRDefault="00B1703A" w:rsidP="00B1703A">
      <w:pPr>
        <w:spacing w:after="0" w:line="360" w:lineRule="auto"/>
        <w:ind w:left="0" w:right="559" w:firstLine="708"/>
        <w:rPr>
          <w:szCs w:val="24"/>
        </w:rPr>
      </w:pPr>
      <w:r>
        <w:rPr>
          <w:szCs w:val="24"/>
        </w:rPr>
        <w:t xml:space="preserve">Очакваните резултати от прилагането са да се постигне </w:t>
      </w:r>
      <w:r w:rsidR="00663737">
        <w:rPr>
          <w:szCs w:val="24"/>
        </w:rPr>
        <w:t xml:space="preserve">пълнота и </w:t>
      </w:r>
      <w:r w:rsidR="005B304C">
        <w:rPr>
          <w:szCs w:val="24"/>
        </w:rPr>
        <w:t>яснота и избягване на трудности при прилагането на</w:t>
      </w:r>
      <w:r w:rsidR="00AA0373">
        <w:rPr>
          <w:szCs w:val="24"/>
        </w:rPr>
        <w:t xml:space="preserve"> подзаконовата нормативна уредба</w:t>
      </w:r>
      <w:r w:rsidR="00AA0373" w:rsidRPr="00DB26C2">
        <w:rPr>
          <w:szCs w:val="24"/>
        </w:rPr>
        <w:t>.</w:t>
      </w:r>
    </w:p>
    <w:p w14:paraId="4733993C" w14:textId="77777777" w:rsidR="00AA0373" w:rsidRDefault="00AA0373" w:rsidP="00B1703A">
      <w:pPr>
        <w:spacing w:before="240" w:line="360" w:lineRule="auto"/>
        <w:ind w:left="0" w:right="559" w:firstLine="709"/>
      </w:pPr>
      <w:r>
        <w:t xml:space="preserve">На основание чл. 26, ал. 4 от Закона за нормативните актове, срокът за обществено обсъждане след публикуване на проекта на наредба и мотивите на Портала за обществени консултации и на интернет страницата на Министерството на транспорта и съобщенията е 30 дни. </w:t>
      </w:r>
    </w:p>
    <w:p w14:paraId="218A5E2D" w14:textId="77777777" w:rsidR="00D605E9" w:rsidRDefault="00D605E9" w:rsidP="00B1703A">
      <w:pPr>
        <w:ind w:left="0" w:right="559"/>
      </w:pPr>
    </w:p>
    <w:sectPr w:rsidR="00D605E9" w:rsidSect="00B1703A">
      <w:footerReference w:type="default" r:id="rId7"/>
      <w:pgSz w:w="12240" w:h="15840"/>
      <w:pgMar w:top="1276" w:right="624" w:bottom="1276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03C53" w14:textId="77777777" w:rsidR="007833F1" w:rsidRDefault="007833F1">
      <w:pPr>
        <w:spacing w:after="0" w:line="240" w:lineRule="auto"/>
      </w:pPr>
      <w:r>
        <w:separator/>
      </w:r>
    </w:p>
  </w:endnote>
  <w:endnote w:type="continuationSeparator" w:id="0">
    <w:p w14:paraId="1F9DD9E9" w14:textId="77777777" w:rsidR="007833F1" w:rsidRDefault="0078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4092135"/>
      <w:docPartObj>
        <w:docPartGallery w:val="Page Numbers (Bottom of Page)"/>
        <w:docPartUnique/>
      </w:docPartObj>
    </w:sdtPr>
    <w:sdtEndPr/>
    <w:sdtContent>
      <w:p w14:paraId="53A7F362" w14:textId="4A2A0E69" w:rsidR="00FD0910" w:rsidRDefault="00FD09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7FD">
          <w:rPr>
            <w:noProof/>
          </w:rPr>
          <w:t>3</w:t>
        </w:r>
        <w:r>
          <w:fldChar w:fldCharType="end"/>
        </w:r>
      </w:p>
    </w:sdtContent>
  </w:sdt>
  <w:p w14:paraId="6D30E93D" w14:textId="77777777" w:rsidR="00FD0910" w:rsidRDefault="00FD0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E8D92" w14:textId="77777777" w:rsidR="007833F1" w:rsidRDefault="007833F1">
      <w:pPr>
        <w:spacing w:after="0" w:line="240" w:lineRule="auto"/>
      </w:pPr>
      <w:r>
        <w:separator/>
      </w:r>
    </w:p>
  </w:footnote>
  <w:footnote w:type="continuationSeparator" w:id="0">
    <w:p w14:paraId="52C2BEA7" w14:textId="77777777" w:rsidR="007833F1" w:rsidRDefault="00783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73"/>
    <w:rsid w:val="000B3939"/>
    <w:rsid w:val="00101A1D"/>
    <w:rsid w:val="00221E99"/>
    <w:rsid w:val="00252697"/>
    <w:rsid w:val="003951D2"/>
    <w:rsid w:val="003A47FD"/>
    <w:rsid w:val="003B5206"/>
    <w:rsid w:val="003E64AC"/>
    <w:rsid w:val="003F7B93"/>
    <w:rsid w:val="00417112"/>
    <w:rsid w:val="00446328"/>
    <w:rsid w:val="00560F66"/>
    <w:rsid w:val="005B304C"/>
    <w:rsid w:val="00630BE6"/>
    <w:rsid w:val="00645DC0"/>
    <w:rsid w:val="00663737"/>
    <w:rsid w:val="00695325"/>
    <w:rsid w:val="00696F07"/>
    <w:rsid w:val="006F22AB"/>
    <w:rsid w:val="00710B3B"/>
    <w:rsid w:val="00722C95"/>
    <w:rsid w:val="007833F1"/>
    <w:rsid w:val="007942E2"/>
    <w:rsid w:val="00800F23"/>
    <w:rsid w:val="008C361A"/>
    <w:rsid w:val="00AA0373"/>
    <w:rsid w:val="00AE6BB9"/>
    <w:rsid w:val="00B1703A"/>
    <w:rsid w:val="00B225F9"/>
    <w:rsid w:val="00B82817"/>
    <w:rsid w:val="00BB15CA"/>
    <w:rsid w:val="00CB0E46"/>
    <w:rsid w:val="00D14492"/>
    <w:rsid w:val="00D4692B"/>
    <w:rsid w:val="00D605E9"/>
    <w:rsid w:val="00DD3144"/>
    <w:rsid w:val="00F12A5E"/>
    <w:rsid w:val="00F814AD"/>
    <w:rsid w:val="00FC2786"/>
    <w:rsid w:val="00FD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62EE"/>
  <w15:chartTrackingRefBased/>
  <w15:docId w15:val="{E0DA7473-7C44-47A9-87C0-4E1A9D8D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373"/>
    <w:pPr>
      <w:spacing w:after="3" w:line="271" w:lineRule="auto"/>
      <w:ind w:left="3878" w:firstLine="844"/>
      <w:jc w:val="both"/>
    </w:pPr>
    <w:rPr>
      <w:rFonts w:ascii="Times New Roman" w:eastAsia="Times New Roman" w:hAnsi="Times New Roman" w:cs="Times New Roman"/>
      <w:color w:val="000000"/>
      <w:sz w:val="24"/>
      <w:lang w:eastAsia="bg-BG"/>
    </w:rPr>
  </w:style>
  <w:style w:type="paragraph" w:styleId="Heading2">
    <w:name w:val="heading 2"/>
    <w:next w:val="Normal"/>
    <w:link w:val="Heading2Char"/>
    <w:uiPriority w:val="9"/>
    <w:unhideWhenUsed/>
    <w:qFormat/>
    <w:rsid w:val="00AA0373"/>
    <w:pPr>
      <w:keepNext/>
      <w:keepLines/>
      <w:spacing w:after="260"/>
      <w:ind w:right="125"/>
      <w:jc w:val="center"/>
      <w:outlineLvl w:val="1"/>
    </w:pPr>
    <w:rPr>
      <w:rFonts w:ascii="Times New Roman" w:eastAsia="Times New Roman" w:hAnsi="Times New Roman" w:cs="Times New Roman"/>
      <w:color w:val="000000"/>
      <w:sz w:val="32"/>
      <w:lang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A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0373"/>
    <w:rPr>
      <w:rFonts w:ascii="Times New Roman" w:eastAsia="Times New Roman" w:hAnsi="Times New Roman" w:cs="Times New Roman"/>
      <w:color w:val="000000"/>
      <w:sz w:val="32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AA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373"/>
    <w:rPr>
      <w:rFonts w:ascii="Times New Roman" w:eastAsia="Times New Roman" w:hAnsi="Times New Roman" w:cs="Times New Roman"/>
      <w:color w:val="000000"/>
      <w:sz w:val="24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A5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5F9"/>
    <w:rPr>
      <w:rFonts w:ascii="Segoe UI" w:eastAsia="Times New Roman" w:hAnsi="Segoe UI" w:cs="Segoe UI"/>
      <w:color w:val="000000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801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62263-9921-46C7-AE5F-B4F63046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MTITC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anonymous</cp:lastModifiedBy>
  <cp:revision>6</cp:revision>
  <dcterms:created xsi:type="dcterms:W3CDTF">2026-07-01T11:08:00Z</dcterms:created>
  <dcterms:modified xsi:type="dcterms:W3CDTF">2026-07-02T11:28:00Z</dcterms:modified>
</cp:coreProperties>
</file>