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B03" w:rsidRDefault="00113B03" w:rsidP="00113B0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Мотиви</w:t>
      </w:r>
    </w:p>
    <w:p w:rsidR="00113B03" w:rsidRPr="00113B03" w:rsidRDefault="00113B03" w:rsidP="00113B0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0"/>
          <w:lang w:eastAsia="bg-BG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 xml:space="preserve">към </w:t>
      </w:r>
      <w:r w:rsidRPr="00113B0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проект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а</w:t>
      </w:r>
      <w:r w:rsidRPr="00113B0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 xml:space="preserve"> на </w:t>
      </w:r>
      <w:r w:rsidRPr="00113B03">
        <w:rPr>
          <w:rFonts w:ascii="Times New Roman" w:eastAsia="Times New Roman" w:hAnsi="Times New Roman" w:cs="Times New Roman"/>
          <w:i/>
          <w:iCs/>
          <w:sz w:val="24"/>
          <w:szCs w:val="20"/>
          <w:lang w:eastAsia="bg-BG"/>
        </w:rPr>
        <w:t>Наредба за изменение и допълнение на Наредба № 37 от 19.10.2016 г. за авиационните оператори</w:t>
      </w:r>
    </w:p>
    <w:p w:rsidR="00113B03" w:rsidRPr="00113B03" w:rsidRDefault="00113B03" w:rsidP="00113B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</w:p>
    <w:p w:rsidR="00113B03" w:rsidRPr="00113B03" w:rsidRDefault="00113B03" w:rsidP="00113B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</w:p>
    <w:p w:rsidR="00897717" w:rsidRPr="00897717" w:rsidRDefault="00897717" w:rsidP="00897717">
      <w:pPr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7717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Предложените промени са насочени към актуализиране на разпоредби в Наредба № 37 с оглед измененията в приложимото европейско законодателство в областта на гражданското въздухоплаване, прецизиране на препратките към действащите регламенти на Европейския съюз и използваната терминология, както и към усъвършенстване на административните процедури по издаване на свидетелства, упражняване на надзор и отстраняване на установени несъответствия. С измененията се създава и национална правна уредба за изпълнение на изискванията относно подаването на декларации от операторите, извършващи търговски въздушни операции с аеростати, с което се осигурява ефективно прилагане на действащата европейска нормативна рамка.</w:t>
      </w:r>
    </w:p>
    <w:p w:rsidR="00897717" w:rsidRPr="00897717" w:rsidRDefault="00897717" w:rsidP="00897717">
      <w:pPr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77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 § 1 се предлага изменение на чл. 10, ал. 1, т. 19, с което се прецизира препратката към Регламент (ЕС) № 1321/2014 на Комисията от 26 ноември 2014 г. относно поддържането на летателната годност на въздухоплавателните средства и авиационните продукти, части и устройства и относно одобряването на организациите и персонала, изпълняващи тези задачи (Регламент (ЕС) № 1321/2014), чрез отразяване на неговото официално наименование. Действащата редакция съдържа неточно посочване на наименованието на регламента, което не съответства на неговия предмет. </w:t>
      </w:r>
    </w:p>
    <w:p w:rsidR="00897717" w:rsidRPr="00897717" w:rsidRDefault="00897717" w:rsidP="00897717">
      <w:pPr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77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 § 2, § 3, § 4, т. 1, § 6 и § 7 се предлагат изменения в чл. 19, ал. 2, т. 6 и ал. 3, чл. 28, ал. 2, чл. 34, ал. 4, чл. 66, ал. 1, т. 4 и част III, т. 4 от Приложение № 3 към чл. 37, ал. 3, с които се актуализират препратките към Регламент (ЕС) № 1321/2014 вследствие на измененията, въведени в него с Регламент за изпълнение (ЕС) 2019/1383 на Комисията от 8 юли 2019 г. С посочения регламент се реорганизират разпоредбите относно организациите, участващи в поддържането на летателната годност, чрез създаването на две нови приложения – Приложение </w:t>
      </w:r>
      <w:proofErr w:type="spellStart"/>
      <w:r w:rsidRPr="00897717">
        <w:rPr>
          <w:rFonts w:ascii="Times New Roman" w:eastAsia="Times New Roman" w:hAnsi="Times New Roman" w:cs="Times New Roman"/>
          <w:sz w:val="24"/>
          <w:szCs w:val="24"/>
          <w:lang w:eastAsia="bg-BG"/>
        </w:rPr>
        <w:t>Vв</w:t>
      </w:r>
      <w:proofErr w:type="spellEnd"/>
      <w:r w:rsidRPr="008977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(част CAMO) и Приложение </w:t>
      </w:r>
      <w:proofErr w:type="spellStart"/>
      <w:r w:rsidRPr="00897717">
        <w:rPr>
          <w:rFonts w:ascii="Times New Roman" w:eastAsia="Times New Roman" w:hAnsi="Times New Roman" w:cs="Times New Roman"/>
          <w:sz w:val="24"/>
          <w:szCs w:val="24"/>
          <w:lang w:eastAsia="bg-BG"/>
        </w:rPr>
        <w:t>Vг</w:t>
      </w:r>
      <w:proofErr w:type="spellEnd"/>
      <w:r w:rsidRPr="008977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(част CAO) в Регламент (ЕС) № 1321/2014. </w:t>
      </w:r>
    </w:p>
    <w:p w:rsidR="00897717" w:rsidRPr="00897717" w:rsidRDefault="00897717" w:rsidP="00897717">
      <w:pPr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7717">
        <w:rPr>
          <w:rFonts w:ascii="Times New Roman" w:eastAsia="Times New Roman" w:hAnsi="Times New Roman" w:cs="Times New Roman"/>
          <w:sz w:val="24"/>
          <w:szCs w:val="24"/>
          <w:lang w:eastAsia="bg-BG"/>
        </w:rPr>
        <w:t>Действащите разпоредби на наредбата съдържат препратки към предходната структура на Регламент (ЕС) № 1321/2014 и към Приложение I (част М), които не отразяват въведените с Регламент за изпълнение (ЕС) 2019/1383 категории организации, участващи в поддържането на летателната годност. В тази връзка се предлага съответните препратки да бъдат актуализирани чрез посочване, съобразно приложимия случай, на организациите за управление на поддържането на постоянна летателна годност по част CAMO и на организациите за летателна годност с комбинирани функции по част CAO. Предвижда се съответно актуализиране и на наименованията на ръководните длъжности в образеца на заявление по Приложение № 3 към чл. 37, ал. 3. Предлаганите изменения имат за цел да приведат националната нормативна уредба в съответствие с действащата европейска правна рамка, като осигурят съгласуваност с актуалната структура и терминология на Регламент (ЕС) № 1321/2014 и правна яснота при прилагането на наредбата.</w:t>
      </w:r>
    </w:p>
    <w:p w:rsidR="00897717" w:rsidRPr="00897717" w:rsidRDefault="00897717" w:rsidP="00897717">
      <w:pPr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77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 § 2, т. 1 се предлага отмяна на т. 6 в чл. 19, ал. 2, тъй като разпоредбата съдържа изброяване на документите, които кандидатите за първоначално издаване на свидетелство за авиационен оператор следва да представят за одобрение. Предвиденото в т. 6 описание на организацията за управление на поддържането на постоянната летателна годност представлява част от документацията, подлежаща на преглед и одобрение в рамките на процедурата за одобряване на организацията, участваща в поддържането на летателната годност. С предложеното изменение на чл. 19, ал. 3 се предвижда процедурата за издаване на свидетелство за авиационен оператор да се </w:t>
      </w:r>
      <w:r w:rsidRPr="00897717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провежда заедно с процедурата за одобрение на организацията, участваща в поддържането на летателната годност, в съответствие с чл. 4, </w:t>
      </w:r>
      <w:proofErr w:type="spellStart"/>
      <w:r w:rsidRPr="00897717">
        <w:rPr>
          <w:rFonts w:ascii="Times New Roman" w:eastAsia="Times New Roman" w:hAnsi="Times New Roman" w:cs="Times New Roman"/>
          <w:sz w:val="24"/>
          <w:szCs w:val="24"/>
          <w:lang w:eastAsia="bg-BG"/>
        </w:rPr>
        <w:t>пар</w:t>
      </w:r>
      <w:proofErr w:type="spellEnd"/>
      <w:r w:rsidRPr="00897717">
        <w:rPr>
          <w:rFonts w:ascii="Times New Roman" w:eastAsia="Times New Roman" w:hAnsi="Times New Roman" w:cs="Times New Roman"/>
          <w:sz w:val="24"/>
          <w:szCs w:val="24"/>
          <w:lang w:eastAsia="bg-BG"/>
        </w:rPr>
        <w:t>. 1 и точка M.A.201 от Приложение I към Регламент (ЕС) № 1321/2014. В тази връзка, документацията, свързана с одобряването на тази организация, се разглежда в рамките на самостоятелното производство по нейното одобряване, поради което запазването на т. 6 като отделно изискване в производството по издаване на свидетелство за авиационен оператор би довело до ненужно дублиране.</w:t>
      </w:r>
    </w:p>
    <w:p w:rsidR="00897717" w:rsidRPr="00897717" w:rsidRDefault="00897717" w:rsidP="00897717">
      <w:pPr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77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 § 4, т. 2 се създава ал. 9 в чл. 34, с която се предвижда задължение за подаване на декларация до главния директор на Главна дирекция „Гражданска въздухоплавателна администрация“ от операторите, извършващи търговски въздушни операции с аеростати, когато тези въздухоплавателни средства попадат в приложното поле на член 2, </w:t>
      </w:r>
      <w:proofErr w:type="spellStart"/>
      <w:r w:rsidRPr="00897717">
        <w:rPr>
          <w:rFonts w:ascii="Times New Roman" w:eastAsia="Times New Roman" w:hAnsi="Times New Roman" w:cs="Times New Roman"/>
          <w:sz w:val="24"/>
          <w:szCs w:val="24"/>
          <w:lang w:eastAsia="bg-BG"/>
        </w:rPr>
        <w:t>пар</w:t>
      </w:r>
      <w:proofErr w:type="spellEnd"/>
      <w:r w:rsidRPr="008977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1, б. „б“, </w:t>
      </w:r>
      <w:proofErr w:type="spellStart"/>
      <w:r w:rsidRPr="00897717">
        <w:rPr>
          <w:rFonts w:ascii="Times New Roman" w:eastAsia="Times New Roman" w:hAnsi="Times New Roman" w:cs="Times New Roman"/>
          <w:sz w:val="24"/>
          <w:szCs w:val="24"/>
          <w:lang w:eastAsia="bg-BG"/>
        </w:rPr>
        <w:t>подт</w:t>
      </w:r>
      <w:proofErr w:type="spellEnd"/>
      <w:r w:rsidRPr="008977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„i“ и „ii“ от Регламент (ЕС) 2018/1139. Изменението е обусловено от въведеното изискване в чл. 3, </w:t>
      </w:r>
      <w:proofErr w:type="spellStart"/>
      <w:r w:rsidRPr="00897717">
        <w:rPr>
          <w:rFonts w:ascii="Times New Roman" w:eastAsia="Times New Roman" w:hAnsi="Times New Roman" w:cs="Times New Roman"/>
          <w:sz w:val="24"/>
          <w:szCs w:val="24"/>
          <w:lang w:eastAsia="bg-BG"/>
        </w:rPr>
        <w:t>пар</w:t>
      </w:r>
      <w:proofErr w:type="spellEnd"/>
      <w:r w:rsidRPr="00897717">
        <w:rPr>
          <w:rFonts w:ascii="Times New Roman" w:eastAsia="Times New Roman" w:hAnsi="Times New Roman" w:cs="Times New Roman"/>
          <w:sz w:val="24"/>
          <w:szCs w:val="24"/>
          <w:lang w:eastAsia="bg-BG"/>
        </w:rPr>
        <w:t>. 2 от Регламент за изпълнение (ЕС) 2018/395 от 13 март 2018 година</w:t>
      </w:r>
      <w:r w:rsidRPr="0089771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r w:rsidRPr="00897717">
        <w:rPr>
          <w:rFonts w:ascii="Times New Roman" w:eastAsia="Times New Roman" w:hAnsi="Times New Roman" w:cs="Times New Roman"/>
          <w:sz w:val="24"/>
          <w:szCs w:val="24"/>
          <w:lang w:eastAsia="bg-BG"/>
        </w:rPr>
        <w:t>за определяне на подробни правила за експлоатацията на аеростати, както и за лицензирането на летателните екипажи на аеростати в съответствие с Регламент (ЕС) 2018/1139 на Европейския парламент и на Съвета. Съгласно цитираната разпоредба операторите на аеростати могат да извършват търговски операции само след като са декларирали пред компетентния орган своята способност и наличието на необходимите средства за изпълнение на отговорностите, свързани с експлоатацията на аеростата.</w:t>
      </w:r>
      <w:r w:rsidRPr="00897717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897717">
        <w:rPr>
          <w:rFonts w:ascii="Times New Roman" w:eastAsia="Times New Roman" w:hAnsi="Times New Roman" w:cs="Times New Roman"/>
          <w:sz w:val="24"/>
          <w:szCs w:val="24"/>
          <w:lang w:eastAsia="bg-BG"/>
        </w:rPr>
        <w:t>По смисъла на Регламент за изпълнение (ЕС) 2018/395 „търговска операция“ е всяка експлоатация на аеростат срещу заплащане или друго възнаграждение, която е достъпна за обществеността, или, когато не е достъпна за обществеността, се изпълнява по силата на договор между оператор и клиент, без да е налице контрол от страна на клиента над оператора. В обхвата на посочените правила за деклариране попадат и специализираните операции с аеростати, когато се извършват с търговска цел. Съгласно определението в т. 17 от Приложение I към регламента специализирана операция с аеростат е всяка операция, която може да бъде с търговска или нетърговска цел, при която основното предназначение на аеростата не е превозът на пътници за разглеждане на забележителности или с приключенски цели, а извършването на парашутни скокове, пускане на делтапланери, демонстрационни полети, състезателни полети или други подобни специализирани дейности. С предложената разпоредба се създава национално правно основание за приемането на декларациите от Главна дирекция „Гражданска въздухоплавателна администрация“, като по този начин се осигуряват прилагането на европейската правна уредба и упражняването на надзор върху операторите, извършващи търговски въздушни операции с аеростати.</w:t>
      </w:r>
    </w:p>
    <w:p w:rsidR="00897717" w:rsidRPr="00897717" w:rsidRDefault="00897717" w:rsidP="00897717">
      <w:pPr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77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 § 5 се предлага изменение на чл. 60, ал. 4 и ал. 7, с което се въвежда максимален първоначален срок от три месеца за отстраняване на установено несъответствие, както и възможност за неговото удължаване. Предвиденото удължаване на срока да се допуска само когато операторът е представил план за коригиращи действия, който е приет, както и обосновка на причините, поради които несъответствието не е било отстранено в рамките на първоначално определения срок. Представянето на тази информация е необходимо, за да може Главна дирекция „Гражданска въздухоплавателна администрация“ да извърши преценка дали са налице основания за удължаване на срока и дали предложените коригиращи действия са достатъчни за отстраняване на установеното несъответствие. Изменението се предлага с цел привеждане на разпоредбата в съответствие с ARO.GEN.350, б. „г“, т. 2, </w:t>
      </w:r>
      <w:proofErr w:type="spellStart"/>
      <w:r w:rsidRPr="00897717">
        <w:rPr>
          <w:rFonts w:ascii="Times New Roman" w:eastAsia="Times New Roman" w:hAnsi="Times New Roman" w:cs="Times New Roman"/>
          <w:sz w:val="24"/>
          <w:szCs w:val="24"/>
          <w:lang w:eastAsia="bg-BG"/>
        </w:rPr>
        <w:t>подт</w:t>
      </w:r>
      <w:proofErr w:type="spellEnd"/>
      <w:r w:rsidRPr="00897717">
        <w:rPr>
          <w:rFonts w:ascii="Times New Roman" w:eastAsia="Times New Roman" w:hAnsi="Times New Roman" w:cs="Times New Roman"/>
          <w:sz w:val="24"/>
          <w:szCs w:val="24"/>
          <w:lang w:eastAsia="bg-BG"/>
        </w:rPr>
        <w:t>. „i“ от Приложение II (част ARO) към Регламент (ЕС) № 965/2012 на Комисията от 5 октомври 2012 година за определяне на технически изисквания и административни процедури във връзка с въздушните операции в съответствие с Регламент (ЕО) № 216/2008 на Европейския парламент и на Съвета.</w:t>
      </w:r>
    </w:p>
    <w:p w:rsidR="00897717" w:rsidRPr="00897717" w:rsidRDefault="00897717" w:rsidP="00897717">
      <w:pPr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7717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Предложеният проект няма да доведе до пряко и/или косвено въздействие върху държавния бюджет. Приемането на предложения проект на наредба не изисква осигуряването на финансови или други средства за прилагането му, тъй като всички регламентирани в проекта на наредбата дейности ще се извършват от служителите в Главна дирекция „Гражданска въздухоплавателна администрация“ в рамките на утвърдения бюджет на администрацията за съответната бюджетна година.</w:t>
      </w:r>
    </w:p>
    <w:p w:rsidR="00897717" w:rsidRPr="00897717" w:rsidRDefault="00897717" w:rsidP="00897717">
      <w:pPr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77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Извършен е анализ за съответствие с правото на Европейския съюз. Предлаганият проект на наредба не е свързан с въвеждане на изисквания на директиви на Европейския съюз, поради което не е изготвяна и към този доклад не се прилага таблица за съответствието с правото на Европейския съюз. </w:t>
      </w:r>
    </w:p>
    <w:p w:rsidR="00897717" w:rsidRPr="00897717" w:rsidRDefault="00897717" w:rsidP="00897717">
      <w:pPr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7717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Проектът на наредба и докладът към него ще бъдат публикувани на интернет страницата на Министерството на транспорта и съобщенията и на Портала за обществени консултации при условията и по реда на чл. 26 от Закона за нормативните актове, като на заинтересованите лица ще бъде предоставен 30-дневен срок за предложения и становища. Постъпилите предложения и бележки ще бъдат обобщени в справка към окончателния доклад.</w:t>
      </w:r>
    </w:p>
    <w:p w:rsidR="00897717" w:rsidRPr="00897717" w:rsidRDefault="00897717" w:rsidP="00897717">
      <w:pPr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</w:p>
    <w:p w:rsidR="00381640" w:rsidRDefault="00381640" w:rsidP="00897717">
      <w:pPr>
        <w:spacing w:after="0" w:line="240" w:lineRule="auto"/>
        <w:ind w:firstLine="740"/>
        <w:jc w:val="both"/>
      </w:pPr>
      <w:bookmarkStart w:id="0" w:name="_GoBack"/>
      <w:bookmarkEnd w:id="0"/>
    </w:p>
    <w:sectPr w:rsidR="003816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D17"/>
    <w:rsid w:val="000A2D17"/>
    <w:rsid w:val="00113B03"/>
    <w:rsid w:val="0013323E"/>
    <w:rsid w:val="00222E99"/>
    <w:rsid w:val="00381640"/>
    <w:rsid w:val="007F2C3F"/>
    <w:rsid w:val="00897717"/>
    <w:rsid w:val="00C846FA"/>
    <w:rsid w:val="00FB1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2793F0-9FF1-4B53-B88C-915A629F3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23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jlqj4b">
    <w:name w:val="jlqj4b"/>
    <w:qFormat/>
    <w:rsid w:val="0013323E"/>
  </w:style>
  <w:style w:type="paragraph" w:customStyle="1" w:styleId="Style">
    <w:name w:val="Style"/>
    <w:qFormat/>
    <w:rsid w:val="0013323E"/>
    <w:pPr>
      <w:widowControl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13323E"/>
    <w:rPr>
      <w:b/>
      <w:bCs/>
    </w:rPr>
  </w:style>
  <w:style w:type="paragraph" w:styleId="NoSpacing">
    <w:name w:val="No Spacing"/>
    <w:uiPriority w:val="1"/>
    <w:qFormat/>
    <w:rsid w:val="0013323E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1332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1297</Words>
  <Characters>7398</Characters>
  <Application>Microsoft Office Word</Application>
  <DocSecurity>0</DocSecurity>
  <Lines>61</Lines>
  <Paragraphs>17</Paragraphs>
  <ScaleCrop>false</ScaleCrop>
  <Company>MTC</Company>
  <LinksUpToDate>false</LinksUpToDate>
  <CharactersWithSpaces>8678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Antoaneta Georgieva</dc:creator>
  <cp:keywords/>
  <dc:description/>
  <cp:lastModifiedBy>Antoaneta Georgieva</cp:lastModifiedBy>
  <cp:revision>4</cp:revision>
  <dcterms:created xsi:type="dcterms:W3CDTF">2026-08-05T12:45:00Z</dcterms:created>
  <dcterms:modified xsi:type="dcterms:W3CDTF">2026-08-06T11:14:00Z</dcterms:modified>
</cp:coreProperties>
</file>