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6F" w:rsidRPr="00AF0A49" w:rsidRDefault="00680A6F" w:rsidP="00592589">
      <w:pPr>
        <w:autoSpaceDE w:val="0"/>
        <w:autoSpaceDN w:val="0"/>
        <w:spacing w:before="480" w:line="276" w:lineRule="auto"/>
        <w:jc w:val="both"/>
        <w:rPr>
          <w:b/>
          <w:bCs/>
        </w:rPr>
      </w:pPr>
      <w:r w:rsidRPr="00AF0A49">
        <w:rPr>
          <w:b/>
          <w:bCs/>
        </w:rPr>
        <w:t>ДО</w:t>
      </w:r>
    </w:p>
    <w:p w:rsidR="00680A6F" w:rsidRPr="00AF0A49" w:rsidRDefault="00680A6F" w:rsidP="00592589">
      <w:pPr>
        <w:autoSpaceDE w:val="0"/>
        <w:autoSpaceDN w:val="0"/>
        <w:spacing w:line="276" w:lineRule="auto"/>
        <w:jc w:val="both"/>
        <w:rPr>
          <w:b/>
          <w:bCs/>
        </w:rPr>
      </w:pPr>
      <w:r w:rsidRPr="00AF0A49">
        <w:rPr>
          <w:b/>
          <w:bCs/>
        </w:rPr>
        <w:t>МИНИСТЕРСКИЯ СЪВЕТ</w:t>
      </w:r>
    </w:p>
    <w:p w:rsidR="00680A6F" w:rsidRPr="00AF0A49" w:rsidRDefault="00680A6F" w:rsidP="00592589">
      <w:pPr>
        <w:autoSpaceDE w:val="0"/>
        <w:autoSpaceDN w:val="0"/>
        <w:spacing w:before="960" w:line="276" w:lineRule="auto"/>
        <w:jc w:val="center"/>
        <w:rPr>
          <w:b/>
          <w:bCs/>
        </w:rPr>
      </w:pPr>
      <w:r w:rsidRPr="00AF0A49">
        <w:rPr>
          <w:b/>
          <w:bCs/>
        </w:rPr>
        <w:t>ДОКЛАД</w:t>
      </w:r>
    </w:p>
    <w:p w:rsidR="00680A6F" w:rsidRPr="00AF0A49" w:rsidRDefault="00680A6F" w:rsidP="00592589">
      <w:pPr>
        <w:autoSpaceDE w:val="0"/>
        <w:autoSpaceDN w:val="0"/>
        <w:spacing w:line="276" w:lineRule="auto"/>
        <w:jc w:val="center"/>
        <w:rPr>
          <w:b/>
          <w:bCs/>
        </w:rPr>
      </w:pPr>
      <w:r w:rsidRPr="00AF0A49">
        <w:rPr>
          <w:b/>
          <w:bCs/>
        </w:rPr>
        <w:t>от</w:t>
      </w:r>
    </w:p>
    <w:p w:rsidR="00680A6F" w:rsidRPr="00AF0A49" w:rsidRDefault="00680A6F" w:rsidP="00592589">
      <w:pPr>
        <w:autoSpaceDE w:val="0"/>
        <w:autoSpaceDN w:val="0"/>
        <w:spacing w:line="276" w:lineRule="auto"/>
        <w:jc w:val="both"/>
        <w:rPr>
          <w:i/>
          <w:iCs/>
        </w:rPr>
      </w:pPr>
      <w:r w:rsidRPr="00AF0A49">
        <w:rPr>
          <w:b/>
          <w:bCs/>
        </w:rPr>
        <w:t xml:space="preserve">Росен Желязков </w:t>
      </w:r>
      <w:r w:rsidRPr="00AF0A49">
        <w:t xml:space="preserve">– </w:t>
      </w:r>
      <w:r w:rsidRPr="00AF0A49">
        <w:rPr>
          <w:i/>
          <w:iCs/>
        </w:rPr>
        <w:t>министър на транспорта, информационните технологии и съобщенията</w:t>
      </w:r>
    </w:p>
    <w:p w:rsidR="00680A6F" w:rsidRPr="00AF0A49" w:rsidRDefault="00680A6F" w:rsidP="00592589">
      <w:pPr>
        <w:autoSpaceDE w:val="0"/>
        <w:autoSpaceDN w:val="0"/>
        <w:spacing w:before="480" w:line="276" w:lineRule="auto"/>
        <w:jc w:val="both"/>
        <w:rPr>
          <w:i/>
          <w:iCs/>
        </w:rPr>
      </w:pPr>
      <w:r w:rsidRPr="00AF0A49">
        <w:rPr>
          <w:b/>
          <w:bCs/>
        </w:rPr>
        <w:t>Относно:</w:t>
      </w:r>
      <w:r w:rsidRPr="00AF0A49">
        <w:t xml:space="preserve"> </w:t>
      </w:r>
      <w:r w:rsidR="00457494" w:rsidRPr="00AF0A49">
        <w:rPr>
          <w:i/>
          <w:iCs/>
        </w:rPr>
        <w:t>п</w:t>
      </w:r>
      <w:r w:rsidRPr="00AF0A49">
        <w:rPr>
          <w:i/>
          <w:iCs/>
        </w:rPr>
        <w:t xml:space="preserve">роект на Решение на Министерския съвет за одобряване на проект на Закон за изменение и допълнение на </w:t>
      </w:r>
      <w:r w:rsidRPr="001B67BB">
        <w:rPr>
          <w:i/>
          <w:iCs/>
        </w:rPr>
        <w:t>Кодекс</w:t>
      </w:r>
      <w:r w:rsidR="00457494" w:rsidRPr="00AF0A49">
        <w:rPr>
          <w:i/>
          <w:iCs/>
        </w:rPr>
        <w:t>а</w:t>
      </w:r>
      <w:r w:rsidRPr="001B67BB">
        <w:rPr>
          <w:i/>
          <w:iCs/>
        </w:rPr>
        <w:t xml:space="preserve"> на търговското корабоплаване</w:t>
      </w:r>
    </w:p>
    <w:p w:rsidR="00680A6F" w:rsidRPr="00AF0A49" w:rsidRDefault="00680A6F" w:rsidP="00592589">
      <w:pPr>
        <w:autoSpaceDE w:val="0"/>
        <w:autoSpaceDN w:val="0"/>
        <w:spacing w:before="840" w:line="276" w:lineRule="auto"/>
        <w:ind w:firstLine="706"/>
        <w:jc w:val="both"/>
        <w:rPr>
          <w:b/>
          <w:bCs/>
        </w:rPr>
      </w:pPr>
      <w:r w:rsidRPr="00AF0A49">
        <w:rPr>
          <w:b/>
          <w:bCs/>
        </w:rPr>
        <w:t>УВАЖАЕМИ ГОСПОДИН МИНИСТЪР-ПРЕДСЕДАТЕЛ,</w:t>
      </w:r>
    </w:p>
    <w:p w:rsidR="00680A6F" w:rsidRPr="00AF0A49" w:rsidRDefault="00680A6F" w:rsidP="00592589">
      <w:pPr>
        <w:autoSpaceDE w:val="0"/>
        <w:autoSpaceDN w:val="0"/>
        <w:spacing w:after="120" w:line="276" w:lineRule="auto"/>
        <w:ind w:firstLine="709"/>
        <w:jc w:val="both"/>
        <w:rPr>
          <w:b/>
          <w:bCs/>
        </w:rPr>
      </w:pPr>
      <w:r w:rsidRPr="00AF0A49">
        <w:rPr>
          <w:b/>
          <w:bCs/>
        </w:rPr>
        <w:t>УВАЖАЕМИ ГОСПОЖИ И ГОСПОДА МИНИСТРИ,</w:t>
      </w:r>
    </w:p>
    <w:p w:rsidR="00680A6F" w:rsidRPr="00AF0A49" w:rsidRDefault="00680A6F" w:rsidP="00592589">
      <w:pPr>
        <w:autoSpaceDE w:val="0"/>
        <w:autoSpaceDN w:val="0"/>
        <w:spacing w:line="276" w:lineRule="auto"/>
        <w:ind w:firstLine="709"/>
        <w:jc w:val="both"/>
      </w:pPr>
      <w:r w:rsidRPr="00AF0A49">
        <w:t>На основание чл. 31, ал. 2 от Устройствения правилник на Министерския съвет и на неговата администрация, внасям за разглеждане проект на Решение на Министерския съвет за одобряване на проект на Закон за изменение и допълнение на Кодекс</w:t>
      </w:r>
      <w:r w:rsidR="00457494" w:rsidRPr="00AF0A49">
        <w:t>а</w:t>
      </w:r>
      <w:r w:rsidRPr="00AF0A49">
        <w:t xml:space="preserve"> на търговското корабоплаване, с </w:t>
      </w:r>
      <w:r w:rsidR="006F7675">
        <w:t xml:space="preserve">приложени </w:t>
      </w:r>
      <w:r w:rsidRPr="00AF0A49">
        <w:t xml:space="preserve">мотиви към </w:t>
      </w:r>
      <w:r w:rsidR="00B11158">
        <w:t>него</w:t>
      </w:r>
      <w:r w:rsidRPr="00AF0A49">
        <w:t>.</w:t>
      </w:r>
    </w:p>
    <w:p w:rsidR="002813D3" w:rsidRPr="00AF0A49" w:rsidRDefault="00AF0A49" w:rsidP="002813D3">
      <w:pPr>
        <w:spacing w:before="120" w:line="276" w:lineRule="auto"/>
        <w:ind w:firstLine="706"/>
        <w:jc w:val="both"/>
      </w:pPr>
      <w:r w:rsidRPr="00AF0A49">
        <w:t>С</w:t>
      </w:r>
      <w:r w:rsidR="002813D3" w:rsidRPr="001B67BB">
        <w:t xml:space="preserve"> предлаганото изменение и допълнение на </w:t>
      </w:r>
      <w:r w:rsidR="002813D3" w:rsidRPr="00AF0A49">
        <w:t>Кодекса на търговското корабоплаване</w:t>
      </w:r>
      <w:r w:rsidR="002813D3" w:rsidRPr="001B67BB">
        <w:t xml:space="preserve"> </w:t>
      </w:r>
      <w:r w:rsidR="002813D3" w:rsidRPr="00AF0A49">
        <w:t xml:space="preserve">(КТК) </w:t>
      </w:r>
      <w:r w:rsidRPr="00AF0A49">
        <w:t>на първо място с</w:t>
      </w:r>
      <w:r w:rsidR="002813D3" w:rsidRPr="001B67BB">
        <w:t xml:space="preserve">е </w:t>
      </w:r>
      <w:r w:rsidRPr="00AF0A49">
        <w:t xml:space="preserve">цели </w:t>
      </w:r>
      <w:r w:rsidR="002813D3" w:rsidRPr="001B67BB">
        <w:t>осигур</w:t>
      </w:r>
      <w:r w:rsidRPr="00AF0A49">
        <w:t>яване на</w:t>
      </w:r>
      <w:r w:rsidR="002813D3" w:rsidRPr="001B67BB">
        <w:t xml:space="preserve"> мерки на национално ниво за прилагане на </w:t>
      </w:r>
      <w:r w:rsidR="002813D3" w:rsidRPr="00AF0A49">
        <w:t xml:space="preserve">вторичното право на Европейския съюз относно надзора на пазара на морското оборудване във връзка с изискванията на </w:t>
      </w:r>
      <w:r w:rsidR="002813D3" w:rsidRPr="001B67BB">
        <w:t>Директива 2014/90/ЕС на Европейския парламент и на Съвета от 23 юли 2014 г. относно морското оборудване и за отмяна на Директива 96/98/ЕО на Съвета (OB, L 257/146 от 28 август 2014 г.)</w:t>
      </w:r>
      <w:r w:rsidR="002813D3" w:rsidRPr="00AF0A49">
        <w:t xml:space="preserve"> (</w:t>
      </w:r>
      <w:r w:rsidR="002813D3" w:rsidRPr="001B67BB">
        <w:t>Директива 2014/90/ЕС</w:t>
      </w:r>
      <w:r w:rsidR="002813D3" w:rsidRPr="00AF0A49">
        <w:t>)</w:t>
      </w:r>
      <w:r w:rsidR="002813D3" w:rsidRPr="001B67BB">
        <w:t xml:space="preserve">, </w:t>
      </w:r>
      <w:r w:rsidR="002813D3" w:rsidRPr="00AF0A49">
        <w:t xml:space="preserve">и </w:t>
      </w:r>
      <w:r w:rsidR="002813D3" w:rsidRPr="001B67BB">
        <w:t>приетите от Европейската комисия актове за изпълнение по чл. 35 и делегирани актове по чл. 8, 11, 27 и 36 от Директива 2014/90/ЕС</w:t>
      </w:r>
      <w:r w:rsidR="002813D3" w:rsidRPr="00AF0A49">
        <w:t xml:space="preserve">. </w:t>
      </w:r>
    </w:p>
    <w:p w:rsidR="002813D3" w:rsidRPr="00AF0A49" w:rsidRDefault="002813D3" w:rsidP="002813D3">
      <w:pPr>
        <w:spacing w:before="120" w:line="276" w:lineRule="auto"/>
        <w:ind w:firstLine="706"/>
        <w:jc w:val="both"/>
      </w:pPr>
      <w:r w:rsidRPr="00AF0A49">
        <w:t>Изисквания на Директива 2014/90/ЕС са въведени в българското законодателство със Закона за изменение и допълнение на Кодекса на търговското корабоплаване (</w:t>
      </w:r>
      <w:r w:rsidR="00AF0A49">
        <w:t xml:space="preserve">обн., </w:t>
      </w:r>
      <w:r w:rsidRPr="00AF0A49">
        <w:t xml:space="preserve">ДВ, бр. 93 от 2017 г.) и Наредба № 54 от </w:t>
      </w:r>
      <w:r w:rsidR="00311DD5">
        <w:t>29.12.</w:t>
      </w:r>
      <w:r w:rsidRPr="00AF0A49">
        <w:t>2016 г. за техническите изисквания и оценяване съответствието на оборудването на морските кораби (</w:t>
      </w:r>
      <w:r w:rsidR="00AF0A49">
        <w:t xml:space="preserve">обн., </w:t>
      </w:r>
      <w:r w:rsidRPr="00AF0A49">
        <w:t xml:space="preserve">ДВ, бр. 4 от 2017 г.), </w:t>
      </w:r>
      <w:r w:rsidRPr="001B67BB">
        <w:t xml:space="preserve">но в </w:t>
      </w:r>
      <w:r w:rsidRPr="00AF0A49">
        <w:t>действащ</w:t>
      </w:r>
      <w:r w:rsidR="00AF0A49">
        <w:t>ото законодателство</w:t>
      </w:r>
      <w:r w:rsidRPr="001B67BB">
        <w:t xml:space="preserve"> не е определен национален орган за надзор на пазара на морско оборудване със съответни</w:t>
      </w:r>
      <w:r w:rsidR="00C83B5A">
        <w:t>те му</w:t>
      </w:r>
      <w:r w:rsidRPr="001B67BB">
        <w:t xml:space="preserve"> правомощия. </w:t>
      </w:r>
      <w:r w:rsidR="00AF0A49">
        <w:t>Съгласно</w:t>
      </w:r>
      <w:r w:rsidRPr="00AF0A49">
        <w:t xml:space="preserve"> чл. 25, параграф 1 от цитираната директива надзорът на пазара на морското оборудване следва да се осъществява в съответствие с рамката на Европейския съюз за надзор на пазара, определена в глава III от Регламент (ЕО) № 765/2008 на Европейския парламент и на Съвета от 9 юли 2008 г. за </w:t>
      </w:r>
      <w:r w:rsidRPr="00AF0A49">
        <w:lastRenderedPageBreak/>
        <w:t xml:space="preserve">определяне на изискванията за акредитация и надзор на пазара във връзка с предлагането на пазара на продукти и за отмяна на Регламент (ЕИО) № 339/93, като в същото време се вземат предвид специфичните особености на сектора на морското оборудване, включително различните процедури, изпълнявани в рамките на оценяването на съответствието, и по-специално отговорностите на администрацията на държавата на знамето, възложени ѝ с международните конвенции. Именно предвид спецификата на морското оборудване законопроектът предвижда </w:t>
      </w:r>
      <w:r w:rsidR="00C83B5A">
        <w:t xml:space="preserve">за орган по надзор на пазара на морското оборудване да бъде определена Изпълнителна агенция „Морска администрация“, като </w:t>
      </w:r>
      <w:r w:rsidRPr="00AF0A49">
        <w:t xml:space="preserve">осъществяването на надзора да се извършва чрез проверки основно на борда на морски кораби, плаващи под българско знаме. </w:t>
      </w:r>
    </w:p>
    <w:p w:rsidR="002813D3" w:rsidRPr="00AF0A49" w:rsidRDefault="002813D3" w:rsidP="002813D3">
      <w:pPr>
        <w:spacing w:before="120" w:line="276" w:lineRule="auto"/>
        <w:ind w:firstLine="706"/>
        <w:jc w:val="both"/>
      </w:pPr>
      <w:r w:rsidRPr="00AF0A49">
        <w:t>Из</w:t>
      </w:r>
      <w:r w:rsidR="006F7675">
        <w:t>готвеният</w:t>
      </w:r>
      <w:r w:rsidRPr="00AF0A49">
        <w:t xml:space="preserve"> законопроект е </w:t>
      </w:r>
      <w:r w:rsidR="00C83B5A">
        <w:t xml:space="preserve">в изпълнение на </w:t>
      </w:r>
      <w:r w:rsidRPr="00AF0A49">
        <w:t>мярка № 83 в Плана за действие с мерките, произтичащи от членството на Република България в Европейския съюз, приет с Решение № 25 на Министерския съвет от 17 януари 2020 г.</w:t>
      </w:r>
      <w:r w:rsidR="00C83B5A">
        <w:t>, както и в</w:t>
      </w:r>
      <w:r w:rsidR="00C83B5A" w:rsidRPr="00AF0A49">
        <w:t>ъв връзка с процедура на Европейската комисия за нарушение № 2019/2218 относно неизпълнение на задължения по Директива 2014/90/ЕС</w:t>
      </w:r>
      <w:r w:rsidR="00C83B5A">
        <w:t>, като</w:t>
      </w:r>
      <w:r w:rsidR="00C83B5A" w:rsidRPr="00AF0A49">
        <w:t xml:space="preserve"> </w:t>
      </w:r>
      <w:r w:rsidR="0042596C">
        <w:t xml:space="preserve">в </w:t>
      </w:r>
      <w:r w:rsidR="00C83B5A" w:rsidRPr="00AF0A49">
        <w:t>националната правна уредба надзор</w:t>
      </w:r>
      <w:r w:rsidR="0042596C">
        <w:t>ът</w:t>
      </w:r>
      <w:r w:rsidR="00C83B5A" w:rsidRPr="00AF0A49">
        <w:t xml:space="preserve"> на пазара на морското оборудване се привежда в пълно съответствие с изискванията на посочената директива.</w:t>
      </w:r>
    </w:p>
    <w:p w:rsidR="002813D3" w:rsidRPr="00AF0A49" w:rsidRDefault="00AF0A49" w:rsidP="002813D3">
      <w:pPr>
        <w:spacing w:before="120" w:line="276" w:lineRule="auto"/>
        <w:ind w:firstLine="706"/>
        <w:jc w:val="both"/>
      </w:pPr>
      <w:r>
        <w:t>Предложените</w:t>
      </w:r>
      <w:r w:rsidR="002813D3" w:rsidRPr="00AF0A49">
        <w:t xml:space="preserve"> промени </w:t>
      </w:r>
      <w:r w:rsidR="0042596C">
        <w:t xml:space="preserve">от една страна </w:t>
      </w:r>
      <w:r w:rsidR="002813D3" w:rsidRPr="00AF0A49">
        <w:t>създават допълнителни гаранции за прилагането на чл. 72, ал. 8 от КТК, които са свързани с повишаване на безопасността по море и предотвратяване на замърсяването на морската околна среда във връзка с риска от инциденти, в резултат на използването на морско оборудване, което не е в съответствие с нормативн</w:t>
      </w:r>
      <w:r w:rsidR="00B11158">
        <w:t>ите</w:t>
      </w:r>
      <w:r w:rsidR="002813D3" w:rsidRPr="00AF0A49">
        <w:t xml:space="preserve"> изисквания.</w:t>
      </w:r>
      <w:r w:rsidR="006F7675">
        <w:t xml:space="preserve"> </w:t>
      </w:r>
      <w:r w:rsidR="002813D3" w:rsidRPr="00AF0A49">
        <w:t xml:space="preserve">На следващо място, въвеждането на специален ред за надзор на пазара на морското оборудване е предпоставка за </w:t>
      </w:r>
      <w:r w:rsidR="0042596C">
        <w:t>осигур</w:t>
      </w:r>
      <w:r w:rsidR="006F7675">
        <w:t>я</w:t>
      </w:r>
      <w:r w:rsidR="0042596C">
        <w:t>в</w:t>
      </w:r>
      <w:r w:rsidR="006F7675">
        <w:t>а</w:t>
      </w:r>
      <w:r w:rsidR="0042596C">
        <w:t xml:space="preserve">не на </w:t>
      </w:r>
      <w:r w:rsidR="002813D3" w:rsidRPr="00AF0A49">
        <w:t xml:space="preserve">лоялна конкуренция и недопускане на случаи на изкривяване на пазара на морското оборудване. </w:t>
      </w:r>
    </w:p>
    <w:p w:rsidR="002813D3" w:rsidRPr="00AF0A49" w:rsidRDefault="00B11158" w:rsidP="002813D3">
      <w:pPr>
        <w:spacing w:before="120" w:line="276" w:lineRule="auto"/>
        <w:ind w:firstLine="706"/>
        <w:jc w:val="both"/>
      </w:pPr>
      <w:r>
        <w:t xml:space="preserve">Предложените промени </w:t>
      </w:r>
      <w:r w:rsidR="002813D3" w:rsidRPr="00AF0A49">
        <w:t>включва</w:t>
      </w:r>
      <w:r>
        <w:t>т</w:t>
      </w:r>
      <w:r w:rsidR="002813D3" w:rsidRPr="00AF0A49">
        <w:t xml:space="preserve">: </w:t>
      </w:r>
      <w:r w:rsidR="002813D3" w:rsidRPr="00AF0A49">
        <w:rPr>
          <w:b/>
        </w:rPr>
        <w:t>1)</w:t>
      </w:r>
      <w:r w:rsidR="002813D3" w:rsidRPr="001B67BB">
        <w:rPr>
          <w:b/>
        </w:rPr>
        <w:t xml:space="preserve"> </w:t>
      </w:r>
      <w:r w:rsidR="002813D3" w:rsidRPr="00AF0A49">
        <w:t xml:space="preserve">създаване на специален ред за надзор на пазара на морското оборудване; </w:t>
      </w:r>
      <w:r w:rsidR="002813D3" w:rsidRPr="00AF0A49">
        <w:rPr>
          <w:b/>
        </w:rPr>
        <w:t>2)</w:t>
      </w:r>
      <w:r w:rsidR="002813D3" w:rsidRPr="00AF0A49">
        <w:t xml:space="preserve"> определяне на орган, на който се възлагат функциите на „орган за надзор на пазара на морското оборудване“ и </w:t>
      </w:r>
      <w:r w:rsidR="003F555A">
        <w:t xml:space="preserve">определяне на </w:t>
      </w:r>
      <w:r w:rsidR="002813D3" w:rsidRPr="00AF0A49">
        <w:t>права</w:t>
      </w:r>
      <w:r w:rsidR="003F555A">
        <w:t>та</w:t>
      </w:r>
      <w:r w:rsidR="002813D3" w:rsidRPr="00AF0A49">
        <w:t xml:space="preserve"> и задължения</w:t>
      </w:r>
      <w:r w:rsidR="003F555A">
        <w:t>та</w:t>
      </w:r>
      <w:r w:rsidR="002813D3" w:rsidRPr="00AF0A49">
        <w:t xml:space="preserve"> на инспекторите на Изпълнителна агенция „Морска администрация”, осъществяващи такъв надзор; </w:t>
      </w:r>
      <w:r w:rsidR="002813D3" w:rsidRPr="00AF0A49">
        <w:rPr>
          <w:b/>
        </w:rPr>
        <w:t>3)</w:t>
      </w:r>
      <w:r w:rsidR="002813D3" w:rsidRPr="00AF0A49">
        <w:t xml:space="preserve"> създаване на законово основание за прилагане на коригиращи и ограничителни мерки по отношение на морското оборудване при установени несъответствия с нормативните изисквания; </w:t>
      </w:r>
      <w:r w:rsidR="002813D3" w:rsidRPr="00AF0A49">
        <w:rPr>
          <w:b/>
        </w:rPr>
        <w:t>4)</w:t>
      </w:r>
      <w:r w:rsidR="002813D3" w:rsidRPr="00AF0A49">
        <w:t xml:space="preserve"> въвеждане на административнонаказателни разпоредби във връзка с реда за осъществяване на надзор на пазара на морското оборудване; </w:t>
      </w:r>
      <w:r w:rsidR="002813D3" w:rsidRPr="00AF0A49">
        <w:rPr>
          <w:b/>
        </w:rPr>
        <w:t xml:space="preserve">5) </w:t>
      </w:r>
      <w:r w:rsidR="002813D3" w:rsidRPr="00AF0A49">
        <w:t>въвеждане на специфични понятия във връзка с надзора на пазара на морското оборудване.</w:t>
      </w:r>
    </w:p>
    <w:p w:rsidR="002813D3" w:rsidRPr="00AF0A49" w:rsidRDefault="002813D3" w:rsidP="002813D3">
      <w:pPr>
        <w:spacing w:before="120" w:line="276" w:lineRule="auto"/>
        <w:ind w:firstLine="706"/>
        <w:jc w:val="both"/>
      </w:pPr>
      <w:r w:rsidRPr="00AF0A49">
        <w:t>С §</w:t>
      </w:r>
      <w:r w:rsidRPr="001B67BB">
        <w:t> 6</w:t>
      </w:r>
      <w:r w:rsidRPr="00AF0A49">
        <w:t xml:space="preserve"> от </w:t>
      </w:r>
      <w:r w:rsidRPr="001B67BB">
        <w:t>проект</w:t>
      </w:r>
      <w:r w:rsidR="003F555A">
        <w:t>а</w:t>
      </w:r>
      <w:r w:rsidRPr="001B67BB">
        <w:t xml:space="preserve"> на закон </w:t>
      </w:r>
      <w:r w:rsidRPr="00AF0A49">
        <w:t xml:space="preserve">се </w:t>
      </w:r>
      <w:r w:rsidR="00B11158">
        <w:t xml:space="preserve">предвижда </w:t>
      </w:r>
      <w:r w:rsidRPr="00AF0A49">
        <w:t>създава</w:t>
      </w:r>
      <w:r w:rsidR="00B11158">
        <w:t xml:space="preserve">нето на </w:t>
      </w:r>
      <w:r w:rsidRPr="00AF0A49">
        <w:t xml:space="preserve"> Раздел </w:t>
      </w:r>
      <w:proofErr w:type="spellStart"/>
      <w:r w:rsidRPr="001B67BB">
        <w:t>II</w:t>
      </w:r>
      <w:r w:rsidRPr="00AF0A49">
        <w:t>а</w:t>
      </w:r>
      <w:proofErr w:type="spellEnd"/>
      <w:r w:rsidRPr="00AF0A49">
        <w:t xml:space="preserve"> „Надзор на пазара на морско оборудване” с чл. 80а – чл. 80т в глава четвърта „Условия за безопасност на корабоплаването” на Кодекса на търговското корабоплаване, </w:t>
      </w:r>
      <w:r w:rsidR="00B11158">
        <w:t>в който</w:t>
      </w:r>
      <w:r w:rsidRPr="00AF0A49">
        <w:t xml:space="preserve"> се определят ред</w:t>
      </w:r>
      <w:r w:rsidR="00B11158">
        <w:t>ът</w:t>
      </w:r>
      <w:r w:rsidRPr="00AF0A49">
        <w:t xml:space="preserve"> и условия</w:t>
      </w:r>
      <w:r w:rsidR="00B11158">
        <w:t>та</w:t>
      </w:r>
      <w:r w:rsidRPr="00AF0A49">
        <w:t xml:space="preserve"> за осъществяване на надзор на пазара на морското оборудване в съответствие със спецификите на сектора.</w:t>
      </w:r>
    </w:p>
    <w:p w:rsidR="002813D3" w:rsidRPr="00AF0A49" w:rsidRDefault="00B11158" w:rsidP="002813D3">
      <w:pPr>
        <w:spacing w:before="120" w:line="276" w:lineRule="auto"/>
        <w:ind w:firstLine="706"/>
        <w:jc w:val="both"/>
      </w:pPr>
      <w:r>
        <w:lastRenderedPageBreak/>
        <w:t xml:space="preserve">Предвидено е </w:t>
      </w:r>
      <w:r w:rsidR="002813D3" w:rsidRPr="00AF0A49">
        <w:t>надзор</w:t>
      </w:r>
      <w:r>
        <w:t>ът</w:t>
      </w:r>
      <w:r w:rsidR="002813D3" w:rsidRPr="00AF0A49">
        <w:t xml:space="preserve"> на пазара на морското оборудване </w:t>
      </w:r>
      <w:r>
        <w:t xml:space="preserve">да се извършва от  </w:t>
      </w:r>
      <w:r w:rsidR="002813D3" w:rsidRPr="00AF0A49">
        <w:t xml:space="preserve"> Изпълнителна агенция „Морска администрация”, </w:t>
      </w:r>
      <w:r>
        <w:t xml:space="preserve">чрез </w:t>
      </w:r>
      <w:r w:rsidR="002813D3" w:rsidRPr="00AF0A49">
        <w:t xml:space="preserve">налагане на ограничителни мерки и/или коригиращи действия на икономическите оператори съгласно чл. 80и, ал. 3 </w:t>
      </w:r>
      <w:r w:rsidR="002813D3" w:rsidRPr="001B67BB">
        <w:t>от проект</w:t>
      </w:r>
      <w:r>
        <w:t>а</w:t>
      </w:r>
      <w:r w:rsidR="002813D3" w:rsidRPr="001B67BB">
        <w:t xml:space="preserve"> на закон</w:t>
      </w:r>
      <w:r>
        <w:t>.</w:t>
      </w:r>
      <w:r w:rsidR="002813D3" w:rsidRPr="00AF0A49">
        <w:t xml:space="preserve"> </w:t>
      </w:r>
      <w:r w:rsidR="00C85AC0">
        <w:t xml:space="preserve">В допълнение, с проекта </w:t>
      </w:r>
      <w:r w:rsidR="002813D3" w:rsidRPr="00AF0A49">
        <w:t>се регламентира</w:t>
      </w:r>
      <w:r w:rsidR="003F555A">
        <w:t>т</w:t>
      </w:r>
      <w:r w:rsidR="002813D3" w:rsidRPr="00AF0A49">
        <w:t xml:space="preserve">  права</w:t>
      </w:r>
      <w:r w:rsidR="003F555A">
        <w:t>та</w:t>
      </w:r>
      <w:r w:rsidR="002813D3" w:rsidRPr="00AF0A49">
        <w:t xml:space="preserve"> и задължения</w:t>
      </w:r>
      <w:r w:rsidR="003F555A">
        <w:t>та</w:t>
      </w:r>
      <w:r w:rsidR="002813D3" w:rsidRPr="00AF0A49">
        <w:t xml:space="preserve"> на инспекторите, осъществяващи такъв надзор. </w:t>
      </w:r>
    </w:p>
    <w:p w:rsidR="002813D3" w:rsidRPr="00AF0A49" w:rsidRDefault="00C85AC0" w:rsidP="002813D3">
      <w:pPr>
        <w:spacing w:before="120" w:line="276" w:lineRule="auto"/>
        <w:ind w:firstLine="706"/>
        <w:jc w:val="both"/>
      </w:pPr>
      <w:r>
        <w:t xml:space="preserve">Съгласно проекта на закон, </w:t>
      </w:r>
      <w:r w:rsidR="002813D3" w:rsidRPr="00AF0A49">
        <w:t>когато инспекторите, осъществяващи надзор на пазара на морското оборудване, имат основателна причина да считат, че дадено морско оборудване представлява риск за морската безопасност, околната среда или здравето</w:t>
      </w:r>
      <w:r>
        <w:t xml:space="preserve">, се </w:t>
      </w:r>
      <w:r w:rsidR="0042596C">
        <w:t>п</w:t>
      </w:r>
      <w:r w:rsidRPr="00071ACD">
        <w:t>редвижда  извършване на оценка на морското оборудване</w:t>
      </w:r>
      <w:r w:rsidR="006F7675">
        <w:t xml:space="preserve"> </w:t>
      </w:r>
      <w:r w:rsidRPr="001B67BB">
        <w:t>(</w:t>
      </w:r>
      <w:r w:rsidRPr="004C6C8F">
        <w:t>чл. 80к от закон</w:t>
      </w:r>
      <w:r>
        <w:t>опроекта</w:t>
      </w:r>
      <w:r w:rsidRPr="001B67BB">
        <w:t>)</w:t>
      </w:r>
      <w:r w:rsidR="002813D3" w:rsidRPr="00AF0A49">
        <w:t xml:space="preserve">. </w:t>
      </w:r>
      <w:r w:rsidR="006F7675">
        <w:t>Предвидено е също</w:t>
      </w:r>
      <w:r w:rsidR="002813D3" w:rsidRPr="00AF0A49">
        <w:t xml:space="preserve"> инспекторите</w:t>
      </w:r>
      <w:r w:rsidR="0042596C">
        <w:t>, осъществяващи надзор на пазара,</w:t>
      </w:r>
      <w:r w:rsidR="002813D3" w:rsidRPr="00AF0A49">
        <w:t xml:space="preserve"> да информират Европейската комисия и другите държави-членки за резултатите от извършената оценка и предписаните коригиращи действия, в случаите на несъответствие на морското оборудване с приложимите технически изисквания, което не е ограничено до територията на Република България. Предвижда се при неизпълнение на предписаните коригиращи действия инспекторите да информират Европейската комисия и другите държави-членки относно всички налични данни, необходими за идентифицирането на несъответстващото морско оборудване, произхода на оборудването, естеството на несъответствието и съпътстващия риск, естеството и продължителността на наложените ограничителни мерки, както и аргументите, изтъкнати от съответния икономически оператор. </w:t>
      </w:r>
      <w:r w:rsidR="003F555A">
        <w:t xml:space="preserve">С разпоредбата на </w:t>
      </w:r>
      <w:r w:rsidR="002813D3" w:rsidRPr="00AF0A49">
        <w:t xml:space="preserve">чл. 80л от </w:t>
      </w:r>
      <w:r w:rsidR="003F555A">
        <w:t xml:space="preserve">законопроекта се предвижда </w:t>
      </w:r>
      <w:r w:rsidR="002813D3" w:rsidRPr="00AF0A49">
        <w:t xml:space="preserve">инспекторите </w:t>
      </w:r>
      <w:r w:rsidR="003F555A">
        <w:t xml:space="preserve">да </w:t>
      </w:r>
      <w:r w:rsidR="002813D3" w:rsidRPr="00AF0A49">
        <w:t xml:space="preserve">посочват дали несъответствието се дължи на някоя от следните причини: 1. неспазване на изискванията към проектирането, конструкцията и експлоатационните показатели; 2. неспазване на стандартите за изпитване; 3.  недостатъци в съответните стандарти за изпитване. </w:t>
      </w:r>
    </w:p>
    <w:p w:rsidR="002813D3" w:rsidRPr="00AF0A49" w:rsidRDefault="002813D3" w:rsidP="002813D3">
      <w:pPr>
        <w:spacing w:before="120" w:line="276" w:lineRule="auto"/>
        <w:ind w:firstLine="706"/>
        <w:jc w:val="both"/>
      </w:pPr>
      <w:r w:rsidRPr="00AF0A49">
        <w:t xml:space="preserve">На следващо място, </w:t>
      </w:r>
      <w:r w:rsidR="003F555A">
        <w:t xml:space="preserve">с </w:t>
      </w:r>
      <w:r w:rsidRPr="00AF0A49">
        <w:t>член 80м от проект</w:t>
      </w:r>
      <w:r w:rsidR="003F555A">
        <w:t>а</w:t>
      </w:r>
      <w:r w:rsidRPr="00AF0A49">
        <w:t xml:space="preserve"> на закон </w:t>
      </w:r>
      <w:r w:rsidR="003F555A">
        <w:t xml:space="preserve">се </w:t>
      </w:r>
      <w:r w:rsidRPr="00AF0A49">
        <w:t>регламентира отмяна на заповедта, с която е наложена временна ограничителна мярка, в случаите, когато е налице акт за изпълнение, с който Европейската комисия постановява, че предписаната мярка не е оправдана. Временната ограничителна мярка се счита за оправдана, когато в срок от 4 месеца от получаването на информацията за тази мярка не е повдигнато възражение от държава-членка или от Европейската комисия. В тази връзка чл. 80н от представения проект на закон предвижда, че при получаване на информация за предприети ограничителни мерки от компетентни органи на друга държава-членка, изпълнителният директор на Изпълнителна агенция „Морска администрация” или оправомощено от него длъжностно лице информира без забавяне Европейската комисия и другите държави членки за всички предприети от агенцията мерки и за всяка допълнителна информация, с която разполага и която е свързана с несъответствието на съответното морско оборудване, както и за възраженията на агенцията в случай на несъгласие с предприетите от другата държава-членка ограничителни мерки.</w:t>
      </w:r>
    </w:p>
    <w:p w:rsidR="002813D3" w:rsidRPr="00AF0A49" w:rsidRDefault="003F555A" w:rsidP="002813D3">
      <w:pPr>
        <w:spacing w:before="120" w:line="276" w:lineRule="auto"/>
        <w:ind w:firstLine="706"/>
        <w:jc w:val="both"/>
      </w:pPr>
      <w:r>
        <w:t>Със законопроекта</w:t>
      </w:r>
      <w:r w:rsidR="00EC3D37">
        <w:t xml:space="preserve"> </w:t>
      </w:r>
      <w:r w:rsidR="00EC3D37" w:rsidRPr="001B67BB">
        <w:t>(</w:t>
      </w:r>
      <w:r w:rsidR="002813D3" w:rsidRPr="00AF0A49">
        <w:t>чл. 80о</w:t>
      </w:r>
      <w:r w:rsidR="00EC3D37" w:rsidRPr="001B67BB">
        <w:t>)</w:t>
      </w:r>
      <w:r w:rsidR="002813D3" w:rsidRPr="00AF0A49">
        <w:t xml:space="preserve"> </w:t>
      </w:r>
      <w:r w:rsidR="00EC3D37">
        <w:t xml:space="preserve">се </w:t>
      </w:r>
      <w:r w:rsidR="002813D3" w:rsidRPr="00AF0A49">
        <w:t>предви</w:t>
      </w:r>
      <w:r w:rsidR="00EC3D37">
        <w:t>жда</w:t>
      </w:r>
      <w:r w:rsidR="002813D3" w:rsidRPr="00AF0A49">
        <w:t xml:space="preserve"> ред за налагане на коригиращи и/или ограничителни мерки по отношение на съответстващи продукти, които представляват риск </w:t>
      </w:r>
      <w:r w:rsidR="002813D3" w:rsidRPr="00AF0A49">
        <w:lastRenderedPageBreak/>
        <w:t>за морската безопасност, здравето или околната среда, в съответствие с изискването на чл. 28 от Директива 2014/90/ЕС.</w:t>
      </w:r>
    </w:p>
    <w:p w:rsidR="002813D3" w:rsidRPr="00AF0A49" w:rsidRDefault="002813D3" w:rsidP="002813D3">
      <w:pPr>
        <w:spacing w:before="120" w:line="276" w:lineRule="auto"/>
        <w:ind w:firstLine="706"/>
        <w:jc w:val="both"/>
      </w:pPr>
      <w:r w:rsidRPr="00AF0A49">
        <w:t>В</w:t>
      </w:r>
      <w:r w:rsidRPr="001B67BB">
        <w:t xml:space="preserve"> </w:t>
      </w:r>
      <w:r w:rsidRPr="00AF0A49">
        <w:t>чл. 80</w:t>
      </w:r>
      <w:r w:rsidRPr="001B67BB">
        <w:t>п</w:t>
      </w:r>
      <w:r w:rsidRPr="00AF0A49">
        <w:t xml:space="preserve"> </w:t>
      </w:r>
      <w:r w:rsidR="0052502C">
        <w:t xml:space="preserve">от </w:t>
      </w:r>
      <w:r w:rsidRPr="00AF0A49">
        <w:t>проект</w:t>
      </w:r>
      <w:r w:rsidR="0052502C">
        <w:t>а</w:t>
      </w:r>
      <w:r w:rsidRPr="00AF0A49">
        <w:t xml:space="preserve"> на закон е </w:t>
      </w:r>
      <w:r w:rsidR="0042596C">
        <w:t xml:space="preserve">предвидена </w:t>
      </w:r>
      <w:r w:rsidRPr="00AF0A49">
        <w:t xml:space="preserve"> специална хипотеза на</w:t>
      </w:r>
      <w:r w:rsidRPr="001B67BB">
        <w:t xml:space="preserve"> налагане на ограничителни мерки, когато морското оборудване не представлява риск, но е налице официално несъответствие на оборудването по смисъла на чл. 29 от Директива 2014/90/ЕС, а именно:</w:t>
      </w:r>
      <w:r w:rsidRPr="00AF0A49">
        <w:t xml:space="preserve"> маркировката „щурвал“ е положена в нарушение на изискванията на Директива 2014/90/ЕС или не е положена; декларацията на ЕС за съответствие не е съставена или не е съставена правилно; техническата документация не е налице или не е пълна; декларацията на ЕС за съответствие не е била изпратена на кораба.</w:t>
      </w:r>
    </w:p>
    <w:p w:rsidR="002813D3" w:rsidRPr="00AF0A49" w:rsidRDefault="002813D3" w:rsidP="002813D3">
      <w:pPr>
        <w:spacing w:before="120" w:line="276" w:lineRule="auto"/>
        <w:ind w:firstLine="706"/>
        <w:jc w:val="both"/>
        <w:rPr>
          <w:b/>
        </w:rPr>
      </w:pPr>
      <w:r w:rsidRPr="00AF0A49">
        <w:t xml:space="preserve">С останалите </w:t>
      </w:r>
      <w:r w:rsidR="0042596C">
        <w:t xml:space="preserve">предложени </w:t>
      </w:r>
      <w:r w:rsidRPr="00AF0A49">
        <w:t xml:space="preserve">разпоредби (чл. 80р-80т) се </w:t>
      </w:r>
      <w:r w:rsidR="0042596C">
        <w:t xml:space="preserve">цели </w:t>
      </w:r>
      <w:r w:rsidRPr="00AF0A49">
        <w:t>създава</w:t>
      </w:r>
      <w:r w:rsidR="0042596C">
        <w:t xml:space="preserve">не на </w:t>
      </w:r>
      <w:r w:rsidRPr="00AF0A49">
        <w:t xml:space="preserve"> гаранции за ефективно прилагане на наложените коригиращи и/или ограничителни мерки, като се вменява в задължение на икономическия оператор да гарантира предприемането на коригиращи действия </w:t>
      </w:r>
      <w:r w:rsidRPr="001B67BB">
        <w:t>по отношение на морското оборудване, което е предоставил на пазара в целия Европейски съюз или е монтирано на борда на морски кораби, плаващи под знамето на държава-членка на Европейския съюз</w:t>
      </w:r>
      <w:r w:rsidRPr="00AF0A49">
        <w:t xml:space="preserve">. </w:t>
      </w:r>
    </w:p>
    <w:p w:rsidR="00B86D23" w:rsidRDefault="002813D3" w:rsidP="0052502C">
      <w:pPr>
        <w:spacing w:before="120" w:line="276" w:lineRule="auto"/>
        <w:ind w:firstLine="706"/>
        <w:jc w:val="both"/>
      </w:pPr>
      <w:r w:rsidRPr="00AF0A49">
        <w:t>С §</w:t>
      </w:r>
      <w:r w:rsidRPr="001B67BB">
        <w:t> 12</w:t>
      </w:r>
      <w:r w:rsidRPr="00AF0A49">
        <w:t>-1</w:t>
      </w:r>
      <w:r w:rsidRPr="001B67BB">
        <w:t>3</w:t>
      </w:r>
      <w:r w:rsidRPr="00AF0A49">
        <w:t xml:space="preserve"> </w:t>
      </w:r>
      <w:r w:rsidRPr="001B67BB">
        <w:t>от проект</w:t>
      </w:r>
      <w:r w:rsidR="0052502C">
        <w:t>а</w:t>
      </w:r>
      <w:r w:rsidRPr="001B67BB">
        <w:t xml:space="preserve"> на закон</w:t>
      </w:r>
      <w:r w:rsidRPr="00AF0A49">
        <w:t xml:space="preserve"> се </w:t>
      </w:r>
      <w:r w:rsidR="0052502C">
        <w:t xml:space="preserve">предлага </w:t>
      </w:r>
      <w:r w:rsidRPr="00AF0A49">
        <w:t>въвежда</w:t>
      </w:r>
      <w:r w:rsidR="0052502C">
        <w:t>нето на</w:t>
      </w:r>
      <w:r w:rsidRPr="00AF0A49">
        <w:t xml:space="preserve"> административно-наказателни разпоредби във връзка със случаите на възпрепятстване осъществяването на </w:t>
      </w:r>
      <w:r w:rsidR="00B86D23">
        <w:t>правомощията н</w:t>
      </w:r>
      <w:r w:rsidRPr="00AF0A49">
        <w:t>а инспекторите, осъществяващи надзор на пазара на морското оборудване, или на неизпълнение на заповед на изпълнителния директор на Изпълнителна агенция „Морска администрация”, издадена на основание чл. 80и, ал. 3</w:t>
      </w:r>
      <w:r w:rsidR="00B86D23">
        <w:t xml:space="preserve"> от закон</w:t>
      </w:r>
      <w:r w:rsidR="00F70CC4">
        <w:t>о</w:t>
      </w:r>
      <w:r w:rsidR="00B86D23">
        <w:t>проекта</w:t>
      </w:r>
      <w:r w:rsidRPr="00AF0A49">
        <w:t>.</w:t>
      </w:r>
    </w:p>
    <w:p w:rsidR="002813D3" w:rsidRPr="00AF0A49" w:rsidRDefault="00B86D23" w:rsidP="0052502C">
      <w:pPr>
        <w:spacing w:before="120" w:line="276" w:lineRule="auto"/>
        <w:ind w:firstLine="706"/>
        <w:jc w:val="both"/>
      </w:pPr>
      <w:r>
        <w:t xml:space="preserve"> </w:t>
      </w:r>
      <w:r w:rsidR="0052502C">
        <w:t>Във връзка с посочените по-горе промени</w:t>
      </w:r>
      <w:r>
        <w:t xml:space="preserve"> </w:t>
      </w:r>
      <w:r w:rsidR="0052502C">
        <w:t xml:space="preserve">параграф </w:t>
      </w:r>
      <w:r w:rsidR="002813D3" w:rsidRPr="00AF0A49">
        <w:t xml:space="preserve">1а от Допълнителните разпоредби на Кодекса на търговското корабоплаване </w:t>
      </w:r>
      <w:r w:rsidR="0052502C">
        <w:t>с</w:t>
      </w:r>
      <w:r>
        <w:t>е</w:t>
      </w:r>
      <w:r w:rsidR="0052502C">
        <w:t xml:space="preserve"> допълва с </w:t>
      </w:r>
      <w:r w:rsidR="002813D3" w:rsidRPr="00AF0A49">
        <w:t xml:space="preserve">определения на следните понятия: </w:t>
      </w:r>
      <w:r w:rsidR="002813D3" w:rsidRPr="001B67BB">
        <w:t>„морско оборудване“, „пускане на пазара”, „</w:t>
      </w:r>
      <w:r w:rsidR="002813D3" w:rsidRPr="00AF0A49">
        <w:t>предоставяне</w:t>
      </w:r>
      <w:r w:rsidR="002813D3" w:rsidRPr="001B67BB">
        <w:t xml:space="preserve"> на пазара”, „изземване“, „изтегляне“, „производител“, „упълномощен представител“, „вносител“, „</w:t>
      </w:r>
      <w:r w:rsidR="002813D3" w:rsidRPr="00AF0A49">
        <w:t>дистрибутор</w:t>
      </w:r>
      <w:r w:rsidR="002813D3" w:rsidRPr="001B67BB">
        <w:t>“, „икономически оператори“, „нотифициран орган”.</w:t>
      </w:r>
      <w:r w:rsidR="002813D3" w:rsidRPr="00AF0A49">
        <w:t xml:space="preserve"> </w:t>
      </w:r>
      <w:r w:rsidR="00EC3D37">
        <w:t>Прецизирано е определението з</w:t>
      </w:r>
      <w:r w:rsidR="002813D3" w:rsidRPr="00AF0A49">
        <w:t xml:space="preserve">а „одит от Международната морска организация”, като е посочено, че това е одит, осъществен в съответствие с Резолюция A.1067(28), приета от Асамблеята на Международната морска организация на 4 декември 2013 г. </w:t>
      </w:r>
    </w:p>
    <w:p w:rsidR="002813D3" w:rsidRPr="00AF0A49" w:rsidRDefault="00EC3D37" w:rsidP="002813D3">
      <w:pPr>
        <w:spacing w:before="120" w:line="276" w:lineRule="auto"/>
        <w:ind w:firstLine="706"/>
        <w:jc w:val="both"/>
      </w:pPr>
      <w:r>
        <w:t>О</w:t>
      </w:r>
      <w:r w:rsidR="002813D3" w:rsidRPr="00AF0A49">
        <w:t>станалите предложени промени в §</w:t>
      </w:r>
      <w:r w:rsidR="002813D3" w:rsidRPr="001B67BB">
        <w:t> </w:t>
      </w:r>
      <w:r w:rsidR="002813D3" w:rsidRPr="00AF0A49">
        <w:t xml:space="preserve">1 – </w:t>
      </w:r>
      <w:r w:rsidR="002813D3" w:rsidRPr="001B67BB">
        <w:t>5</w:t>
      </w:r>
      <w:r w:rsidR="002813D3" w:rsidRPr="00AF0A49">
        <w:t>, §</w:t>
      </w:r>
      <w:r w:rsidR="002813D3" w:rsidRPr="001B67BB">
        <w:t> 7</w:t>
      </w:r>
      <w:r w:rsidR="002813D3" w:rsidRPr="00AF0A49">
        <w:t xml:space="preserve"> – 1</w:t>
      </w:r>
      <w:r w:rsidR="002813D3" w:rsidRPr="001B67BB">
        <w:t>1</w:t>
      </w:r>
      <w:r w:rsidR="002813D3" w:rsidRPr="00AF0A49">
        <w:t xml:space="preserve"> и §</w:t>
      </w:r>
      <w:r w:rsidR="002813D3" w:rsidRPr="001B67BB">
        <w:t> </w:t>
      </w:r>
      <w:r w:rsidR="002813D3" w:rsidRPr="00AF0A49">
        <w:t>1</w:t>
      </w:r>
      <w:r w:rsidR="002813D3" w:rsidRPr="001B67BB">
        <w:t>4</w:t>
      </w:r>
      <w:r w:rsidR="002813D3" w:rsidRPr="00AF0A49">
        <w:t xml:space="preserve"> – 1</w:t>
      </w:r>
      <w:r w:rsidR="002813D3" w:rsidRPr="001B67BB">
        <w:t>6</w:t>
      </w:r>
      <w:r w:rsidR="002813D3" w:rsidRPr="00AF0A49">
        <w:t xml:space="preserve"> от</w:t>
      </w:r>
      <w:r w:rsidR="00B86D23">
        <w:t xml:space="preserve"> </w:t>
      </w:r>
      <w:r w:rsidR="002813D3" w:rsidRPr="00AF0A49">
        <w:t>проект</w:t>
      </w:r>
      <w:r w:rsidR="0052502C">
        <w:t>а</w:t>
      </w:r>
      <w:r w:rsidR="002813D3" w:rsidRPr="00AF0A49">
        <w:t xml:space="preserve"> </w:t>
      </w:r>
      <w:r>
        <w:t>са свързани</w:t>
      </w:r>
      <w:r w:rsidR="002813D3" w:rsidRPr="00AF0A49">
        <w:t xml:space="preserve"> </w:t>
      </w:r>
      <w:r>
        <w:t>с</w:t>
      </w:r>
      <w:r w:rsidR="002813D3" w:rsidRPr="00AF0A49">
        <w:t xml:space="preserve">: </w:t>
      </w:r>
      <w:r w:rsidR="002813D3" w:rsidRPr="00AF0A49">
        <w:rPr>
          <w:b/>
        </w:rPr>
        <w:t>1)</w:t>
      </w:r>
      <w:r w:rsidR="002813D3" w:rsidRPr="00AF0A49">
        <w:t xml:space="preserve"> настъпили нормативни изменения в националното законодателство; </w:t>
      </w:r>
      <w:r w:rsidR="002813D3" w:rsidRPr="00AF0A49">
        <w:rPr>
          <w:b/>
        </w:rPr>
        <w:t>2)</w:t>
      </w:r>
      <w:r w:rsidR="002813D3" w:rsidRPr="00AF0A49">
        <w:t xml:space="preserve"> задължителни за прилагане актове на Международната морска организация.</w:t>
      </w:r>
    </w:p>
    <w:p w:rsidR="002813D3" w:rsidRPr="00AF0A49" w:rsidRDefault="00A764AF" w:rsidP="002813D3">
      <w:pPr>
        <w:spacing w:before="120" w:line="276" w:lineRule="auto"/>
        <w:ind w:firstLine="706"/>
        <w:jc w:val="both"/>
      </w:pPr>
      <w:r w:rsidRPr="001B67BB">
        <w:t>С предложената промяна в чл.</w:t>
      </w:r>
      <w:r w:rsidR="001C2598" w:rsidRPr="001B67BB">
        <w:t xml:space="preserve"> </w:t>
      </w:r>
      <w:r w:rsidRPr="001B67BB">
        <w:t xml:space="preserve">19 </w:t>
      </w:r>
      <w:r w:rsidR="00B11158" w:rsidRPr="001B67BB">
        <w:t xml:space="preserve">се прецизира текста на разпоредбата, като се  </w:t>
      </w:r>
      <w:r w:rsidR="002813D3" w:rsidRPr="00B11158">
        <w:t>залич</w:t>
      </w:r>
      <w:r w:rsidR="00B11158" w:rsidRPr="001B67BB">
        <w:t>ава</w:t>
      </w:r>
      <w:r w:rsidR="005E0CA3" w:rsidRPr="001B67BB">
        <w:t xml:space="preserve"> </w:t>
      </w:r>
      <w:r w:rsidR="005E0CA3">
        <w:t>препратката към чл. 24, който е отменен.</w:t>
      </w:r>
      <w:r w:rsidR="00B11158" w:rsidRPr="001B67BB">
        <w:t xml:space="preserve"> </w:t>
      </w:r>
    </w:p>
    <w:p w:rsidR="00B86D23" w:rsidRDefault="002813D3" w:rsidP="00176ABE">
      <w:pPr>
        <w:spacing w:before="120" w:line="276" w:lineRule="auto"/>
        <w:ind w:firstLine="706"/>
        <w:jc w:val="both"/>
      </w:pPr>
      <w:r w:rsidRPr="00AF0A49">
        <w:t>Предвид натрупаната практика по прилагане на чл. 31 от КТК се предлага създаване на втора алине</w:t>
      </w:r>
      <w:r w:rsidR="00B86D23">
        <w:t>я</w:t>
      </w:r>
      <w:r w:rsidRPr="00AF0A49">
        <w:t xml:space="preserve">, съгласно която </w:t>
      </w:r>
      <w:r w:rsidR="00B86D23">
        <w:t>Изпълнителна агенция „Морска администрация“</w:t>
      </w:r>
      <w:r w:rsidRPr="00AF0A49">
        <w:t xml:space="preserve"> има право да откаже вписване на наименование на кораб, ако избраното име на кораба е осмиващо, опозоряващо, обществено неприемливо или несъвместимо с националната чест на </w:t>
      </w:r>
      <w:r w:rsidRPr="00AF0A49">
        <w:lastRenderedPageBreak/>
        <w:t>българския народ. По този начин се въвежда ново основание за отказ от вписване на име на кораб в изрично посочените хипотези</w:t>
      </w:r>
      <w:r w:rsidR="00B86D23">
        <w:t xml:space="preserve">. </w:t>
      </w:r>
    </w:p>
    <w:p w:rsidR="002813D3" w:rsidRPr="00AF0A49" w:rsidRDefault="00176ABE" w:rsidP="00176ABE">
      <w:pPr>
        <w:spacing w:before="120" w:line="276" w:lineRule="auto"/>
        <w:ind w:firstLine="706"/>
        <w:jc w:val="both"/>
      </w:pPr>
      <w:r>
        <w:t>С оглед обстоятелството, че</w:t>
      </w:r>
      <w:r w:rsidR="002813D3" w:rsidRPr="00AF0A49">
        <w:t xml:space="preserve"> </w:t>
      </w:r>
      <w:r w:rsidR="002813D3" w:rsidRPr="001B67BB">
        <w:t>съществуващата нормативна уредба на договора за беърбоут чартър създава значителна административна тежест за гражданите и бизнеса и е практически неприложима в случаите, в които яхти и други плавателни средства за спорт, туризъм и развлечение, неизвършващи международно плаване, се п</w:t>
      </w:r>
      <w:r w:rsidR="00CC2939">
        <w:t>ренаемат по договор за</w:t>
      </w:r>
      <w:r w:rsidR="002813D3" w:rsidRPr="001B67BB">
        <w:t xml:space="preserve"> беърбоут чартър за кратки периоди от време (от няколко часа до няколко дни)</w:t>
      </w:r>
      <w:r w:rsidR="002813D3" w:rsidRPr="00AF0A49">
        <w:t>, с</w:t>
      </w:r>
      <w:r>
        <w:t>е</w:t>
      </w:r>
      <w:r w:rsidR="002813D3" w:rsidRPr="00AF0A49">
        <w:t xml:space="preserve"> предлага промяна</w:t>
      </w:r>
      <w:r>
        <w:t>та</w:t>
      </w:r>
      <w:r w:rsidR="002813D3" w:rsidRPr="00AF0A49">
        <w:t xml:space="preserve"> в чл. 39а от КТК</w:t>
      </w:r>
      <w:r w:rsidR="002813D3" w:rsidRPr="001B67BB">
        <w:t xml:space="preserve">. Общите правила относно договора за беърбоут чартър на кораб  се съдържат в чл. 35а, чл. 38, чл. 39а, чл. 40 и чл. 199а – 199м </w:t>
      </w:r>
      <w:r w:rsidR="002813D3" w:rsidRPr="00AF0A49">
        <w:t xml:space="preserve">от </w:t>
      </w:r>
      <w:r w:rsidR="002813D3" w:rsidRPr="001B67BB">
        <w:t xml:space="preserve">КТК.  </w:t>
      </w:r>
      <w:r w:rsidR="00182C0A" w:rsidRPr="00B86D23">
        <w:t>П</w:t>
      </w:r>
      <w:r w:rsidR="002813D3" w:rsidRPr="00B86D23">
        <w:t xml:space="preserve">редложено </w:t>
      </w:r>
      <w:r w:rsidR="00182C0A" w:rsidRPr="00B86D23">
        <w:t xml:space="preserve">е </w:t>
      </w:r>
      <w:r w:rsidR="002813D3" w:rsidRPr="001B67BB">
        <w:t xml:space="preserve">да бъде въведено изключение от тези общи правила, </w:t>
      </w:r>
      <w:r w:rsidR="00182C0A" w:rsidRPr="00B86D23">
        <w:t>при</w:t>
      </w:r>
      <w:r w:rsidR="002813D3" w:rsidRPr="001B67BB">
        <w:t xml:space="preserve"> </w:t>
      </w:r>
      <w:r w:rsidR="009F7C66">
        <w:t xml:space="preserve"> </w:t>
      </w:r>
      <w:r w:rsidR="002813D3" w:rsidRPr="001B67BB">
        <w:t>пре</w:t>
      </w:r>
      <w:r w:rsidR="00CC2939" w:rsidRPr="001B67BB">
        <w:t>наемането по договор за беърбоут чартър</w:t>
      </w:r>
      <w:r w:rsidR="002813D3" w:rsidRPr="001B67BB">
        <w:t xml:space="preserve"> на яхти и други плавателни средства за спорт, туризъм и развлечение, на беърбоут чартър за кратки периоди от време, тъй като продължителността на договорите </w:t>
      </w:r>
      <w:r w:rsidR="00182C0A" w:rsidRPr="00B86D23">
        <w:t xml:space="preserve">е по-кратка от необходимото време за </w:t>
      </w:r>
      <w:r w:rsidR="002813D3" w:rsidRPr="001B67BB">
        <w:t>вписване</w:t>
      </w:r>
      <w:r w:rsidR="00182C0A" w:rsidRPr="00B86D23">
        <w:t xml:space="preserve">то </w:t>
      </w:r>
      <w:r w:rsidR="00CC2939" w:rsidRPr="001B67BB">
        <w:t xml:space="preserve">на изискуемите данни </w:t>
      </w:r>
      <w:r w:rsidR="00182C0A" w:rsidRPr="00B86D23">
        <w:t>в</w:t>
      </w:r>
      <w:r w:rsidR="002813D3" w:rsidRPr="001B67BB">
        <w:t xml:space="preserve"> </w:t>
      </w:r>
      <w:r w:rsidR="005B31FA" w:rsidRPr="00B86D23">
        <w:t>р</w:t>
      </w:r>
      <w:r w:rsidR="002813D3" w:rsidRPr="001B67BB">
        <w:t>егистъра на корабите, плаващи под българско знаме</w:t>
      </w:r>
      <w:r w:rsidR="00530A50" w:rsidRPr="00B86D23">
        <w:t>.</w:t>
      </w:r>
      <w:r w:rsidR="002813D3" w:rsidRPr="001B67BB">
        <w:t xml:space="preserve"> </w:t>
      </w:r>
      <w:r w:rsidR="002813D3" w:rsidRPr="00B86D23">
        <w:t>За целта се предлага създаване на нова</w:t>
      </w:r>
      <w:r w:rsidR="002813D3" w:rsidRPr="00AF0A49">
        <w:t xml:space="preserve"> алинея на посочения текст, съгласно която при пренаемане по реда на чл. 199г от КТК на кораб, който не извършва международно плаване и се използва само за спорт, туризъм и развлечение, н</w:t>
      </w:r>
      <w:r w:rsidR="002813D3" w:rsidRPr="001B67BB">
        <w:t xml:space="preserve">е се изисква вписване на промяна на вписаните данни и обстоятелства в регистровите книги </w:t>
      </w:r>
      <w:r w:rsidR="002813D3" w:rsidRPr="00AF0A49">
        <w:t>по чл. 34, ал. 1, т. 3 от КТК.</w:t>
      </w:r>
    </w:p>
    <w:p w:rsidR="002813D3" w:rsidRPr="001B67BB" w:rsidRDefault="00182C0A" w:rsidP="002813D3">
      <w:pPr>
        <w:spacing w:before="120" w:line="276" w:lineRule="auto"/>
        <w:ind w:firstLine="706"/>
        <w:jc w:val="both"/>
      </w:pPr>
      <w:r>
        <w:t xml:space="preserve">С промяната в чл. 73, ал. 2  </w:t>
      </w:r>
      <w:r w:rsidR="009F7C66">
        <w:t xml:space="preserve">от КТК </w:t>
      </w:r>
      <w:r w:rsidR="002813D3" w:rsidRPr="00AF0A49">
        <w:t>се предвижда възможност признати организации по реда на действащото вторично право на Европейския съюз, на които Изпълнителна агенция „Морска администрация” е предоставила правомощия да извършват прегледи на кораби, да могат да издават свидетелства въз основа на извършените прегледи</w:t>
      </w:r>
      <w:r w:rsidR="002813D3" w:rsidRPr="001B67BB">
        <w:t>.</w:t>
      </w:r>
      <w:r>
        <w:t xml:space="preserve"> С предложението се цели</w:t>
      </w:r>
      <w:r w:rsidRPr="00AF0A49">
        <w:t xml:space="preserve"> отчитане на добрите практики в други държави членки на Европейския съюз</w:t>
      </w:r>
      <w:r>
        <w:t>, както и</w:t>
      </w:r>
      <w:r w:rsidRPr="00AF0A49">
        <w:t xml:space="preserve"> намаляване на административната тежест</w:t>
      </w:r>
      <w:r w:rsidR="00B86D23">
        <w:t>.</w:t>
      </w:r>
    </w:p>
    <w:p w:rsidR="002813D3" w:rsidRPr="00AF0A49" w:rsidRDefault="002813D3" w:rsidP="002813D3">
      <w:pPr>
        <w:spacing w:before="120" w:line="276" w:lineRule="auto"/>
        <w:ind w:firstLine="706"/>
        <w:jc w:val="both"/>
      </w:pPr>
      <w:r w:rsidRPr="00AF0A49">
        <w:t xml:space="preserve">Във връзка с осигуряване на прилагането на актуални задължителни актове на Международната морска организация, </w:t>
      </w:r>
      <w:r w:rsidR="00640208">
        <w:t xml:space="preserve">с промяната </w:t>
      </w:r>
      <w:r w:rsidRPr="00AF0A49">
        <w:t>в чл. 79 от КТК се</w:t>
      </w:r>
      <w:r w:rsidR="00B86D23">
        <w:t xml:space="preserve"> уточнява</w:t>
      </w:r>
      <w:r w:rsidRPr="00AF0A49">
        <w:t xml:space="preserve">, че разследването на морски произшествия и инциденти се извършва в съответствие с </w:t>
      </w:r>
      <w:r w:rsidRPr="001B67BB">
        <w:t>Кодекса за разследване на морски произшествия и инциденти, приет с Резолюция</w:t>
      </w:r>
      <w:r w:rsidRPr="001B67BB">
        <w:rPr>
          <w:bCs/>
        </w:rPr>
        <w:t xml:space="preserve"> MSC.255 (84) от 16 май 2008 г. на Комитета по морска безопасност</w:t>
      </w:r>
      <w:r w:rsidRPr="001B67BB">
        <w:t xml:space="preserve"> на Международната морска организация</w:t>
      </w:r>
      <w:r w:rsidRPr="00AF0A49">
        <w:t>.</w:t>
      </w:r>
    </w:p>
    <w:p w:rsidR="002813D3" w:rsidRPr="00AF0A49" w:rsidRDefault="002813D3" w:rsidP="002813D3">
      <w:pPr>
        <w:spacing w:before="120" w:line="276" w:lineRule="auto"/>
        <w:ind w:firstLine="706"/>
        <w:jc w:val="both"/>
      </w:pPr>
      <w:r w:rsidRPr="00AF0A49">
        <w:t>С оглед на настъпилите промени в областта на наказателното право и отпадането на института на „дознанието” в действащата наказателно-процесуална нормативна уредба, е предложена нова редакция на чл. 90 от КТК, която прецизира правомощия на капитана на кораб в случай на извършено престъпление по време на плаване на кораба.</w:t>
      </w:r>
    </w:p>
    <w:p w:rsidR="00640208" w:rsidRDefault="00640208" w:rsidP="002813D3">
      <w:pPr>
        <w:spacing w:before="120" w:line="276" w:lineRule="auto"/>
        <w:ind w:firstLine="706"/>
        <w:jc w:val="both"/>
      </w:pPr>
      <w:r>
        <w:t>Предложената отмяна на чл. 159, ал. 7 от КТК, съгласно коя</w:t>
      </w:r>
      <w:r w:rsidRPr="00AF0A49">
        <w:t>то м</w:t>
      </w:r>
      <w:r w:rsidRPr="005B4FE8">
        <w:t>инистърът на транспорта, информационните технологии и съобщенията и министърът на правосъдието с наредба определят сроковете за съхраняване на товари до приемането и заплащането им от получателя, както и реда за продажбата на такива товари</w:t>
      </w:r>
      <w:r>
        <w:t xml:space="preserve">, е предвид наличието на </w:t>
      </w:r>
      <w:r w:rsidR="002C4D7C">
        <w:t>уредба (</w:t>
      </w:r>
      <w:r>
        <w:t>ал. 5 и 6 на същата разпоредба</w:t>
      </w:r>
      <w:r w:rsidR="002C4D7C">
        <w:t>)</w:t>
      </w:r>
      <w:r>
        <w:t xml:space="preserve"> </w:t>
      </w:r>
      <w:r w:rsidR="002C4D7C">
        <w:t>по отношение на сроковете</w:t>
      </w:r>
      <w:r>
        <w:t xml:space="preserve">, </w:t>
      </w:r>
      <w:r w:rsidRPr="00AF0A49">
        <w:t xml:space="preserve">след изтичането, на които </w:t>
      </w:r>
      <w:r w:rsidRPr="00AF0A49">
        <w:lastRenderedPageBreak/>
        <w:t xml:space="preserve">превозвачът има право да продаде непотърсен товар, както и </w:t>
      </w:r>
      <w:r>
        <w:t xml:space="preserve">предвид </w:t>
      </w:r>
      <w:r w:rsidRPr="00AF0A49">
        <w:t>целесъобразността на извършването на продажбата на товара по общия ред.</w:t>
      </w:r>
    </w:p>
    <w:p w:rsidR="000626D8" w:rsidRDefault="000626D8" w:rsidP="002813D3">
      <w:pPr>
        <w:spacing w:before="120" w:line="276" w:lineRule="auto"/>
        <w:ind w:firstLine="706"/>
        <w:jc w:val="both"/>
      </w:pPr>
      <w:r>
        <w:t>Предложената промяна в чл. 313, ал. 2, т. 3 е с оглед п</w:t>
      </w:r>
      <w:r w:rsidR="00B86D23">
        <w:t>репращане към</w:t>
      </w:r>
      <w:r>
        <w:t xml:space="preserve"> действащите Правила за плаване по река Дунав, с приемането на които е отменен Правилника за плаване по река Дунав.</w:t>
      </w:r>
    </w:p>
    <w:p w:rsidR="002813D3" w:rsidRPr="00AF0A49" w:rsidRDefault="000626D8" w:rsidP="002813D3">
      <w:pPr>
        <w:spacing w:before="120" w:line="276" w:lineRule="auto"/>
        <w:ind w:firstLine="706"/>
        <w:jc w:val="both"/>
      </w:pPr>
      <w:r>
        <w:t>С</w:t>
      </w:r>
      <w:r w:rsidR="002813D3" w:rsidRPr="00AF0A49">
        <w:t xml:space="preserve"> цел прецизиране на използваната терминология  в чл. 375 от КТК </w:t>
      </w:r>
      <w:r>
        <w:t xml:space="preserve">е предложено </w:t>
      </w:r>
      <w:r w:rsidR="002813D3" w:rsidRPr="00AF0A49">
        <w:t xml:space="preserve">думите „други упойващи вещества” да бъдат заменени с „наркотици и техните аналози”. </w:t>
      </w:r>
    </w:p>
    <w:p w:rsidR="002813D3" w:rsidRPr="002554F9" w:rsidRDefault="000626D8" w:rsidP="00E33971">
      <w:pPr>
        <w:spacing w:before="120" w:line="276" w:lineRule="auto"/>
        <w:ind w:firstLine="706"/>
        <w:jc w:val="both"/>
      </w:pPr>
      <w:r>
        <w:t>С</w:t>
      </w:r>
      <w:r w:rsidR="00E33971">
        <w:t xml:space="preserve"> новата ал. 4 на </w:t>
      </w:r>
      <w:r w:rsidR="00E33971" w:rsidRPr="00AF0A49">
        <w:t>чл. 380 от КТК</w:t>
      </w:r>
      <w:r w:rsidR="00E33971">
        <w:t xml:space="preserve"> се създава административнонаказателна разпоредба за случаите, в които капитан на кораб допусне лице, което не притежава изискваната за определена длъжност правоспособност, да изпълнява подобна длъжност на борда на кораб. Предложено е в тези случаи капитанът да се наказва </w:t>
      </w:r>
      <w:r w:rsidR="002813D3" w:rsidRPr="00AF0A49">
        <w:t xml:space="preserve"> с лишаване от право за заемане на длъжност на кораб за срок от пет години, освен ако деянието не съставлява престъпление. </w:t>
      </w:r>
      <w:r w:rsidR="00E33971">
        <w:t xml:space="preserve">С промяната се цели </w:t>
      </w:r>
      <w:r w:rsidR="002813D3" w:rsidRPr="00AF0A49">
        <w:t>привежда</w:t>
      </w:r>
      <w:r w:rsidR="00E33971">
        <w:t xml:space="preserve">не на </w:t>
      </w:r>
      <w:r w:rsidR="002813D3" w:rsidRPr="00AF0A49">
        <w:t>националното законодателство в съответствие с изискване</w:t>
      </w:r>
      <w:r w:rsidR="002813D3" w:rsidRPr="001B67BB">
        <w:t>то</w:t>
      </w:r>
      <w:r w:rsidR="002813D3" w:rsidRPr="00AF0A49">
        <w:t xml:space="preserve"> на т. 4.2 от Правило I/5 от приложението към Международна конвенция за вахтената служба и нормите за подготовка и освидетелстване на моряците, 1978 г. (</w:t>
      </w:r>
      <w:r w:rsidR="002813D3" w:rsidRPr="001B67BB">
        <w:t>о</w:t>
      </w:r>
      <w:r w:rsidR="002813D3" w:rsidRPr="00AF0A49">
        <w:t>бн.</w:t>
      </w:r>
      <w:r w:rsidR="002813D3" w:rsidRPr="001B67BB">
        <w:t>,</w:t>
      </w:r>
      <w:r w:rsidR="002813D3" w:rsidRPr="00AF0A49">
        <w:t xml:space="preserve"> ДВ</w:t>
      </w:r>
      <w:r w:rsidR="002813D3" w:rsidRPr="001B67BB">
        <w:t>,</w:t>
      </w:r>
      <w:r w:rsidR="002813D3" w:rsidRPr="00AF0A49">
        <w:t xml:space="preserve"> бр. 31 от 2005</w:t>
      </w:r>
      <w:r w:rsidR="002813D3" w:rsidRPr="001B67BB">
        <w:t xml:space="preserve"> </w:t>
      </w:r>
      <w:r w:rsidR="002813D3" w:rsidRPr="00AF0A49">
        <w:t>г., попр.</w:t>
      </w:r>
      <w:r w:rsidR="002813D3" w:rsidRPr="001B67BB">
        <w:t>,</w:t>
      </w:r>
      <w:r w:rsidR="002813D3" w:rsidRPr="00AF0A49">
        <w:t xml:space="preserve"> бр. 86 от 2009</w:t>
      </w:r>
      <w:r w:rsidR="002813D3" w:rsidRPr="001B67BB">
        <w:t xml:space="preserve"> </w:t>
      </w:r>
      <w:r w:rsidR="002813D3" w:rsidRPr="00AF0A49">
        <w:t>г., бр. 91 от 2009</w:t>
      </w:r>
      <w:r w:rsidR="00E33971">
        <w:t xml:space="preserve"> </w:t>
      </w:r>
      <w:r w:rsidR="002813D3" w:rsidRPr="00AF0A49">
        <w:t>г., изм.</w:t>
      </w:r>
      <w:r w:rsidR="002813D3" w:rsidRPr="001B67BB">
        <w:t>,</w:t>
      </w:r>
      <w:r w:rsidR="002813D3" w:rsidRPr="00AF0A49">
        <w:t xml:space="preserve"> бр.17 от 2014</w:t>
      </w:r>
      <w:r w:rsidR="002813D3" w:rsidRPr="001B67BB">
        <w:t xml:space="preserve"> </w:t>
      </w:r>
      <w:r w:rsidR="002813D3" w:rsidRPr="00AF0A49">
        <w:t xml:space="preserve">г., </w:t>
      </w:r>
      <w:r w:rsidR="002813D3" w:rsidRPr="00AF0A49">
        <w:rPr>
          <w:bCs/>
        </w:rPr>
        <w:t>бр.</w:t>
      </w:r>
      <w:r w:rsidR="002813D3" w:rsidRPr="001B67BB">
        <w:rPr>
          <w:bCs/>
        </w:rPr>
        <w:t xml:space="preserve"> </w:t>
      </w:r>
      <w:r w:rsidR="002813D3" w:rsidRPr="00AF0A49">
        <w:rPr>
          <w:bCs/>
        </w:rPr>
        <w:t>90 от 2018</w:t>
      </w:r>
      <w:r w:rsidR="002813D3" w:rsidRPr="001B67BB">
        <w:rPr>
          <w:bCs/>
        </w:rPr>
        <w:t xml:space="preserve"> </w:t>
      </w:r>
      <w:r w:rsidR="002813D3" w:rsidRPr="00AF0A49">
        <w:rPr>
          <w:bCs/>
        </w:rPr>
        <w:t>г.</w:t>
      </w:r>
      <w:r w:rsidR="002813D3" w:rsidRPr="001B67BB">
        <w:rPr>
          <w:bCs/>
        </w:rPr>
        <w:t>)</w:t>
      </w:r>
      <w:r w:rsidR="002813D3" w:rsidRPr="00AF0A49">
        <w:rPr>
          <w:bCs/>
        </w:rPr>
        <w:t xml:space="preserve">. </w:t>
      </w:r>
      <w:r w:rsidR="002813D3" w:rsidRPr="002554F9">
        <w:rPr>
          <w:bCs/>
        </w:rPr>
        <w:t xml:space="preserve">Съответно с оглед </w:t>
      </w:r>
      <w:r w:rsidR="002554F9" w:rsidRPr="001B67BB">
        <w:rPr>
          <w:bCs/>
        </w:rPr>
        <w:t xml:space="preserve">осигуряване </w:t>
      </w:r>
      <w:r w:rsidR="002813D3" w:rsidRPr="002554F9">
        <w:rPr>
          <w:bCs/>
        </w:rPr>
        <w:t xml:space="preserve">прилагането на </w:t>
      </w:r>
      <w:r w:rsidR="002813D3" w:rsidRPr="002554F9">
        <w:t xml:space="preserve">административнонаказателните разпоредби, предвиждащи лишаване от право за заемане на длъжност, се </w:t>
      </w:r>
      <w:r w:rsidR="002554F9" w:rsidRPr="001B67BB">
        <w:t>предлага с новата</w:t>
      </w:r>
      <w:r w:rsidR="002813D3" w:rsidRPr="002554F9">
        <w:t xml:space="preserve"> ал. 3 на чл. 385 от КТК, </w:t>
      </w:r>
      <w:r w:rsidR="002554F9" w:rsidRPr="001B67BB">
        <w:t xml:space="preserve">лицата, </w:t>
      </w:r>
      <w:r w:rsidR="00F70CC4">
        <w:t>на</w:t>
      </w:r>
      <w:r w:rsidR="002554F9" w:rsidRPr="001B67BB">
        <w:t xml:space="preserve"> които са наложени наказания по </w:t>
      </w:r>
      <w:r w:rsidR="002813D3" w:rsidRPr="002554F9">
        <w:t xml:space="preserve">чл. 375, ал. 1, 2 и 3, чл. 376, чл. 378, ал. 2 и 3 и чл. 380, ал. 2 и ал. 4, </w:t>
      </w:r>
      <w:r w:rsidR="002554F9" w:rsidRPr="001B67BB">
        <w:t xml:space="preserve">да бъдат </w:t>
      </w:r>
      <w:r w:rsidR="002813D3" w:rsidRPr="002554F9">
        <w:t>задължен</w:t>
      </w:r>
      <w:r w:rsidR="002554F9" w:rsidRPr="001B67BB">
        <w:t>и</w:t>
      </w:r>
      <w:r w:rsidR="002813D3" w:rsidRPr="002554F9">
        <w:t xml:space="preserve"> да върн</w:t>
      </w:r>
      <w:r w:rsidR="002554F9" w:rsidRPr="001B67BB">
        <w:t>ат</w:t>
      </w:r>
      <w:r w:rsidR="002813D3" w:rsidRPr="002554F9">
        <w:t xml:space="preserve"> свидетелството за правоспособност или свидетелството  за професионална компетентност в И</w:t>
      </w:r>
      <w:r w:rsidR="002554F9" w:rsidRPr="001B67BB">
        <w:t>зпълнителна агенция</w:t>
      </w:r>
      <w:r w:rsidR="002813D3" w:rsidRPr="002554F9">
        <w:t xml:space="preserve"> „Морска администрация” веднага след влизане в сила на наказателното постановление, с което е постановено съответното наказание.</w:t>
      </w:r>
    </w:p>
    <w:p w:rsidR="00680A6F" w:rsidRPr="00AF0A49" w:rsidRDefault="00680A6F" w:rsidP="00592589">
      <w:pPr>
        <w:spacing w:before="120" w:line="276" w:lineRule="auto"/>
        <w:ind w:firstLine="706"/>
        <w:jc w:val="both"/>
      </w:pPr>
      <w:r w:rsidRPr="002554F9">
        <w:t>В изпълнение на изискванията на чл. 3, ал. 4, т.</w:t>
      </w:r>
      <w:r w:rsidRPr="00AF0A49">
        <w:t xml:space="preserve"> 2 от Постановление № 85 на Министерския съвет от 2007 г. за координация по въпросите на Европейския съюз (обн., ДВ, бр. 35 от 2007 г.) и чл. 35, ал. 1, т. 3 от Устройствения правилник на Министерския съвет и на неговата администрация е изготвена и към този доклад се прилага таблица за съответствие на националното законодателство с нормите на вторичното право на Европейския съюз, съдържащи се в </w:t>
      </w:r>
      <w:r w:rsidRPr="00AF0A49">
        <w:rPr>
          <w:color w:val="000000" w:themeColor="text1"/>
        </w:rPr>
        <w:t>Директива 2014/90/ЕС.</w:t>
      </w:r>
    </w:p>
    <w:p w:rsidR="001E3152" w:rsidRPr="00AF0A49" w:rsidRDefault="001E3152" w:rsidP="00592589">
      <w:pPr>
        <w:tabs>
          <w:tab w:val="left" w:pos="10472"/>
        </w:tabs>
        <w:spacing w:before="120" w:line="276" w:lineRule="auto"/>
        <w:ind w:firstLine="709"/>
        <w:jc w:val="both"/>
      </w:pPr>
      <w:r w:rsidRPr="00AF0A49">
        <w:t xml:space="preserve">Предложените промени в Кодекса на търговското корабоплаване, свързани с изпълнение на мярка № 83 </w:t>
      </w:r>
      <w:r w:rsidR="00592589" w:rsidRPr="00AF0A49">
        <w:t>от</w:t>
      </w:r>
      <w:r w:rsidRPr="00AF0A49">
        <w:t xml:space="preserve"> Плана за действие с мерките, произтичащи от членството на Република България в Европейския съюз, приет с Решение № 25 на Министерския съвет от 17 януари 2020 г., са съгласувани в рамките на Работна група 9 „Транспортна политика”, като са отразени постъпилите бележки.</w:t>
      </w:r>
    </w:p>
    <w:p w:rsidR="00680A6F" w:rsidRPr="00AF0A49" w:rsidRDefault="00680A6F" w:rsidP="00592589">
      <w:pPr>
        <w:tabs>
          <w:tab w:val="left" w:pos="10472"/>
        </w:tabs>
        <w:spacing w:before="120" w:line="276" w:lineRule="auto"/>
        <w:ind w:firstLine="709"/>
        <w:jc w:val="both"/>
      </w:pPr>
      <w:r w:rsidRPr="00AF0A49">
        <w:t xml:space="preserve">В съответствие с чл. 26, ал. 2 от Закона за нормативните актове и в изпълнение на чл. 35, ал. 2, т. 7 от Устройствения правилник на Министерския съвет и на неговата администрация проектът на закон и проектът на мотиви към него са публикувани </w:t>
      </w:r>
      <w:r w:rsidR="00A764AF">
        <w:t xml:space="preserve">за обществено обсъждане </w:t>
      </w:r>
      <w:r w:rsidRPr="00AF0A49">
        <w:t xml:space="preserve">на </w:t>
      </w:r>
      <w:r w:rsidR="00A764AF">
        <w:t>и</w:t>
      </w:r>
      <w:r w:rsidRPr="00AF0A49">
        <w:t xml:space="preserve">нтернет страницата на Министерството на транспорта, </w:t>
      </w:r>
      <w:r w:rsidRPr="00AF0A49">
        <w:lastRenderedPageBreak/>
        <w:t xml:space="preserve">информационните технологии и съобщенията и </w:t>
      </w:r>
      <w:r w:rsidR="00A764AF">
        <w:t>на</w:t>
      </w:r>
      <w:r w:rsidRPr="00AF0A49">
        <w:t xml:space="preserve"> </w:t>
      </w:r>
      <w:r w:rsidR="00A764AF">
        <w:t>п</w:t>
      </w:r>
      <w:r w:rsidRPr="00AF0A49">
        <w:t>ортала за обществени консултации на Министерския съвет. Резултатите от проведен</w:t>
      </w:r>
      <w:r w:rsidR="00A764AF">
        <w:t>о</w:t>
      </w:r>
      <w:r w:rsidRPr="00AF0A49">
        <w:t>т</w:t>
      </w:r>
      <w:r w:rsidR="00A764AF">
        <w:t>о</w:t>
      </w:r>
      <w:r w:rsidRPr="00AF0A49">
        <w:t xml:space="preserve"> обществен</w:t>
      </w:r>
      <w:r w:rsidR="00A764AF">
        <w:t>о</w:t>
      </w:r>
      <w:r w:rsidRPr="00AF0A49">
        <w:t xml:space="preserve"> обсъждан</w:t>
      </w:r>
      <w:r w:rsidR="00A764AF">
        <w:t>е</w:t>
      </w:r>
      <w:r w:rsidRPr="00AF0A49">
        <w:t xml:space="preserve"> са представени в приложената към този доклад справка.</w:t>
      </w:r>
    </w:p>
    <w:p w:rsidR="00680A6F" w:rsidRPr="00AF0A49" w:rsidRDefault="00680A6F" w:rsidP="00592589">
      <w:pPr>
        <w:pStyle w:val="BodyText"/>
        <w:spacing w:before="120" w:line="276" w:lineRule="auto"/>
        <w:ind w:firstLine="709"/>
        <w:rPr>
          <w:rFonts w:eastAsia="Times New Roman"/>
          <w:noProof w:val="0"/>
          <w:lang w:eastAsia="bg-BG"/>
        </w:rPr>
      </w:pPr>
      <w:r w:rsidRPr="00AF0A49">
        <w:t xml:space="preserve">Становищата, постъпили в хода на проведеното по реда на чл. 32, ал. 1 от Устройствения правилник на Министерския съвет и на неговата администрация съгласуване на проекта на </w:t>
      </w:r>
      <w:r w:rsidR="00A764AF">
        <w:t>р</w:t>
      </w:r>
      <w:r w:rsidRPr="00AF0A49">
        <w:t>ешение на Министерския съвет, проект</w:t>
      </w:r>
      <w:r w:rsidR="00A764AF">
        <w:t>а</w:t>
      </w:r>
      <w:r w:rsidRPr="00AF0A49">
        <w:t xml:space="preserve"> на Закон за изменение и допълнение на К</w:t>
      </w:r>
      <w:r w:rsidR="000F06CC">
        <w:t>одекса на търговкото корабоплаване</w:t>
      </w:r>
      <w:r w:rsidRPr="00AF0A49">
        <w:t xml:space="preserve"> и на мотивите към него, са отразени в приложената към този доклад справка.</w:t>
      </w:r>
    </w:p>
    <w:p w:rsidR="00680A6F" w:rsidRPr="00AF0A49" w:rsidRDefault="00680A6F" w:rsidP="00592589">
      <w:pPr>
        <w:tabs>
          <w:tab w:val="left" w:pos="10472"/>
        </w:tabs>
        <w:spacing w:before="120" w:line="276" w:lineRule="auto"/>
        <w:ind w:firstLine="709"/>
        <w:jc w:val="both"/>
      </w:pPr>
      <w:r w:rsidRPr="00AF0A49">
        <w:t>Изготвена е и към този доклад се прилага одобрена финансова обосновка съгласно образеца – Приложение № 2.</w:t>
      </w:r>
      <w:r w:rsidR="00DC1FAD" w:rsidRPr="00AF0A49">
        <w:t>2</w:t>
      </w:r>
      <w:r w:rsidRPr="00AF0A49">
        <w:t xml:space="preserve"> към чл. 35, ал. 1, т. 4, буква „а” от Устройствения правилник на Министерския съвет и на неговата администрация.</w:t>
      </w:r>
    </w:p>
    <w:p w:rsidR="00680A6F" w:rsidRPr="00AF0A49" w:rsidRDefault="00680A6F" w:rsidP="00592589">
      <w:pPr>
        <w:tabs>
          <w:tab w:val="left" w:pos="9180"/>
        </w:tabs>
        <w:spacing w:before="480" w:line="276" w:lineRule="auto"/>
        <w:ind w:firstLine="709"/>
        <w:jc w:val="both"/>
        <w:rPr>
          <w:b/>
        </w:rPr>
      </w:pPr>
      <w:r w:rsidRPr="00AF0A49">
        <w:rPr>
          <w:b/>
        </w:rPr>
        <w:t>УВАЖАЕМИ ГОСПОДИН МИНИСТЪР-ПРЕДСЕДАТЕЛ,</w:t>
      </w:r>
    </w:p>
    <w:p w:rsidR="00680A6F" w:rsidRPr="00AF0A49" w:rsidRDefault="00680A6F" w:rsidP="00592589">
      <w:pPr>
        <w:pStyle w:val="BodyText"/>
        <w:tabs>
          <w:tab w:val="left" w:pos="9180"/>
        </w:tabs>
        <w:spacing w:after="120" w:line="276" w:lineRule="auto"/>
        <w:ind w:firstLine="709"/>
        <w:rPr>
          <w:b/>
        </w:rPr>
      </w:pPr>
      <w:r w:rsidRPr="00AF0A49">
        <w:rPr>
          <w:b/>
        </w:rPr>
        <w:t>УВАЖАЕМИ ГОСПОЖИ И ГОСПОДА МИНИСТРИ,</w:t>
      </w:r>
    </w:p>
    <w:p w:rsidR="00680A6F" w:rsidRPr="00AF0A49" w:rsidRDefault="00C35C69" w:rsidP="00592589">
      <w:pPr>
        <w:pStyle w:val="BodyText"/>
        <w:spacing w:line="276" w:lineRule="auto"/>
        <w:ind w:firstLine="709"/>
      </w:pPr>
      <w:r w:rsidRPr="00AF0A49">
        <w:t xml:space="preserve">Предвид изложеното, </w:t>
      </w:r>
      <w:r w:rsidR="00680A6F" w:rsidRPr="00AF0A49">
        <w:t xml:space="preserve">предлагам Министерският съвет да приеме </w:t>
      </w:r>
      <w:r w:rsidR="000F06CC">
        <w:t>предложеното</w:t>
      </w:r>
      <w:r w:rsidR="00680A6F" w:rsidRPr="00AF0A49">
        <w:t xml:space="preserve"> решение, с което да одобри проекта на Закон за изменение и допълнение на Кодекс</w:t>
      </w:r>
      <w:r w:rsidR="00457494" w:rsidRPr="00AF0A49">
        <w:t>а</w:t>
      </w:r>
      <w:r w:rsidR="00680A6F" w:rsidRPr="00AF0A49">
        <w:t xml:space="preserve"> на търговското корабоплаване.</w:t>
      </w:r>
    </w:p>
    <w:p w:rsidR="00680A6F" w:rsidRPr="00AF0A49" w:rsidRDefault="00680A6F" w:rsidP="00592589">
      <w:pPr>
        <w:shd w:val="clear" w:color="auto" w:fill="FFFFFF"/>
        <w:spacing w:before="480" w:line="276" w:lineRule="auto"/>
        <w:jc w:val="both"/>
        <w:textAlignment w:val="center"/>
        <w:rPr>
          <w:b/>
          <w:bCs/>
        </w:rPr>
      </w:pPr>
      <w:r w:rsidRPr="00AF0A49">
        <w:rPr>
          <w:b/>
          <w:bCs/>
        </w:rPr>
        <w:t>С уважение,</w:t>
      </w:r>
    </w:p>
    <w:p w:rsidR="00680A6F" w:rsidRPr="00AF0A49" w:rsidRDefault="00680A6F" w:rsidP="00592589">
      <w:pPr>
        <w:shd w:val="clear" w:color="auto" w:fill="FFFFFF"/>
        <w:spacing w:before="960" w:line="276" w:lineRule="auto"/>
        <w:jc w:val="both"/>
        <w:textAlignment w:val="center"/>
        <w:rPr>
          <w:b/>
          <w:bCs/>
        </w:rPr>
      </w:pPr>
      <w:r w:rsidRPr="00AF0A49">
        <w:rPr>
          <w:b/>
          <w:bCs/>
        </w:rPr>
        <w:t>Росен Желязков</w:t>
      </w:r>
    </w:p>
    <w:p w:rsidR="00680A6F" w:rsidRPr="00AF0A49" w:rsidRDefault="00680A6F" w:rsidP="00592589">
      <w:pPr>
        <w:shd w:val="clear" w:color="auto" w:fill="FFFFFF"/>
        <w:spacing w:line="276" w:lineRule="auto"/>
        <w:jc w:val="both"/>
        <w:textAlignment w:val="center"/>
        <w:rPr>
          <w:i/>
          <w:iCs/>
        </w:rPr>
      </w:pPr>
      <w:r w:rsidRPr="00AF0A49">
        <w:rPr>
          <w:i/>
          <w:iCs/>
        </w:rPr>
        <w:t>Министър на транспорта,</w:t>
      </w:r>
    </w:p>
    <w:p w:rsidR="00680A6F" w:rsidRPr="001B67BB" w:rsidRDefault="00680A6F" w:rsidP="00592589">
      <w:pPr>
        <w:shd w:val="clear" w:color="auto" w:fill="FFFFFF"/>
        <w:spacing w:line="276" w:lineRule="auto"/>
        <w:jc w:val="both"/>
        <w:textAlignment w:val="center"/>
        <w:rPr>
          <w:i/>
          <w:iCs/>
        </w:rPr>
      </w:pPr>
      <w:r w:rsidRPr="00AF0A49">
        <w:rPr>
          <w:i/>
          <w:iCs/>
        </w:rPr>
        <w:t>информационните технологии и съобщенията</w:t>
      </w:r>
    </w:p>
    <w:p w:rsidR="00592589" w:rsidRPr="001B67BB" w:rsidRDefault="00592589" w:rsidP="00592589">
      <w:pPr>
        <w:shd w:val="clear" w:color="auto" w:fill="FFFFFF"/>
        <w:spacing w:line="276" w:lineRule="auto"/>
        <w:jc w:val="both"/>
        <w:textAlignment w:val="center"/>
        <w:rPr>
          <w:i/>
          <w:iCs/>
          <w:color w:val="FFFFFF" w:themeColor="background1"/>
        </w:rPr>
      </w:pPr>
    </w:p>
    <w:p w:rsidR="00680A6F" w:rsidRPr="00183DCD" w:rsidRDefault="00680A6F" w:rsidP="001B67BB">
      <w:pPr>
        <w:shd w:val="clear" w:color="auto" w:fill="FFFFFF"/>
        <w:jc w:val="both"/>
        <w:textAlignment w:val="center"/>
        <w:rPr>
          <w:b/>
          <w:color w:val="FFFFFF" w:themeColor="background1"/>
          <w:sz w:val="20"/>
          <w:szCs w:val="20"/>
        </w:rPr>
      </w:pPr>
      <w:bookmarkStart w:id="0" w:name="_GoBack"/>
      <w:r w:rsidRPr="00183DCD">
        <w:rPr>
          <w:b/>
          <w:color w:val="FFFFFF" w:themeColor="background1"/>
          <w:sz w:val="20"/>
          <w:szCs w:val="20"/>
        </w:rPr>
        <w:t xml:space="preserve">Съгласувано с: </w:t>
      </w:r>
    </w:p>
    <w:p w:rsidR="00680A6F" w:rsidRPr="00183DCD" w:rsidRDefault="00680A6F" w:rsidP="001B67BB">
      <w:pPr>
        <w:shd w:val="clear" w:color="auto" w:fill="FFFFFF"/>
        <w:jc w:val="both"/>
        <w:textAlignment w:val="center"/>
        <w:rPr>
          <w:b/>
          <w:bCs/>
          <w:color w:val="FFFFFF" w:themeColor="background1"/>
          <w:sz w:val="20"/>
          <w:szCs w:val="20"/>
        </w:rPr>
      </w:pPr>
      <w:r w:rsidRPr="00183DCD">
        <w:rPr>
          <w:b/>
          <w:bCs/>
          <w:color w:val="FFFFFF" w:themeColor="background1"/>
          <w:sz w:val="20"/>
          <w:szCs w:val="20"/>
        </w:rPr>
        <w:t xml:space="preserve">Велик </w:t>
      </w:r>
      <w:proofErr w:type="spellStart"/>
      <w:r w:rsidRPr="00183DCD">
        <w:rPr>
          <w:b/>
          <w:bCs/>
          <w:color w:val="FFFFFF" w:themeColor="background1"/>
          <w:sz w:val="20"/>
          <w:szCs w:val="20"/>
        </w:rPr>
        <w:t>Занчев</w:t>
      </w:r>
      <w:proofErr w:type="spellEnd"/>
    </w:p>
    <w:p w:rsidR="00680A6F" w:rsidRPr="00183DCD" w:rsidRDefault="00680A6F" w:rsidP="001B67BB">
      <w:pPr>
        <w:shd w:val="clear" w:color="auto" w:fill="FFFFFF"/>
        <w:jc w:val="both"/>
        <w:textAlignment w:val="center"/>
        <w:rPr>
          <w:iCs/>
          <w:color w:val="FFFFFF" w:themeColor="background1"/>
          <w:sz w:val="20"/>
          <w:szCs w:val="20"/>
        </w:rPr>
      </w:pPr>
      <w:r w:rsidRPr="00183DCD">
        <w:rPr>
          <w:iCs/>
          <w:color w:val="FFFFFF" w:themeColor="background1"/>
          <w:sz w:val="20"/>
          <w:szCs w:val="20"/>
        </w:rPr>
        <w:t>Заместник-министър на транспорта,</w:t>
      </w:r>
    </w:p>
    <w:p w:rsidR="00680A6F" w:rsidRPr="00183DCD" w:rsidRDefault="00680A6F" w:rsidP="001B67BB">
      <w:pPr>
        <w:shd w:val="clear" w:color="auto" w:fill="FFFFFF"/>
        <w:jc w:val="both"/>
        <w:textAlignment w:val="center"/>
        <w:rPr>
          <w:iCs/>
          <w:color w:val="FFFFFF" w:themeColor="background1"/>
          <w:sz w:val="20"/>
          <w:szCs w:val="20"/>
        </w:rPr>
      </w:pPr>
      <w:r w:rsidRPr="00183DCD">
        <w:rPr>
          <w:iCs/>
          <w:color w:val="FFFFFF" w:themeColor="background1"/>
          <w:sz w:val="20"/>
          <w:szCs w:val="20"/>
        </w:rPr>
        <w:t>информационните технологии и съобщенията</w:t>
      </w:r>
    </w:p>
    <w:p w:rsidR="001B67BB" w:rsidRPr="00183DCD" w:rsidRDefault="001B67BB" w:rsidP="001B67BB">
      <w:pPr>
        <w:shd w:val="clear" w:color="auto" w:fill="FFFFFF"/>
        <w:jc w:val="both"/>
        <w:textAlignment w:val="center"/>
        <w:rPr>
          <w:b/>
          <w:bCs/>
          <w:color w:val="FFFFFF" w:themeColor="background1"/>
          <w:sz w:val="20"/>
          <w:szCs w:val="20"/>
        </w:rPr>
      </w:pPr>
    </w:p>
    <w:p w:rsidR="00680A6F" w:rsidRPr="00183DCD" w:rsidRDefault="00680A6F" w:rsidP="001B67BB">
      <w:pPr>
        <w:shd w:val="clear" w:color="auto" w:fill="FFFFFF"/>
        <w:jc w:val="both"/>
        <w:textAlignment w:val="center"/>
        <w:rPr>
          <w:b/>
          <w:bCs/>
          <w:color w:val="FFFFFF" w:themeColor="background1"/>
          <w:sz w:val="20"/>
          <w:szCs w:val="20"/>
        </w:rPr>
      </w:pPr>
      <w:r w:rsidRPr="00183DCD">
        <w:rPr>
          <w:b/>
          <w:bCs/>
          <w:color w:val="FFFFFF" w:themeColor="background1"/>
          <w:sz w:val="20"/>
          <w:szCs w:val="20"/>
        </w:rPr>
        <w:t>Красимира Стоянова</w:t>
      </w:r>
    </w:p>
    <w:p w:rsidR="00680A6F" w:rsidRPr="00183DCD" w:rsidRDefault="00680A6F" w:rsidP="001B67BB">
      <w:pPr>
        <w:shd w:val="clear" w:color="auto" w:fill="FFFFFF"/>
        <w:jc w:val="both"/>
        <w:textAlignment w:val="center"/>
        <w:rPr>
          <w:iCs/>
          <w:color w:val="FFFFFF" w:themeColor="background1"/>
          <w:sz w:val="20"/>
          <w:szCs w:val="20"/>
        </w:rPr>
      </w:pPr>
      <w:r w:rsidRPr="00183DCD">
        <w:rPr>
          <w:iCs/>
          <w:color w:val="FFFFFF" w:themeColor="background1"/>
          <w:sz w:val="20"/>
          <w:szCs w:val="20"/>
        </w:rPr>
        <w:t>Директор на дирекция „Правна”</w:t>
      </w:r>
    </w:p>
    <w:p w:rsidR="001B67BB" w:rsidRPr="00183DCD" w:rsidRDefault="001B67BB" w:rsidP="001B67BB">
      <w:pPr>
        <w:shd w:val="clear" w:color="auto" w:fill="FFFFFF"/>
        <w:jc w:val="both"/>
        <w:textAlignment w:val="center"/>
        <w:rPr>
          <w:b/>
          <w:bCs/>
          <w:color w:val="FFFFFF" w:themeColor="background1"/>
          <w:sz w:val="20"/>
          <w:szCs w:val="20"/>
        </w:rPr>
      </w:pPr>
    </w:p>
    <w:p w:rsidR="008C6CF9" w:rsidRPr="00183DCD" w:rsidRDefault="008C6CF9" w:rsidP="001B67BB">
      <w:pPr>
        <w:shd w:val="clear" w:color="auto" w:fill="FFFFFF"/>
        <w:jc w:val="both"/>
        <w:textAlignment w:val="center"/>
        <w:rPr>
          <w:b/>
          <w:bCs/>
          <w:color w:val="FFFFFF" w:themeColor="background1"/>
          <w:sz w:val="20"/>
          <w:szCs w:val="20"/>
        </w:rPr>
      </w:pPr>
      <w:proofErr w:type="spellStart"/>
      <w:r w:rsidRPr="00183DCD">
        <w:rPr>
          <w:b/>
          <w:bCs/>
          <w:color w:val="FFFFFF" w:themeColor="background1"/>
          <w:sz w:val="20"/>
          <w:szCs w:val="20"/>
        </w:rPr>
        <w:t>к.д.п</w:t>
      </w:r>
      <w:proofErr w:type="spellEnd"/>
      <w:r w:rsidRPr="00183DCD">
        <w:rPr>
          <w:b/>
          <w:bCs/>
          <w:color w:val="FFFFFF" w:themeColor="background1"/>
          <w:sz w:val="20"/>
          <w:szCs w:val="20"/>
        </w:rPr>
        <w:t>. инж. Живко Петров</w:t>
      </w:r>
    </w:p>
    <w:p w:rsidR="008C6CF9" w:rsidRPr="00183DCD" w:rsidRDefault="008C6CF9" w:rsidP="001B67BB">
      <w:pPr>
        <w:shd w:val="clear" w:color="auto" w:fill="FFFFFF"/>
        <w:jc w:val="both"/>
        <w:textAlignment w:val="center"/>
        <w:rPr>
          <w:iCs/>
          <w:color w:val="FFFFFF" w:themeColor="background1"/>
          <w:sz w:val="20"/>
          <w:szCs w:val="20"/>
        </w:rPr>
      </w:pPr>
      <w:r w:rsidRPr="00183DCD">
        <w:rPr>
          <w:iCs/>
          <w:color w:val="FFFFFF" w:themeColor="background1"/>
          <w:sz w:val="20"/>
          <w:szCs w:val="20"/>
        </w:rPr>
        <w:t>Изпълнителен директор на ИА „Морска администрация“</w:t>
      </w:r>
    </w:p>
    <w:p w:rsidR="001B67BB" w:rsidRPr="00183DCD" w:rsidRDefault="001B67BB" w:rsidP="001B67BB">
      <w:pPr>
        <w:shd w:val="clear" w:color="auto" w:fill="FFFFFF"/>
        <w:jc w:val="both"/>
        <w:textAlignment w:val="center"/>
        <w:rPr>
          <w:b/>
          <w:bCs/>
          <w:color w:val="FFFFFF" w:themeColor="background1"/>
          <w:sz w:val="20"/>
          <w:szCs w:val="20"/>
        </w:rPr>
      </w:pPr>
    </w:p>
    <w:p w:rsidR="008C6CF9" w:rsidRPr="00183DCD" w:rsidRDefault="008C6CF9" w:rsidP="001B67BB">
      <w:pPr>
        <w:shd w:val="clear" w:color="auto" w:fill="FFFFFF"/>
        <w:jc w:val="both"/>
        <w:textAlignment w:val="center"/>
        <w:rPr>
          <w:b/>
          <w:bCs/>
          <w:color w:val="FFFFFF" w:themeColor="background1"/>
          <w:sz w:val="20"/>
          <w:szCs w:val="20"/>
        </w:rPr>
      </w:pPr>
      <w:r w:rsidRPr="00183DCD">
        <w:rPr>
          <w:b/>
          <w:bCs/>
          <w:color w:val="FFFFFF" w:themeColor="background1"/>
          <w:sz w:val="20"/>
          <w:szCs w:val="20"/>
        </w:rPr>
        <w:t>Петър Киров</w:t>
      </w:r>
    </w:p>
    <w:p w:rsidR="008C6CF9" w:rsidRPr="00183DCD" w:rsidRDefault="0041495E" w:rsidP="001B67BB">
      <w:pPr>
        <w:shd w:val="clear" w:color="auto" w:fill="FFFFFF"/>
        <w:jc w:val="both"/>
        <w:textAlignment w:val="center"/>
        <w:rPr>
          <w:iCs/>
          <w:color w:val="FFFFFF" w:themeColor="background1"/>
          <w:sz w:val="20"/>
          <w:szCs w:val="20"/>
        </w:rPr>
      </w:pPr>
      <w:r w:rsidRPr="00183DCD">
        <w:rPr>
          <w:iCs/>
          <w:color w:val="FFFFFF" w:themeColor="background1"/>
          <w:sz w:val="20"/>
          <w:szCs w:val="20"/>
        </w:rPr>
        <w:t>Г</w:t>
      </w:r>
      <w:r w:rsidR="008C6CF9" w:rsidRPr="00183DCD">
        <w:rPr>
          <w:iCs/>
          <w:color w:val="FFFFFF" w:themeColor="background1"/>
          <w:sz w:val="20"/>
          <w:szCs w:val="20"/>
        </w:rPr>
        <w:t>лавен секретар на ИА „Морска администрация“</w:t>
      </w:r>
    </w:p>
    <w:p w:rsidR="00592589" w:rsidRPr="00183DCD" w:rsidRDefault="00592589" w:rsidP="001B67BB">
      <w:pPr>
        <w:shd w:val="clear" w:color="auto" w:fill="FFFFFF"/>
        <w:jc w:val="both"/>
        <w:textAlignment w:val="center"/>
        <w:rPr>
          <w:iCs/>
          <w:color w:val="FFFFFF" w:themeColor="background1"/>
          <w:sz w:val="20"/>
          <w:szCs w:val="20"/>
        </w:rPr>
      </w:pPr>
    </w:p>
    <w:p w:rsidR="00592589" w:rsidRPr="00183DCD" w:rsidRDefault="00680A6F" w:rsidP="001B67BB">
      <w:pPr>
        <w:shd w:val="clear" w:color="auto" w:fill="FFFFFF"/>
        <w:jc w:val="both"/>
        <w:textAlignment w:val="center"/>
        <w:rPr>
          <w:color w:val="FFFFFF" w:themeColor="background1"/>
          <w:sz w:val="20"/>
          <w:szCs w:val="20"/>
        </w:rPr>
      </w:pPr>
      <w:r w:rsidRPr="00183DCD">
        <w:rPr>
          <w:b/>
          <w:color w:val="FFFFFF" w:themeColor="background1"/>
          <w:sz w:val="20"/>
          <w:szCs w:val="20"/>
        </w:rPr>
        <w:t>Изготвено от:</w:t>
      </w:r>
      <w:r w:rsidR="00592589" w:rsidRPr="00183DCD">
        <w:rPr>
          <w:color w:val="FFFFFF" w:themeColor="background1"/>
          <w:sz w:val="20"/>
          <w:szCs w:val="20"/>
        </w:rPr>
        <w:t xml:space="preserve"> </w:t>
      </w:r>
    </w:p>
    <w:p w:rsidR="008C6CF9" w:rsidRPr="00183DCD" w:rsidRDefault="008C6CF9" w:rsidP="001B67BB">
      <w:pPr>
        <w:shd w:val="clear" w:color="auto" w:fill="FFFFFF"/>
        <w:jc w:val="both"/>
        <w:textAlignment w:val="center"/>
        <w:rPr>
          <w:iCs/>
          <w:color w:val="FFFFFF" w:themeColor="background1"/>
          <w:sz w:val="20"/>
          <w:szCs w:val="20"/>
        </w:rPr>
      </w:pPr>
      <w:r w:rsidRPr="00183DCD">
        <w:rPr>
          <w:b/>
          <w:bCs/>
          <w:color w:val="FFFFFF" w:themeColor="background1"/>
          <w:sz w:val="20"/>
          <w:szCs w:val="20"/>
        </w:rPr>
        <w:t>Елеонора Караколева</w:t>
      </w:r>
      <w:r w:rsidR="0041495E" w:rsidRPr="00183DCD">
        <w:rPr>
          <w:b/>
          <w:bCs/>
          <w:color w:val="FFFFFF" w:themeColor="background1"/>
          <w:sz w:val="20"/>
          <w:szCs w:val="20"/>
        </w:rPr>
        <w:t>,</w:t>
      </w:r>
      <w:r w:rsidRPr="00183DCD">
        <w:rPr>
          <w:iCs/>
          <w:color w:val="FFFFFF" w:themeColor="background1"/>
          <w:sz w:val="20"/>
          <w:szCs w:val="20"/>
        </w:rPr>
        <w:t xml:space="preserve"> Младши експерт, дирекция МНРК, ИАМА</w:t>
      </w:r>
      <w:bookmarkEnd w:id="0"/>
    </w:p>
    <w:sectPr w:rsidR="008C6CF9" w:rsidRPr="00183DCD" w:rsidSect="004A55EA">
      <w:foot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AB" w:rsidRDefault="009962AB" w:rsidP="00AD469D">
      <w:r>
        <w:separator/>
      </w:r>
    </w:p>
  </w:endnote>
  <w:endnote w:type="continuationSeparator" w:id="0">
    <w:p w:rsidR="009962AB" w:rsidRDefault="009962AB" w:rsidP="00AD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1829"/>
      <w:docPartObj>
        <w:docPartGallery w:val="Page Numbers (Bottom of Page)"/>
        <w:docPartUnique/>
      </w:docPartObj>
    </w:sdtPr>
    <w:sdtEndPr/>
    <w:sdtContent>
      <w:p w:rsidR="00AD469D" w:rsidRDefault="000659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D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AB" w:rsidRDefault="009962AB" w:rsidP="00AD469D">
      <w:r>
        <w:separator/>
      </w:r>
    </w:p>
  </w:footnote>
  <w:footnote w:type="continuationSeparator" w:id="0">
    <w:p w:rsidR="009962AB" w:rsidRDefault="009962AB" w:rsidP="00AD4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6F"/>
    <w:rsid w:val="00000525"/>
    <w:rsid w:val="00013152"/>
    <w:rsid w:val="000626D8"/>
    <w:rsid w:val="00065961"/>
    <w:rsid w:val="000C197D"/>
    <w:rsid w:val="000C6AA6"/>
    <w:rsid w:val="000D7A0E"/>
    <w:rsid w:val="000F06CC"/>
    <w:rsid w:val="001071FD"/>
    <w:rsid w:val="001523E6"/>
    <w:rsid w:val="00176ABE"/>
    <w:rsid w:val="00182C0A"/>
    <w:rsid w:val="00183DCD"/>
    <w:rsid w:val="001B67BB"/>
    <w:rsid w:val="001C2598"/>
    <w:rsid w:val="001E3152"/>
    <w:rsid w:val="002036B7"/>
    <w:rsid w:val="00206C6D"/>
    <w:rsid w:val="00236CDF"/>
    <w:rsid w:val="002554F9"/>
    <w:rsid w:val="00262040"/>
    <w:rsid w:val="002813D3"/>
    <w:rsid w:val="002C4D7C"/>
    <w:rsid w:val="00311DD5"/>
    <w:rsid w:val="003C3392"/>
    <w:rsid w:val="003F555A"/>
    <w:rsid w:val="00414839"/>
    <w:rsid w:val="0041495E"/>
    <w:rsid w:val="0042596C"/>
    <w:rsid w:val="00457494"/>
    <w:rsid w:val="0049263D"/>
    <w:rsid w:val="00495485"/>
    <w:rsid w:val="004A55EA"/>
    <w:rsid w:val="00516C22"/>
    <w:rsid w:val="0052330D"/>
    <w:rsid w:val="0052502C"/>
    <w:rsid w:val="00530A50"/>
    <w:rsid w:val="00592589"/>
    <w:rsid w:val="005B31FA"/>
    <w:rsid w:val="005B524B"/>
    <w:rsid w:val="005D4284"/>
    <w:rsid w:val="005E0CA3"/>
    <w:rsid w:val="00640208"/>
    <w:rsid w:val="00680A6F"/>
    <w:rsid w:val="006A0763"/>
    <w:rsid w:val="006A70D9"/>
    <w:rsid w:val="006C3293"/>
    <w:rsid w:val="006E17B2"/>
    <w:rsid w:val="006F7675"/>
    <w:rsid w:val="007A7636"/>
    <w:rsid w:val="007D4973"/>
    <w:rsid w:val="007F35A5"/>
    <w:rsid w:val="008C6CF9"/>
    <w:rsid w:val="008D19D4"/>
    <w:rsid w:val="009264CF"/>
    <w:rsid w:val="00931298"/>
    <w:rsid w:val="00971922"/>
    <w:rsid w:val="009962AB"/>
    <w:rsid w:val="009B6F42"/>
    <w:rsid w:val="009F7C66"/>
    <w:rsid w:val="00A764AF"/>
    <w:rsid w:val="00AD469D"/>
    <w:rsid w:val="00AF0A49"/>
    <w:rsid w:val="00B11158"/>
    <w:rsid w:val="00B34DE4"/>
    <w:rsid w:val="00B455D5"/>
    <w:rsid w:val="00B814A1"/>
    <w:rsid w:val="00B86D23"/>
    <w:rsid w:val="00C30B57"/>
    <w:rsid w:val="00C35C69"/>
    <w:rsid w:val="00C44FBC"/>
    <w:rsid w:val="00C54B18"/>
    <w:rsid w:val="00C83B5A"/>
    <w:rsid w:val="00C85AC0"/>
    <w:rsid w:val="00C86CDD"/>
    <w:rsid w:val="00CC2939"/>
    <w:rsid w:val="00D6738C"/>
    <w:rsid w:val="00D7777E"/>
    <w:rsid w:val="00DC1FAD"/>
    <w:rsid w:val="00E21083"/>
    <w:rsid w:val="00E33971"/>
    <w:rsid w:val="00E65ECC"/>
    <w:rsid w:val="00E83D9A"/>
    <w:rsid w:val="00E95EEE"/>
    <w:rsid w:val="00EC3D37"/>
    <w:rsid w:val="00EE5D19"/>
    <w:rsid w:val="00F6018C"/>
    <w:rsid w:val="00F654B9"/>
    <w:rsid w:val="00F70CC4"/>
    <w:rsid w:val="00F70E03"/>
    <w:rsid w:val="00F8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15BA1-8525-4452-ABFC-6E42D0F9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6F"/>
    <w:pPr>
      <w:spacing w:after="0" w:line="240" w:lineRule="auto"/>
    </w:pPr>
    <w:rPr>
      <w:rFonts w:eastAsia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irstline05Before6pt">
    <w:name w:val="Style First line:  0.5&quot; Before:  6 pt"/>
    <w:basedOn w:val="Normal"/>
    <w:rsid w:val="00680A6F"/>
    <w:pPr>
      <w:spacing w:before="120" w:line="360" w:lineRule="auto"/>
      <w:ind w:firstLine="720"/>
      <w:jc w:val="both"/>
      <w:outlineLvl w:val="2"/>
    </w:pPr>
    <w:rPr>
      <w:rFonts w:ascii="Verdana" w:hAnsi="Verdana"/>
      <w:sz w:val="20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rsid w:val="00680A6F"/>
    <w:pPr>
      <w:jc w:val="both"/>
    </w:pPr>
    <w:rPr>
      <w:rFonts w:eastAsia="SimSun"/>
      <w:noProof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680A6F"/>
    <w:rPr>
      <w:rFonts w:eastAsia="SimSun"/>
      <w:noProof/>
      <w:lang w:val="bg-BG" w:eastAsia="zh-CN"/>
    </w:rPr>
  </w:style>
  <w:style w:type="character" w:customStyle="1" w:styleId="google-src-text1">
    <w:name w:val="google-src-text1"/>
    <w:uiPriority w:val="99"/>
    <w:rsid w:val="00680A6F"/>
    <w:rPr>
      <w:vanish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6CF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6CF9"/>
    <w:rPr>
      <w:rFonts w:eastAsia="Times New Roman"/>
      <w:lang w:val="bg-BG"/>
    </w:rPr>
  </w:style>
  <w:style w:type="paragraph" w:styleId="Header">
    <w:name w:val="header"/>
    <w:basedOn w:val="Normal"/>
    <w:link w:val="HeaderChar"/>
    <w:uiPriority w:val="99"/>
    <w:semiHidden/>
    <w:unhideWhenUsed/>
    <w:rsid w:val="00AD469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69D"/>
    <w:rPr>
      <w:rFonts w:eastAsia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D469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69D"/>
    <w:rPr>
      <w:rFonts w:eastAsia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89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ekarakoleva</dc:creator>
  <cp:lastModifiedBy>Antoaneta Georgieva</cp:lastModifiedBy>
  <cp:revision>4</cp:revision>
  <cp:lastPrinted>2020-04-15T11:16:00Z</cp:lastPrinted>
  <dcterms:created xsi:type="dcterms:W3CDTF">2020-04-23T12:28:00Z</dcterms:created>
  <dcterms:modified xsi:type="dcterms:W3CDTF">2020-04-23T13:02:00Z</dcterms:modified>
</cp:coreProperties>
</file>