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97" w:rsidRDefault="00AB0597" w:rsidP="003030B4">
      <w:pPr>
        <w:ind w:firstLine="720"/>
        <w:jc w:val="both"/>
        <w:rPr>
          <w:rFonts w:ascii="Times New Roman" w:hAnsi="Times New Roman"/>
        </w:rPr>
      </w:pPr>
    </w:p>
    <w:p w:rsidR="008466FA" w:rsidRDefault="008466FA" w:rsidP="003030B4">
      <w:pPr>
        <w:ind w:firstLine="720"/>
        <w:jc w:val="both"/>
        <w:rPr>
          <w:rFonts w:ascii="Times New Roman" w:hAnsi="Times New Roman"/>
          <w:szCs w:val="24"/>
          <w:lang w:val="ru-RU"/>
        </w:rPr>
      </w:pPr>
      <w:bookmarkStart w:id="0" w:name="_GoBack"/>
      <w:bookmarkEnd w:id="0"/>
      <w:r>
        <w:rPr>
          <w:rFonts w:ascii="Times New Roman" w:hAnsi="Times New Roman"/>
        </w:rPr>
        <w:t>проект</w:t>
      </w:r>
      <w:r w:rsidR="00AD64FE" w:rsidRPr="007165CA">
        <w:rPr>
          <w:rFonts w:ascii="Times New Roman" w:hAnsi="Times New Roman"/>
        </w:rPr>
        <w:t xml:space="preserve"> на Постановление на Министерския съвет </w:t>
      </w:r>
      <w:r>
        <w:rPr>
          <w:rFonts w:ascii="Times New Roman" w:hAnsi="Times New Roman"/>
        </w:rPr>
        <w:t>за</w:t>
      </w:r>
      <w:r w:rsidR="00AD64FE" w:rsidRPr="007165CA">
        <w:rPr>
          <w:rFonts w:ascii="Times New Roman" w:hAnsi="Times New Roman"/>
        </w:rPr>
        <w:t xml:space="preserve"> изменение</w:t>
      </w:r>
      <w:r>
        <w:rPr>
          <w:rFonts w:ascii="Times New Roman" w:hAnsi="Times New Roman"/>
        </w:rPr>
        <w:t xml:space="preserve"> и допълнение</w:t>
      </w:r>
      <w:r w:rsidR="00AD64FE" w:rsidRPr="007165CA">
        <w:rPr>
          <w:rFonts w:ascii="Times New Roman" w:hAnsi="Times New Roman"/>
        </w:rPr>
        <w:t xml:space="preserve"> на Наредбата </w:t>
      </w:r>
      <w:r w:rsidR="00AD64FE" w:rsidRPr="00E543D1">
        <w:rPr>
          <w:rFonts w:ascii="Times New Roman" w:hAnsi="Times New Roman"/>
        </w:rPr>
        <w:t>за таксите за използване на летищата за обществено ползване и за аеронавигационно обслужване в Република България</w:t>
      </w:r>
      <w:r w:rsidR="005F1329" w:rsidRPr="00ED2F42">
        <w:rPr>
          <w:rStyle w:val="historyitemselected1"/>
          <w:rFonts w:ascii="Times New Roman" w:hAnsi="Times New Roman"/>
          <w:b w:val="0"/>
          <w:color w:val="000000"/>
          <w:szCs w:val="24"/>
        </w:rPr>
        <w:t>.</w:t>
      </w:r>
    </w:p>
    <w:p w:rsidR="003030B4" w:rsidRPr="003030B4" w:rsidRDefault="003030B4" w:rsidP="003030B4">
      <w:pPr>
        <w:ind w:firstLine="720"/>
        <w:jc w:val="both"/>
        <w:rPr>
          <w:rFonts w:ascii="Times New Roman" w:hAnsi="Times New Roman"/>
          <w:szCs w:val="24"/>
          <w:lang w:val="ru-RU"/>
        </w:rPr>
      </w:pPr>
    </w:p>
    <w:p w:rsidR="008466FA" w:rsidRDefault="008466FA" w:rsidP="008466FA">
      <w:pPr>
        <w:shd w:val="clear" w:color="auto" w:fill="FFFFFF"/>
        <w:jc w:val="both"/>
        <w:textAlignment w:val="center"/>
        <w:rPr>
          <w:rFonts w:ascii="Times New Roman" w:hAnsi="Times New Roman"/>
          <w:szCs w:val="24"/>
        </w:rPr>
      </w:pPr>
      <w:r>
        <w:rPr>
          <w:rFonts w:ascii="Times New Roman" w:hAnsi="Times New Roman"/>
          <w:szCs w:val="24"/>
        </w:rPr>
        <w:tab/>
        <w:t>Предлаганите изменения и допълнения засягат наредбата в частта й за таксите за аеронавигационно обслужване.</w:t>
      </w:r>
    </w:p>
    <w:p w:rsidR="008466FA" w:rsidRPr="003030B4" w:rsidRDefault="008466FA" w:rsidP="008466FA">
      <w:pPr>
        <w:shd w:val="clear" w:color="auto" w:fill="FFFFFF"/>
        <w:jc w:val="both"/>
        <w:textAlignment w:val="center"/>
        <w:rPr>
          <w:rFonts w:ascii="Times New Roman" w:hAnsi="Times New Roman"/>
          <w:szCs w:val="24"/>
        </w:rPr>
      </w:pPr>
    </w:p>
    <w:p w:rsidR="00D928A6" w:rsidRPr="003030B4" w:rsidRDefault="003030B4" w:rsidP="00D928A6">
      <w:pPr>
        <w:shd w:val="clear" w:color="auto" w:fill="FFFFFF"/>
        <w:ind w:firstLine="708"/>
        <w:jc w:val="both"/>
        <w:textAlignment w:val="center"/>
        <w:rPr>
          <w:rFonts w:ascii="Times New Roman" w:hAnsi="Times New Roman"/>
          <w:b/>
          <w:szCs w:val="24"/>
        </w:rPr>
      </w:pPr>
      <w:r w:rsidRPr="003030B4">
        <w:rPr>
          <w:rFonts w:ascii="Times New Roman" w:hAnsi="Times New Roman"/>
          <w:b/>
          <w:szCs w:val="24"/>
        </w:rPr>
        <w:t xml:space="preserve">I. </w:t>
      </w:r>
      <w:r w:rsidR="00D928A6" w:rsidRPr="003030B4">
        <w:rPr>
          <w:rFonts w:ascii="Times New Roman" w:hAnsi="Times New Roman"/>
          <w:b/>
          <w:szCs w:val="24"/>
        </w:rPr>
        <w:t>Изменения, свързани с приети промени на осреднената базова таксовата единица за аеронавигационно обслужване при прелитане и лихвата за просрочие.</w:t>
      </w:r>
    </w:p>
    <w:p w:rsidR="00DE6EF8" w:rsidRPr="003030B4" w:rsidRDefault="00DE6EF8" w:rsidP="00DE6EF8">
      <w:pPr>
        <w:shd w:val="clear" w:color="auto" w:fill="FFFFFF"/>
        <w:ind w:firstLine="708"/>
        <w:jc w:val="both"/>
        <w:textAlignment w:val="center"/>
        <w:rPr>
          <w:rFonts w:ascii="Times New Roman" w:hAnsi="Times New Roman"/>
          <w:szCs w:val="24"/>
        </w:rPr>
      </w:pPr>
    </w:p>
    <w:p w:rsidR="00E26C53" w:rsidRPr="003030B4" w:rsidRDefault="00E26C53" w:rsidP="00E26C53">
      <w:pPr>
        <w:shd w:val="clear" w:color="auto" w:fill="FFFFFF"/>
        <w:ind w:firstLine="708"/>
        <w:jc w:val="both"/>
        <w:textAlignment w:val="center"/>
        <w:rPr>
          <w:rFonts w:ascii="Times New Roman" w:hAnsi="Times New Roman"/>
          <w:b/>
          <w:szCs w:val="24"/>
        </w:rPr>
      </w:pPr>
      <w:r w:rsidRPr="003030B4">
        <w:rPr>
          <w:rFonts w:ascii="Times New Roman" w:hAnsi="Times New Roman"/>
          <w:b/>
          <w:szCs w:val="24"/>
        </w:rPr>
        <w:t>Предложение за промени</w:t>
      </w:r>
    </w:p>
    <w:p w:rsidR="00E26C53" w:rsidRPr="003030B4" w:rsidRDefault="00E26C53" w:rsidP="00E26C53">
      <w:pPr>
        <w:shd w:val="clear" w:color="auto" w:fill="FFFFFF"/>
        <w:ind w:firstLine="708"/>
        <w:jc w:val="both"/>
        <w:textAlignment w:val="center"/>
        <w:rPr>
          <w:rFonts w:ascii="Times New Roman" w:hAnsi="Times New Roman"/>
          <w:color w:val="000000"/>
          <w:szCs w:val="24"/>
        </w:rPr>
      </w:pPr>
      <w:r w:rsidRPr="003030B4">
        <w:rPr>
          <w:rFonts w:ascii="Times New Roman" w:hAnsi="Times New Roman"/>
          <w:szCs w:val="24"/>
        </w:rPr>
        <w:t xml:space="preserve">1.1. В чл. 7, ал. 2 </w:t>
      </w:r>
      <w:r w:rsidRPr="003030B4">
        <w:rPr>
          <w:rFonts w:ascii="Times New Roman" w:hAnsi="Times New Roman"/>
          <w:color w:val="000000"/>
          <w:szCs w:val="24"/>
        </w:rPr>
        <w:t>лихвеният процент за просрочено плащане на таксите за аеронавигационно обслужване при прелитане</w:t>
      </w:r>
      <w:r w:rsidRPr="003030B4">
        <w:rPr>
          <w:rFonts w:ascii="Times New Roman" w:hAnsi="Times New Roman"/>
          <w:szCs w:val="24"/>
        </w:rPr>
        <w:t xml:space="preserve"> във въздушното пространств</w:t>
      </w:r>
      <w:r w:rsidR="00B15667">
        <w:rPr>
          <w:rFonts w:ascii="Times New Roman" w:hAnsi="Times New Roman"/>
          <w:szCs w:val="24"/>
        </w:rPr>
        <w:t xml:space="preserve">о на страната да се промени от </w:t>
      </w:r>
      <w:r w:rsidR="00001071" w:rsidRPr="003030B4">
        <w:rPr>
          <w:rFonts w:ascii="Times New Roman" w:hAnsi="Times New Roman"/>
          <w:szCs w:val="24"/>
        </w:rPr>
        <w:t>9.88</w:t>
      </w:r>
      <w:r w:rsidRPr="003030B4">
        <w:rPr>
          <w:rFonts w:ascii="Times New Roman" w:hAnsi="Times New Roman"/>
          <w:szCs w:val="24"/>
        </w:rPr>
        <w:t xml:space="preserve">% на </w:t>
      </w:r>
      <w:r w:rsidR="00001071" w:rsidRPr="003030B4">
        <w:rPr>
          <w:rFonts w:ascii="Times New Roman" w:hAnsi="Times New Roman"/>
          <w:szCs w:val="24"/>
        </w:rPr>
        <w:t>9.74</w:t>
      </w:r>
      <w:r w:rsidRPr="003030B4">
        <w:rPr>
          <w:rFonts w:ascii="Times New Roman" w:hAnsi="Times New Roman"/>
          <w:szCs w:val="24"/>
        </w:rPr>
        <w:t>%</w:t>
      </w:r>
      <w:r w:rsidRPr="003030B4">
        <w:rPr>
          <w:rFonts w:ascii="Times New Roman" w:hAnsi="Times New Roman"/>
          <w:color w:val="000000"/>
          <w:szCs w:val="24"/>
        </w:rPr>
        <w:t>.</w:t>
      </w:r>
    </w:p>
    <w:p w:rsidR="00E26C53" w:rsidRPr="003030B4" w:rsidRDefault="00E26C53" w:rsidP="00E26C53">
      <w:pPr>
        <w:shd w:val="clear" w:color="auto" w:fill="FFFFFF"/>
        <w:ind w:firstLine="708"/>
        <w:jc w:val="both"/>
        <w:textAlignment w:val="center"/>
        <w:rPr>
          <w:rFonts w:ascii="Times New Roman" w:hAnsi="Times New Roman"/>
          <w:szCs w:val="24"/>
        </w:rPr>
      </w:pPr>
      <w:r w:rsidRPr="003030B4">
        <w:rPr>
          <w:rFonts w:ascii="Times New Roman" w:hAnsi="Times New Roman"/>
          <w:color w:val="000000"/>
          <w:szCs w:val="24"/>
        </w:rPr>
        <w:t>1.2.</w:t>
      </w:r>
      <w:r w:rsidR="00E17043">
        <w:rPr>
          <w:rFonts w:ascii="Times New Roman" w:hAnsi="Times New Roman"/>
          <w:color w:val="000000"/>
          <w:szCs w:val="24"/>
        </w:rPr>
        <w:t xml:space="preserve"> </w:t>
      </w:r>
      <w:r w:rsidR="00E17043">
        <w:rPr>
          <w:rFonts w:ascii="Times New Roman" w:hAnsi="Times New Roman"/>
          <w:szCs w:val="24"/>
        </w:rPr>
        <w:t xml:space="preserve">В чл. 18, ал. 3 </w:t>
      </w:r>
      <w:r w:rsidRPr="003030B4">
        <w:rPr>
          <w:rFonts w:ascii="Times New Roman" w:hAnsi="Times New Roman"/>
          <w:szCs w:val="24"/>
        </w:rPr>
        <w:t xml:space="preserve">стойността на осреднената базова таксова единица за аеронавигационно обслужване при прелитане във въздушното пространство на страната да се промени от </w:t>
      </w:r>
      <w:r w:rsidR="00001071" w:rsidRPr="003030B4">
        <w:rPr>
          <w:rFonts w:ascii="Times New Roman" w:hAnsi="Times New Roman"/>
          <w:szCs w:val="24"/>
        </w:rPr>
        <w:t>26.97</w:t>
      </w:r>
      <w:r w:rsidRPr="003030B4">
        <w:rPr>
          <w:rFonts w:ascii="Times New Roman" w:hAnsi="Times New Roman"/>
          <w:szCs w:val="24"/>
        </w:rPr>
        <w:t xml:space="preserve"> евро на </w:t>
      </w:r>
      <w:r w:rsidR="00001071" w:rsidRPr="003030B4">
        <w:rPr>
          <w:rFonts w:ascii="Times New Roman" w:hAnsi="Times New Roman"/>
          <w:szCs w:val="24"/>
        </w:rPr>
        <w:t>26.72</w:t>
      </w:r>
      <w:r w:rsidRPr="003030B4">
        <w:rPr>
          <w:rFonts w:ascii="Times New Roman" w:hAnsi="Times New Roman"/>
          <w:szCs w:val="24"/>
        </w:rPr>
        <w:t xml:space="preserve"> евро.</w:t>
      </w:r>
    </w:p>
    <w:p w:rsidR="00E26C53" w:rsidRPr="003030B4" w:rsidRDefault="00E26C53" w:rsidP="00E26C53">
      <w:pPr>
        <w:pStyle w:val="title2"/>
        <w:shd w:val="clear" w:color="auto" w:fill="FFFFFF"/>
        <w:spacing w:before="0" w:beforeAutospacing="0" w:after="0" w:afterAutospacing="0"/>
        <w:ind w:firstLine="720"/>
        <w:textAlignment w:val="center"/>
        <w:rPr>
          <w:i w:val="0"/>
          <w:sz w:val="24"/>
          <w:szCs w:val="24"/>
        </w:rPr>
      </w:pPr>
      <w:r w:rsidRPr="003030B4">
        <w:rPr>
          <w:i w:val="0"/>
          <w:sz w:val="24"/>
          <w:szCs w:val="24"/>
        </w:rPr>
        <w:t>Пром</w:t>
      </w:r>
      <w:r w:rsidR="00D928A6" w:rsidRPr="003030B4">
        <w:rPr>
          <w:i w:val="0"/>
          <w:sz w:val="24"/>
          <w:szCs w:val="24"/>
        </w:rPr>
        <w:t>е</w:t>
      </w:r>
      <w:r w:rsidRPr="003030B4">
        <w:rPr>
          <w:i w:val="0"/>
          <w:sz w:val="24"/>
          <w:szCs w:val="24"/>
        </w:rPr>
        <w:t>н</w:t>
      </w:r>
      <w:r w:rsidR="00D928A6" w:rsidRPr="003030B4">
        <w:rPr>
          <w:i w:val="0"/>
          <w:sz w:val="24"/>
          <w:szCs w:val="24"/>
        </w:rPr>
        <w:t>и</w:t>
      </w:r>
      <w:r w:rsidRPr="003030B4">
        <w:rPr>
          <w:i w:val="0"/>
          <w:sz w:val="24"/>
          <w:szCs w:val="24"/>
        </w:rPr>
        <w:t>т</w:t>
      </w:r>
      <w:r w:rsidR="00D928A6" w:rsidRPr="003030B4">
        <w:rPr>
          <w:i w:val="0"/>
          <w:sz w:val="24"/>
          <w:szCs w:val="24"/>
        </w:rPr>
        <w:t>е</w:t>
      </w:r>
      <w:r w:rsidRPr="003030B4">
        <w:rPr>
          <w:i w:val="0"/>
          <w:sz w:val="24"/>
          <w:szCs w:val="24"/>
        </w:rPr>
        <w:t xml:space="preserve"> влиза</w:t>
      </w:r>
      <w:r w:rsidR="00D928A6" w:rsidRPr="003030B4">
        <w:rPr>
          <w:i w:val="0"/>
          <w:sz w:val="24"/>
          <w:szCs w:val="24"/>
        </w:rPr>
        <w:t>т</w:t>
      </w:r>
      <w:r w:rsidRPr="003030B4">
        <w:rPr>
          <w:i w:val="0"/>
          <w:sz w:val="24"/>
          <w:szCs w:val="24"/>
        </w:rPr>
        <w:t xml:space="preserve"> в сила от 01.01.</w:t>
      </w:r>
      <w:r w:rsidR="00F43820" w:rsidRPr="003030B4">
        <w:rPr>
          <w:i w:val="0"/>
          <w:sz w:val="24"/>
          <w:szCs w:val="24"/>
        </w:rPr>
        <w:t>201</w:t>
      </w:r>
      <w:r w:rsidR="00661FBC" w:rsidRPr="003030B4">
        <w:rPr>
          <w:i w:val="0"/>
          <w:sz w:val="24"/>
          <w:szCs w:val="24"/>
        </w:rPr>
        <w:t>8</w:t>
      </w:r>
      <w:r w:rsidRPr="003030B4">
        <w:rPr>
          <w:i w:val="0"/>
          <w:sz w:val="24"/>
          <w:szCs w:val="24"/>
        </w:rPr>
        <w:t xml:space="preserve"> г.</w:t>
      </w:r>
    </w:p>
    <w:p w:rsidR="00E26C53" w:rsidRPr="003030B4" w:rsidRDefault="00E26C53" w:rsidP="00E26C53">
      <w:pPr>
        <w:pStyle w:val="title2"/>
        <w:shd w:val="clear" w:color="auto" w:fill="FFFFFF"/>
        <w:spacing w:before="0" w:beforeAutospacing="0" w:after="0" w:afterAutospacing="0"/>
        <w:ind w:firstLine="720"/>
        <w:textAlignment w:val="center"/>
        <w:rPr>
          <w:i w:val="0"/>
          <w:sz w:val="24"/>
          <w:szCs w:val="24"/>
        </w:rPr>
      </w:pPr>
    </w:p>
    <w:p w:rsidR="00E26C53" w:rsidRPr="003030B4" w:rsidRDefault="00E26C53" w:rsidP="00E26C53">
      <w:pPr>
        <w:pStyle w:val="BodyText"/>
        <w:jc w:val="both"/>
        <w:rPr>
          <w:sz w:val="24"/>
          <w:szCs w:val="24"/>
        </w:rPr>
      </w:pPr>
      <w:r w:rsidRPr="003030B4">
        <w:rPr>
          <w:sz w:val="24"/>
          <w:szCs w:val="24"/>
        </w:rPr>
        <w:tab/>
        <w:t xml:space="preserve">Мотиви </w:t>
      </w:r>
    </w:p>
    <w:p w:rsidR="00E26C53" w:rsidRPr="003030B4" w:rsidRDefault="00E26C53" w:rsidP="00E26C53">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Съгласно Многостранното споразумение за пътните</w:t>
      </w:r>
      <w:r w:rsidR="00E7782D">
        <w:rPr>
          <w:rFonts w:ascii="Times New Roman" w:hAnsi="Times New Roman"/>
          <w:szCs w:val="24"/>
          <w:lang w:val="bg-BG"/>
        </w:rPr>
        <w:t xml:space="preserve"> такси от 12 февруари 1981 г. (o</w:t>
      </w:r>
      <w:r w:rsidRPr="003030B4">
        <w:rPr>
          <w:rFonts w:ascii="Times New Roman" w:hAnsi="Times New Roman"/>
          <w:szCs w:val="24"/>
          <w:lang w:val="bg-BG"/>
        </w:rPr>
        <w:t>бн., ДВ, бр. 77 от 1999 г.) и чл.</w:t>
      </w:r>
      <w:r w:rsidR="00E7782D">
        <w:rPr>
          <w:rFonts w:ascii="Times New Roman" w:hAnsi="Times New Roman"/>
          <w:szCs w:val="24"/>
          <w:lang w:val="bg-BG"/>
        </w:rPr>
        <w:t xml:space="preserve"> 22 на </w:t>
      </w:r>
      <w:r w:rsidR="002B79DB">
        <w:rPr>
          <w:rFonts w:ascii="Times New Roman" w:hAnsi="Times New Roman"/>
          <w:szCs w:val="24"/>
          <w:lang w:val="bg-BG"/>
        </w:rPr>
        <w:t>н</w:t>
      </w:r>
      <w:r w:rsidR="00E17043">
        <w:rPr>
          <w:rFonts w:ascii="Times New Roman" w:hAnsi="Times New Roman"/>
          <w:szCs w:val="24"/>
          <w:lang w:val="bg-BG"/>
        </w:rPr>
        <w:t>аредбата</w:t>
      </w:r>
      <w:r w:rsidRPr="003030B4">
        <w:rPr>
          <w:rFonts w:ascii="Times New Roman" w:hAnsi="Times New Roman"/>
          <w:szCs w:val="24"/>
          <w:lang w:val="bg-BG"/>
        </w:rPr>
        <w:t>, ежегодно се определят размерите на:</w:t>
      </w:r>
    </w:p>
    <w:p w:rsidR="00E26C53" w:rsidRPr="003030B4" w:rsidRDefault="00E26C53" w:rsidP="00E26C53">
      <w:pPr>
        <w:pStyle w:val="BodyTextIndent2"/>
        <w:numPr>
          <w:ilvl w:val="0"/>
          <w:numId w:val="3"/>
        </w:numPr>
        <w:tabs>
          <w:tab w:val="clear" w:pos="360"/>
          <w:tab w:val="num" w:pos="1440"/>
        </w:tabs>
        <w:spacing w:after="0" w:line="240" w:lineRule="auto"/>
        <w:ind w:left="1440"/>
        <w:jc w:val="both"/>
        <w:rPr>
          <w:rFonts w:ascii="Times New Roman" w:hAnsi="Times New Roman"/>
          <w:szCs w:val="24"/>
          <w:lang w:val="bg-BG"/>
        </w:rPr>
      </w:pPr>
      <w:r w:rsidRPr="003030B4">
        <w:rPr>
          <w:rFonts w:ascii="Times New Roman" w:hAnsi="Times New Roman"/>
          <w:szCs w:val="24"/>
          <w:lang w:val="bg-BG"/>
        </w:rPr>
        <w:t xml:space="preserve">осреднената базова таксова единица за аеронавигационно обслужване при прелитане във въздушното пространство на страната; </w:t>
      </w:r>
    </w:p>
    <w:p w:rsidR="00E26C53" w:rsidRPr="003030B4" w:rsidRDefault="00E26C53" w:rsidP="00E26C53">
      <w:pPr>
        <w:pStyle w:val="BodyTextIndent2"/>
        <w:numPr>
          <w:ilvl w:val="0"/>
          <w:numId w:val="3"/>
        </w:numPr>
        <w:tabs>
          <w:tab w:val="clear" w:pos="360"/>
          <w:tab w:val="num" w:pos="1440"/>
        </w:tabs>
        <w:spacing w:after="0" w:line="240" w:lineRule="auto"/>
        <w:ind w:left="1440"/>
        <w:jc w:val="both"/>
        <w:rPr>
          <w:rFonts w:ascii="Times New Roman" w:hAnsi="Times New Roman"/>
          <w:szCs w:val="24"/>
          <w:lang w:val="bg-BG"/>
        </w:rPr>
      </w:pPr>
      <w:r w:rsidRPr="003030B4">
        <w:rPr>
          <w:rFonts w:ascii="Times New Roman" w:hAnsi="Times New Roman"/>
          <w:color w:val="000000"/>
          <w:szCs w:val="24"/>
          <w:lang w:val="bg-BG"/>
        </w:rPr>
        <w:t>лихвения процент за просрочено плащане на таксите за аеронавигационно обслужване при прелитане</w:t>
      </w:r>
      <w:r w:rsidRPr="003030B4">
        <w:rPr>
          <w:rFonts w:ascii="Times New Roman" w:hAnsi="Times New Roman"/>
          <w:szCs w:val="24"/>
          <w:lang w:val="bg-BG"/>
        </w:rPr>
        <w:t xml:space="preserve"> във въздушното пространство на страната</w:t>
      </w:r>
      <w:r w:rsidRPr="003030B4">
        <w:rPr>
          <w:rFonts w:ascii="Times New Roman" w:hAnsi="Times New Roman"/>
          <w:color w:val="000000"/>
          <w:szCs w:val="24"/>
          <w:lang w:val="bg-BG"/>
        </w:rPr>
        <w:t>.</w:t>
      </w:r>
    </w:p>
    <w:p w:rsidR="00E26C53" w:rsidRPr="00E7782D" w:rsidRDefault="00E26C53" w:rsidP="00E7782D">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Таксовите единици на всички </w:t>
      </w:r>
      <w:r w:rsidR="00E7782D">
        <w:rPr>
          <w:rFonts w:ascii="Times New Roman" w:hAnsi="Times New Roman"/>
          <w:szCs w:val="24"/>
          <w:lang w:val="bg-BG"/>
        </w:rPr>
        <w:t>държави</w:t>
      </w:r>
      <w:r w:rsidRPr="003030B4">
        <w:rPr>
          <w:rFonts w:ascii="Times New Roman" w:hAnsi="Times New Roman"/>
          <w:szCs w:val="24"/>
          <w:lang w:val="bg-BG"/>
        </w:rPr>
        <w:t xml:space="preserve">-членки на Европейската организация за безопасност на въздухоплаването (Евроконтрол) се определят в съответствие с </w:t>
      </w:r>
      <w:r w:rsidR="00E7782D">
        <w:rPr>
          <w:rFonts w:ascii="Times New Roman" w:hAnsi="Times New Roman"/>
          <w:szCs w:val="24"/>
          <w:lang w:val="bg-BG"/>
        </w:rPr>
        <w:t>актовете</w:t>
      </w:r>
      <w:r w:rsidRPr="003030B4">
        <w:rPr>
          <w:rFonts w:ascii="Times New Roman" w:hAnsi="Times New Roman"/>
          <w:szCs w:val="24"/>
          <w:lang w:val="bg-BG"/>
        </w:rPr>
        <w:t xml:space="preserve"> на Международната организация за гражданско въздухоплаване (ICAO), Принципите за установяване на разходната база за пътни такси и за изчисляване на таксовите единици на Евроконтрол (наричани по-долу Принципите) и </w:t>
      </w:r>
      <w:r w:rsidR="00E7782D" w:rsidRPr="00E7782D">
        <w:rPr>
          <w:rFonts w:ascii="Times New Roman" w:hAnsi="Times New Roman"/>
          <w:szCs w:val="24"/>
          <w:lang w:val="bg-BG"/>
        </w:rPr>
        <w:t xml:space="preserve">Регламент за изпълнение (ЕС) № 391/2013 </w:t>
      </w:r>
      <w:r w:rsidR="00E7782D">
        <w:rPr>
          <w:rFonts w:ascii="Times New Roman" w:hAnsi="Times New Roman"/>
          <w:szCs w:val="24"/>
          <w:lang w:val="bg-BG"/>
        </w:rPr>
        <w:t>на К</w:t>
      </w:r>
      <w:r w:rsidR="00E7782D" w:rsidRPr="00E7782D">
        <w:rPr>
          <w:rFonts w:ascii="Times New Roman" w:hAnsi="Times New Roman"/>
          <w:szCs w:val="24"/>
          <w:lang w:val="bg-BG"/>
        </w:rPr>
        <w:t>омисията</w:t>
      </w:r>
      <w:r w:rsidR="00E7782D">
        <w:rPr>
          <w:rFonts w:ascii="Times New Roman" w:hAnsi="Times New Roman"/>
          <w:szCs w:val="24"/>
          <w:lang w:val="bg-BG"/>
        </w:rPr>
        <w:t xml:space="preserve"> от 3 май 2013 г. </w:t>
      </w:r>
      <w:r w:rsidR="00E7782D" w:rsidRPr="00E7782D">
        <w:rPr>
          <w:rFonts w:ascii="Times New Roman" w:hAnsi="Times New Roman"/>
          <w:szCs w:val="24"/>
          <w:lang w:val="bg-BG"/>
        </w:rPr>
        <w:t>за установяване на обща схема за таксуване на аеронавигационното обслужване</w:t>
      </w:r>
      <w:r w:rsidR="00E7782D">
        <w:rPr>
          <w:rFonts w:ascii="Times New Roman" w:hAnsi="Times New Roman"/>
          <w:szCs w:val="24"/>
          <w:lang w:val="bg-BG"/>
        </w:rPr>
        <w:t xml:space="preserve"> (</w:t>
      </w:r>
      <w:r w:rsidR="00E7782D" w:rsidRPr="00E7782D">
        <w:rPr>
          <w:rFonts w:ascii="Times New Roman" w:hAnsi="Times New Roman"/>
          <w:szCs w:val="24"/>
          <w:lang w:val="bg-BG"/>
        </w:rPr>
        <w:t>ОВ</w:t>
      </w:r>
      <w:r w:rsidR="00E7782D">
        <w:rPr>
          <w:rFonts w:ascii="Times New Roman" w:hAnsi="Times New Roman"/>
          <w:szCs w:val="24"/>
          <w:lang w:val="bg-BG"/>
        </w:rPr>
        <w:t>, L 128 от 2013 г.) (</w:t>
      </w:r>
      <w:r w:rsidR="00E7782D" w:rsidRPr="00E7782D">
        <w:rPr>
          <w:rFonts w:ascii="Times New Roman" w:hAnsi="Times New Roman"/>
          <w:szCs w:val="24"/>
          <w:lang w:val="bg-BG"/>
        </w:rPr>
        <w:t>Регламент (ЕС) № 391/2013</w:t>
      </w:r>
      <w:r w:rsidR="00E7782D">
        <w:rPr>
          <w:rFonts w:ascii="Times New Roman" w:hAnsi="Times New Roman"/>
          <w:szCs w:val="24"/>
          <w:lang w:val="bg-BG"/>
        </w:rPr>
        <w:t>).</w:t>
      </w:r>
    </w:p>
    <w:p w:rsidR="00D928A6" w:rsidRPr="003030B4" w:rsidRDefault="00E26C53" w:rsidP="009F7A78">
      <w:pPr>
        <w:pStyle w:val="BodyTextIndent2"/>
        <w:spacing w:after="0" w:line="240" w:lineRule="auto"/>
        <w:ind w:left="0" w:firstLine="720"/>
        <w:jc w:val="both"/>
        <w:rPr>
          <w:rFonts w:ascii="Times New Roman" w:hAnsi="Times New Roman"/>
          <w:lang w:val="bg-BG"/>
        </w:rPr>
      </w:pPr>
      <w:r w:rsidRPr="003030B4">
        <w:rPr>
          <w:rFonts w:ascii="Times New Roman" w:hAnsi="Times New Roman"/>
          <w:szCs w:val="24"/>
          <w:lang w:val="bg-BG"/>
        </w:rPr>
        <w:t xml:space="preserve">В изпълнение на </w:t>
      </w:r>
      <w:r w:rsidR="009F7A78" w:rsidRPr="009F7A78">
        <w:rPr>
          <w:rFonts w:ascii="Times New Roman" w:hAnsi="Times New Roman"/>
          <w:lang w:val="bg-BG"/>
        </w:rPr>
        <w:t xml:space="preserve">Регламент за изпълнение (ЕС) № 390/2013 </w:t>
      </w:r>
      <w:r w:rsidR="009F7A78">
        <w:rPr>
          <w:rFonts w:ascii="Times New Roman" w:hAnsi="Times New Roman"/>
          <w:lang w:val="bg-BG"/>
        </w:rPr>
        <w:t>на К</w:t>
      </w:r>
      <w:r w:rsidR="009F7A78" w:rsidRPr="009F7A78">
        <w:rPr>
          <w:rFonts w:ascii="Times New Roman" w:hAnsi="Times New Roman"/>
          <w:lang w:val="bg-BG"/>
        </w:rPr>
        <w:t>омисията</w:t>
      </w:r>
      <w:r w:rsidR="009F7A78">
        <w:rPr>
          <w:rFonts w:ascii="Times New Roman" w:hAnsi="Times New Roman"/>
          <w:lang w:val="bg-BG"/>
        </w:rPr>
        <w:t xml:space="preserve"> от 3 май 2013 г. </w:t>
      </w:r>
      <w:r w:rsidR="009F7A78" w:rsidRPr="009F7A78">
        <w:rPr>
          <w:rFonts w:ascii="Times New Roman" w:hAnsi="Times New Roman"/>
          <w:lang w:val="bg-BG"/>
        </w:rPr>
        <w:t>за определяне на схема за ефективност на аеронавигационното обслужване и мрежовите функции</w:t>
      </w:r>
      <w:r w:rsidR="009F7A78">
        <w:rPr>
          <w:rFonts w:ascii="Times New Roman" w:hAnsi="Times New Roman"/>
          <w:lang w:val="bg-BG"/>
        </w:rPr>
        <w:t xml:space="preserve"> (</w:t>
      </w:r>
      <w:r w:rsidR="009F7A78" w:rsidRPr="009F7A78">
        <w:rPr>
          <w:rFonts w:ascii="Times New Roman" w:hAnsi="Times New Roman"/>
          <w:lang w:val="bg-BG"/>
        </w:rPr>
        <w:t>ОВ</w:t>
      </w:r>
      <w:r w:rsidR="009F7A78">
        <w:rPr>
          <w:rFonts w:ascii="Times New Roman" w:hAnsi="Times New Roman"/>
          <w:lang w:val="bg-BG"/>
        </w:rPr>
        <w:t xml:space="preserve">, L 128 от </w:t>
      </w:r>
      <w:r w:rsidR="009F7A78" w:rsidRPr="009F7A78">
        <w:rPr>
          <w:rFonts w:ascii="Times New Roman" w:hAnsi="Times New Roman"/>
          <w:lang w:val="bg-BG"/>
        </w:rPr>
        <w:t>2013</w:t>
      </w:r>
      <w:r w:rsidR="009F7A78">
        <w:rPr>
          <w:rFonts w:ascii="Times New Roman" w:hAnsi="Times New Roman"/>
          <w:lang w:val="bg-BG"/>
        </w:rPr>
        <w:t xml:space="preserve"> г.) (</w:t>
      </w:r>
      <w:r w:rsidR="009F7A78" w:rsidRPr="009F7A78">
        <w:rPr>
          <w:rFonts w:ascii="Times New Roman" w:hAnsi="Times New Roman"/>
          <w:lang w:val="bg-BG"/>
        </w:rPr>
        <w:t>Регламент (ЕС) № 390/2013</w:t>
      </w:r>
      <w:r w:rsidR="009F7A78">
        <w:rPr>
          <w:rFonts w:ascii="Times New Roman" w:hAnsi="Times New Roman"/>
          <w:lang w:val="bg-BG"/>
        </w:rPr>
        <w:t>)</w:t>
      </w:r>
      <w:r w:rsidR="009F7A78" w:rsidRPr="009F7A78">
        <w:rPr>
          <w:rFonts w:ascii="Times New Roman" w:hAnsi="Times New Roman"/>
          <w:lang w:val="bg-BG"/>
        </w:rPr>
        <w:t xml:space="preserve"> </w:t>
      </w:r>
      <w:r w:rsidRPr="003030B4">
        <w:rPr>
          <w:rFonts w:ascii="Times New Roman" w:hAnsi="Times New Roman"/>
          <w:lang w:val="bg-BG"/>
        </w:rPr>
        <w:t>е изготвен и представен об</w:t>
      </w:r>
      <w:r w:rsidR="00E7782D">
        <w:rPr>
          <w:rFonts w:ascii="Times New Roman" w:hAnsi="Times New Roman"/>
          <w:lang w:val="bg-BG"/>
        </w:rPr>
        <w:t xml:space="preserve">щ проект на План за ефективност </w:t>
      </w:r>
      <w:r w:rsidR="00E7782D" w:rsidRPr="003030B4">
        <w:rPr>
          <w:rFonts w:ascii="Times New Roman" w:hAnsi="Times New Roman"/>
          <w:lang w:val="bg-BG"/>
        </w:rPr>
        <w:t>(ПЕ)</w:t>
      </w:r>
      <w:r w:rsidR="00E7782D">
        <w:rPr>
          <w:rFonts w:ascii="Times New Roman" w:hAnsi="Times New Roman"/>
          <w:lang w:val="bg-BG"/>
        </w:rPr>
        <w:t xml:space="preserve"> </w:t>
      </w:r>
      <w:r w:rsidRPr="003030B4">
        <w:rPr>
          <w:rFonts w:ascii="Times New Roman" w:hAnsi="Times New Roman"/>
          <w:lang w:val="bg-BG"/>
        </w:rPr>
        <w:t xml:space="preserve">на Функционалния блок във въздушното пространство „Дунав“. </w:t>
      </w:r>
      <w:r w:rsidR="008A5C9A" w:rsidRPr="003030B4">
        <w:rPr>
          <w:rFonts w:ascii="Times New Roman" w:hAnsi="Times New Roman"/>
          <w:lang w:val="bg-BG"/>
        </w:rPr>
        <w:t xml:space="preserve">Проектът </w:t>
      </w:r>
      <w:r w:rsidRPr="003030B4">
        <w:rPr>
          <w:rFonts w:ascii="Times New Roman" w:hAnsi="Times New Roman"/>
          <w:lang w:val="bg-BG"/>
        </w:rPr>
        <w:t>на ПЕ се оценява от независимия Орган за преглед на ефективността (ОПЕ) относно приноса му към изпълнението на целите на Европейската комисия по отношение на целите на системно ниво в четири ключови области на дейността през втория референтен период 2015 - 2019 г. Неразделна част от него са и разходите за предоставяното аеронавигационно обслужване, свързани със зоната на таксуване на Р</w:t>
      </w:r>
      <w:r w:rsidR="00E7782D">
        <w:rPr>
          <w:rFonts w:ascii="Times New Roman" w:hAnsi="Times New Roman"/>
          <w:lang w:val="bg-BG"/>
        </w:rPr>
        <w:t xml:space="preserve">епублика </w:t>
      </w:r>
      <w:r w:rsidRPr="003030B4">
        <w:rPr>
          <w:rFonts w:ascii="Times New Roman" w:hAnsi="Times New Roman"/>
          <w:lang w:val="bg-BG"/>
        </w:rPr>
        <w:t>България.</w:t>
      </w:r>
      <w:r w:rsidR="0079742B" w:rsidRPr="003030B4">
        <w:rPr>
          <w:rFonts w:ascii="Times New Roman" w:hAnsi="Times New Roman"/>
          <w:lang w:val="bg-BG"/>
        </w:rPr>
        <w:t xml:space="preserve"> </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На 02.03.2015 г. и 15.04.2</w:t>
      </w:r>
      <w:r w:rsidR="00E17043">
        <w:rPr>
          <w:rFonts w:ascii="Times New Roman" w:hAnsi="Times New Roman"/>
          <w:szCs w:val="24"/>
          <w:lang w:val="bg-BG"/>
        </w:rPr>
        <w:t>016 г. са издадени решения на Европейската комисия</w:t>
      </w:r>
      <w:r w:rsidRPr="003030B4">
        <w:rPr>
          <w:rFonts w:ascii="Times New Roman" w:hAnsi="Times New Roman"/>
          <w:szCs w:val="24"/>
          <w:lang w:val="bg-BG"/>
        </w:rPr>
        <w:t xml:space="preserve">, с които е обявено, че </w:t>
      </w:r>
      <w:r w:rsidR="00E7782D">
        <w:rPr>
          <w:rFonts w:ascii="Times New Roman" w:hAnsi="Times New Roman"/>
          <w:szCs w:val="24"/>
          <w:lang w:val="bg-BG"/>
        </w:rPr>
        <w:t>ПЕ</w:t>
      </w:r>
      <w:r w:rsidRPr="003030B4">
        <w:rPr>
          <w:rFonts w:ascii="Times New Roman" w:hAnsi="Times New Roman"/>
          <w:szCs w:val="24"/>
          <w:lang w:val="bg-BG"/>
        </w:rPr>
        <w:t xml:space="preserve"> за Втори референтен период в частта му за </w:t>
      </w:r>
      <w:r w:rsidR="00E7782D" w:rsidRPr="00E7782D">
        <w:rPr>
          <w:rFonts w:ascii="Times New Roman" w:hAnsi="Times New Roman"/>
          <w:szCs w:val="24"/>
          <w:lang w:val="bg-BG"/>
        </w:rPr>
        <w:t>Република</w:t>
      </w:r>
      <w:r w:rsidR="00E7782D">
        <w:rPr>
          <w:rFonts w:ascii="Times New Roman" w:hAnsi="Times New Roman"/>
          <w:szCs w:val="24"/>
          <w:lang w:val="bg-BG"/>
        </w:rPr>
        <w:t xml:space="preserve"> </w:t>
      </w:r>
      <w:r w:rsidRPr="003030B4">
        <w:rPr>
          <w:rFonts w:ascii="Times New Roman" w:hAnsi="Times New Roman"/>
          <w:szCs w:val="24"/>
          <w:lang w:val="bg-BG"/>
        </w:rPr>
        <w:t>България е в съответствие с целите за ефективност на общоевропейс</w:t>
      </w:r>
      <w:r w:rsidR="00E7782D">
        <w:rPr>
          <w:rFonts w:ascii="Times New Roman" w:hAnsi="Times New Roman"/>
          <w:szCs w:val="24"/>
          <w:lang w:val="bg-BG"/>
        </w:rPr>
        <w:t>ко равнище в ключовите области безопасност, о</w:t>
      </w:r>
      <w:r w:rsidRPr="003030B4">
        <w:rPr>
          <w:rFonts w:ascii="Times New Roman" w:hAnsi="Times New Roman"/>
          <w:szCs w:val="24"/>
          <w:lang w:val="bg-BG"/>
        </w:rPr>
        <w:t>колна среда,</w:t>
      </w:r>
      <w:r w:rsidR="00E7782D">
        <w:rPr>
          <w:rFonts w:ascii="Times New Roman" w:hAnsi="Times New Roman"/>
          <w:szCs w:val="24"/>
          <w:lang w:val="bg-BG"/>
        </w:rPr>
        <w:t xml:space="preserve"> р</w:t>
      </w:r>
      <w:r w:rsidRPr="003030B4">
        <w:rPr>
          <w:rFonts w:ascii="Times New Roman" w:hAnsi="Times New Roman"/>
          <w:szCs w:val="24"/>
          <w:lang w:val="bg-BG"/>
        </w:rPr>
        <w:t>азходна ефективност и</w:t>
      </w:r>
      <w:r w:rsidR="00E7782D">
        <w:rPr>
          <w:rFonts w:ascii="Times New Roman" w:hAnsi="Times New Roman"/>
          <w:szCs w:val="24"/>
          <w:lang w:val="bg-BG"/>
        </w:rPr>
        <w:t xml:space="preserve"> к</w:t>
      </w:r>
      <w:r w:rsidRPr="003030B4">
        <w:rPr>
          <w:rFonts w:ascii="Times New Roman" w:hAnsi="Times New Roman"/>
          <w:szCs w:val="24"/>
          <w:lang w:val="bg-BG"/>
        </w:rPr>
        <w:t>апацитет</w:t>
      </w:r>
      <w:r w:rsidR="00E7782D">
        <w:rPr>
          <w:rFonts w:ascii="Times New Roman" w:hAnsi="Times New Roman"/>
          <w:szCs w:val="24"/>
          <w:lang w:val="bg-BG"/>
        </w:rPr>
        <w:t>.</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Същевременно с процеса на одобрение и паралелното развитие на ситуацията, настъпиха съществени промени в заложените допускания във вече одобрения план, поради следните основни причини:</w:t>
      </w:r>
    </w:p>
    <w:p w:rsidR="00B473F1" w:rsidRPr="003030B4" w:rsidRDefault="00B473F1" w:rsidP="00B473F1">
      <w:pPr>
        <w:pStyle w:val="BodyTextIndent2"/>
        <w:numPr>
          <w:ilvl w:val="0"/>
          <w:numId w:val="14"/>
        </w:numPr>
        <w:spacing w:after="0" w:line="240" w:lineRule="auto"/>
        <w:jc w:val="both"/>
        <w:rPr>
          <w:rFonts w:ascii="Times New Roman" w:hAnsi="Times New Roman"/>
          <w:szCs w:val="24"/>
          <w:lang w:val="bg-BG"/>
        </w:rPr>
      </w:pPr>
      <w:r w:rsidRPr="003030B4">
        <w:rPr>
          <w:rFonts w:ascii="Times New Roman" w:hAnsi="Times New Roman"/>
          <w:szCs w:val="24"/>
          <w:lang w:val="bg-BG"/>
        </w:rPr>
        <w:t>наличието на предпоставки за трайно запазване на ситуацията в обслужваното въздушното пространство на Украйна и неизползването му от авиокомпаниите;</w:t>
      </w:r>
    </w:p>
    <w:p w:rsidR="00B473F1" w:rsidRPr="003030B4" w:rsidRDefault="00B473F1" w:rsidP="00B473F1">
      <w:pPr>
        <w:pStyle w:val="BodyTextIndent2"/>
        <w:numPr>
          <w:ilvl w:val="0"/>
          <w:numId w:val="14"/>
        </w:numPr>
        <w:spacing w:after="0" w:line="240" w:lineRule="auto"/>
        <w:jc w:val="both"/>
        <w:rPr>
          <w:rFonts w:ascii="Times New Roman" w:hAnsi="Times New Roman"/>
          <w:szCs w:val="24"/>
          <w:lang w:val="bg-BG"/>
        </w:rPr>
      </w:pPr>
      <w:r w:rsidRPr="003030B4">
        <w:rPr>
          <w:rFonts w:ascii="Times New Roman" w:hAnsi="Times New Roman"/>
          <w:szCs w:val="24"/>
          <w:lang w:val="bg-BG"/>
        </w:rPr>
        <w:lastRenderedPageBreak/>
        <w:t>измененията на оперативните допускания и увеличаване на комплексността на операциите във въздушното пространство в резултат на въвеждането в експлоатация на новото летище на Истанбул.</w:t>
      </w:r>
    </w:p>
    <w:p w:rsidR="004B68C3" w:rsidRPr="003030B4" w:rsidRDefault="00E17043" w:rsidP="00190313">
      <w:pPr>
        <w:pStyle w:val="BodyTextIndent2"/>
        <w:spacing w:line="240" w:lineRule="auto"/>
        <w:ind w:left="0" w:firstLine="720"/>
        <w:jc w:val="both"/>
        <w:rPr>
          <w:rFonts w:ascii="Times New Roman" w:hAnsi="Times New Roman"/>
          <w:szCs w:val="24"/>
          <w:lang w:val="bg-BG"/>
        </w:rPr>
      </w:pPr>
      <w:r>
        <w:rPr>
          <w:rFonts w:ascii="Times New Roman" w:hAnsi="Times New Roman"/>
          <w:szCs w:val="24"/>
          <w:lang w:val="bg-BG"/>
        </w:rPr>
        <w:t>С оглед на това</w:t>
      </w:r>
      <w:r w:rsidR="004B68C3" w:rsidRPr="003030B4">
        <w:rPr>
          <w:rFonts w:ascii="Times New Roman" w:hAnsi="Times New Roman"/>
          <w:szCs w:val="24"/>
          <w:lang w:val="bg-BG"/>
        </w:rPr>
        <w:t xml:space="preserve"> е представено искане за ревизиране на ПЕ. Преговорният процес, продължил близо две години, е финализиран успешно. За целите на преговорния процес по ревизия на П</w:t>
      </w:r>
      <w:r>
        <w:rPr>
          <w:rFonts w:ascii="Times New Roman" w:hAnsi="Times New Roman"/>
          <w:szCs w:val="24"/>
          <w:lang w:val="bg-BG"/>
        </w:rPr>
        <w:t xml:space="preserve">Е </w:t>
      </w:r>
      <w:r w:rsidR="004B68C3" w:rsidRPr="003030B4">
        <w:rPr>
          <w:rFonts w:ascii="Times New Roman" w:hAnsi="Times New Roman"/>
          <w:szCs w:val="24"/>
          <w:lang w:val="bg-BG"/>
        </w:rPr>
        <w:t xml:space="preserve">са проведени редица двустранни консултации с потребителите на АНО, ЕК и ОПЕ. На 31.03.2017 г. Европейската комисия обяви, че решението за ревизиране на плана е взето с консенсус от Комитета за единно европейско небе. Последното бе публикувано под № 1985/31.10.2017 г. </w:t>
      </w:r>
      <w:bookmarkStart w:id="1" w:name="_Hlk502831430"/>
      <w:r w:rsidR="004B68C3" w:rsidRPr="003030B4">
        <w:rPr>
          <w:rFonts w:ascii="Times New Roman" w:hAnsi="Times New Roman"/>
          <w:szCs w:val="24"/>
          <w:lang w:val="bg-BG"/>
        </w:rPr>
        <w:t xml:space="preserve">С решение № 2376/15.12.2017 г. е постановено, че </w:t>
      </w:r>
      <w:bookmarkEnd w:id="1"/>
      <w:r w:rsidR="004B68C3" w:rsidRPr="003030B4">
        <w:rPr>
          <w:rFonts w:ascii="Times New Roman" w:hAnsi="Times New Roman"/>
          <w:szCs w:val="24"/>
          <w:lang w:val="bg-BG"/>
        </w:rPr>
        <w:t xml:space="preserve">преразгледаните цели на </w:t>
      </w:r>
      <w:r w:rsidR="009D400A">
        <w:rPr>
          <w:rFonts w:ascii="Times New Roman" w:hAnsi="Times New Roman"/>
          <w:szCs w:val="24"/>
          <w:lang w:val="bg-BG"/>
        </w:rPr>
        <w:t xml:space="preserve">Република </w:t>
      </w:r>
      <w:r w:rsidR="004B68C3" w:rsidRPr="003030B4">
        <w:rPr>
          <w:rFonts w:ascii="Times New Roman" w:hAnsi="Times New Roman"/>
          <w:szCs w:val="24"/>
          <w:lang w:val="bg-BG"/>
        </w:rPr>
        <w:t>България за 2017 г., 2018 г. и 2019 г. са съгласувани с валидните за целия Съюз цели за ключовата за ефективността област „ефективност на разходите“, отнасящи се за втория референтен период.</w:t>
      </w:r>
    </w:p>
    <w:p w:rsidR="00B473F1" w:rsidRPr="003030B4" w:rsidRDefault="002A219F"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В</w:t>
      </w:r>
      <w:r w:rsidR="00B473F1" w:rsidRPr="003030B4">
        <w:rPr>
          <w:rFonts w:ascii="Times New Roman" w:hAnsi="Times New Roman"/>
          <w:szCs w:val="24"/>
          <w:lang w:val="bg-BG"/>
        </w:rPr>
        <w:t xml:space="preserve"> централата на Евроконтрол са проведени изискваните ежегодни многостранни консултации през м. юни и ноември 201</w:t>
      </w:r>
      <w:r w:rsidR="00DD7B62" w:rsidRPr="003030B4">
        <w:rPr>
          <w:rFonts w:ascii="Times New Roman" w:hAnsi="Times New Roman"/>
          <w:szCs w:val="24"/>
          <w:lang w:val="bg-BG"/>
        </w:rPr>
        <w:t>7</w:t>
      </w:r>
      <w:r w:rsidR="00B473F1" w:rsidRPr="003030B4">
        <w:rPr>
          <w:rFonts w:ascii="Times New Roman" w:hAnsi="Times New Roman"/>
          <w:szCs w:val="24"/>
          <w:lang w:val="bg-BG"/>
        </w:rPr>
        <w:t xml:space="preserve"> г. с ползвателите на въздушното пространство относно размера на таксата за прелитане на Република България за 201</w:t>
      </w:r>
      <w:r w:rsidR="00DD7B62" w:rsidRPr="003030B4">
        <w:rPr>
          <w:rFonts w:ascii="Times New Roman" w:hAnsi="Times New Roman"/>
          <w:szCs w:val="24"/>
          <w:lang w:val="bg-BG"/>
        </w:rPr>
        <w:t>8</w:t>
      </w:r>
      <w:r w:rsidR="00B473F1" w:rsidRPr="003030B4">
        <w:rPr>
          <w:rFonts w:ascii="Times New Roman" w:hAnsi="Times New Roman"/>
          <w:szCs w:val="24"/>
          <w:lang w:val="bg-BG"/>
        </w:rPr>
        <w:t xml:space="preserve"> г. и предоставянето на АНО през втория референтен период. </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Таксовата единица се определя на основа на прогнозните данни за годишната разходна база, броя на обслужените единици, генерирани в обслужваното въздушно пространство на Република България и разходите на Евроконтрол по обслужване на системата за събиране на аеронавигационните такси при прелитане. </w:t>
      </w:r>
    </w:p>
    <w:p w:rsidR="00B473F1" w:rsidRPr="003030B4" w:rsidRDefault="00B473F1" w:rsidP="009D400A">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В разходната база „прелитане” е включена разходната база на националния </w:t>
      </w:r>
      <w:r w:rsidR="00E7782D">
        <w:rPr>
          <w:rFonts w:ascii="Times New Roman" w:hAnsi="Times New Roman"/>
          <w:szCs w:val="24"/>
          <w:lang w:val="bg-BG"/>
        </w:rPr>
        <w:t>надзорен орган съгласно чл. 16в</w:t>
      </w:r>
      <w:r w:rsidRPr="003030B4">
        <w:rPr>
          <w:rFonts w:ascii="Times New Roman" w:hAnsi="Times New Roman"/>
          <w:szCs w:val="24"/>
          <w:lang w:val="bg-BG"/>
        </w:rPr>
        <w:t xml:space="preserve"> от </w:t>
      </w:r>
      <w:r w:rsidR="009D400A">
        <w:rPr>
          <w:rFonts w:ascii="Times New Roman" w:hAnsi="Times New Roman"/>
          <w:szCs w:val="24"/>
          <w:lang w:val="bg-BG"/>
        </w:rPr>
        <w:t>Закона за гражданското въздухоплаване (</w:t>
      </w:r>
      <w:r w:rsidRPr="003030B4">
        <w:rPr>
          <w:rFonts w:ascii="Times New Roman" w:hAnsi="Times New Roman"/>
          <w:szCs w:val="24"/>
          <w:lang w:val="bg-BG"/>
        </w:rPr>
        <w:t>ЗГВ</w:t>
      </w:r>
      <w:r w:rsidR="009D400A">
        <w:rPr>
          <w:rFonts w:ascii="Times New Roman" w:hAnsi="Times New Roman"/>
          <w:szCs w:val="24"/>
          <w:lang w:val="bg-BG"/>
        </w:rPr>
        <w:t>)</w:t>
      </w:r>
      <w:r w:rsidRPr="003030B4">
        <w:rPr>
          <w:rFonts w:ascii="Times New Roman" w:hAnsi="Times New Roman"/>
          <w:szCs w:val="24"/>
          <w:lang w:val="bg-BG"/>
        </w:rPr>
        <w:t>. С</w:t>
      </w:r>
      <w:r w:rsidR="009D400A">
        <w:rPr>
          <w:rFonts w:ascii="Times New Roman" w:hAnsi="Times New Roman"/>
          <w:szCs w:val="24"/>
          <w:lang w:val="bg-BG"/>
        </w:rPr>
        <w:t xml:space="preserve">ъщата е изготвена на основание </w:t>
      </w:r>
      <w:r w:rsidR="009D400A" w:rsidRPr="009D400A">
        <w:rPr>
          <w:rFonts w:ascii="Times New Roman" w:hAnsi="Times New Roman"/>
          <w:szCs w:val="24"/>
          <w:lang w:val="bg-BG"/>
        </w:rPr>
        <w:t>Регламент (ЕО) №</w:t>
      </w:r>
      <w:r w:rsidR="009D400A">
        <w:rPr>
          <w:rFonts w:ascii="Times New Roman" w:hAnsi="Times New Roman"/>
          <w:szCs w:val="24"/>
          <w:lang w:val="bg-BG"/>
        </w:rPr>
        <w:t xml:space="preserve"> </w:t>
      </w:r>
      <w:r w:rsidR="009D400A" w:rsidRPr="009D400A">
        <w:rPr>
          <w:rFonts w:ascii="Times New Roman" w:hAnsi="Times New Roman"/>
          <w:szCs w:val="24"/>
          <w:lang w:val="bg-BG"/>
        </w:rPr>
        <w:t xml:space="preserve">550/2004 </w:t>
      </w:r>
      <w:r w:rsidR="009D400A">
        <w:rPr>
          <w:rFonts w:ascii="Times New Roman" w:hAnsi="Times New Roman"/>
          <w:szCs w:val="24"/>
          <w:lang w:val="bg-BG"/>
        </w:rPr>
        <w:t>на Европейския парламент и на С</w:t>
      </w:r>
      <w:r w:rsidR="009D400A" w:rsidRPr="009D400A">
        <w:rPr>
          <w:rFonts w:ascii="Times New Roman" w:hAnsi="Times New Roman"/>
          <w:szCs w:val="24"/>
          <w:lang w:val="bg-BG"/>
        </w:rPr>
        <w:t>ъвета</w:t>
      </w:r>
      <w:r w:rsidR="009D400A">
        <w:rPr>
          <w:rFonts w:ascii="Times New Roman" w:hAnsi="Times New Roman"/>
          <w:szCs w:val="24"/>
          <w:lang w:val="bg-BG"/>
        </w:rPr>
        <w:t xml:space="preserve"> от 10 март 2004 г. </w:t>
      </w:r>
      <w:r w:rsidR="009D400A" w:rsidRPr="009D400A">
        <w:rPr>
          <w:rFonts w:ascii="Times New Roman" w:hAnsi="Times New Roman"/>
          <w:szCs w:val="24"/>
          <w:lang w:val="bg-BG"/>
        </w:rPr>
        <w:t>за осигуряването на аеронавигационно обслужване в единното европейско небе</w:t>
      </w:r>
      <w:r w:rsidR="009D400A">
        <w:rPr>
          <w:rFonts w:ascii="Times New Roman" w:hAnsi="Times New Roman"/>
          <w:szCs w:val="24"/>
          <w:lang w:val="bg-BG"/>
        </w:rPr>
        <w:t xml:space="preserve"> (</w:t>
      </w:r>
      <w:r w:rsidR="009D400A" w:rsidRPr="009D400A">
        <w:rPr>
          <w:rFonts w:ascii="Times New Roman" w:hAnsi="Times New Roman"/>
          <w:szCs w:val="24"/>
          <w:lang w:val="bg-BG"/>
        </w:rPr>
        <w:t>ОВ</w:t>
      </w:r>
      <w:r w:rsidR="009D400A">
        <w:rPr>
          <w:rFonts w:ascii="Times New Roman" w:hAnsi="Times New Roman"/>
          <w:szCs w:val="24"/>
          <w:lang w:val="bg-BG"/>
        </w:rPr>
        <w:t>, L 96 от 2004 г.) (</w:t>
      </w:r>
      <w:r w:rsidR="009D400A" w:rsidRPr="009D400A">
        <w:rPr>
          <w:rFonts w:ascii="Times New Roman" w:hAnsi="Times New Roman"/>
          <w:szCs w:val="24"/>
          <w:lang w:val="bg-BG"/>
        </w:rPr>
        <w:t>Регламент (ЕО) № 550/2004</w:t>
      </w:r>
      <w:r w:rsidR="009D400A">
        <w:rPr>
          <w:rFonts w:ascii="Times New Roman" w:hAnsi="Times New Roman"/>
          <w:szCs w:val="24"/>
          <w:lang w:val="bg-BG"/>
        </w:rPr>
        <w:t>)</w:t>
      </w:r>
      <w:r w:rsidR="009D400A" w:rsidRPr="009D400A">
        <w:rPr>
          <w:rFonts w:ascii="Times New Roman" w:hAnsi="Times New Roman"/>
          <w:szCs w:val="24"/>
          <w:lang w:val="bg-BG"/>
        </w:rPr>
        <w:t>.</w:t>
      </w:r>
      <w:r w:rsidR="009D400A">
        <w:rPr>
          <w:rFonts w:ascii="Times New Roman" w:hAnsi="Times New Roman"/>
          <w:szCs w:val="24"/>
          <w:lang w:val="bg-BG"/>
        </w:rPr>
        <w:t xml:space="preserve"> </w:t>
      </w:r>
      <w:r w:rsidRPr="003030B4">
        <w:rPr>
          <w:rFonts w:ascii="Times New Roman" w:hAnsi="Times New Roman"/>
          <w:szCs w:val="24"/>
          <w:lang w:val="bg-BG"/>
        </w:rPr>
        <w:t>Към нея и във връзка с чл. 141а от ЗГВ са включени и разходите във връзка с Националния план за търсене и спасяване при авиационни произшествия.</w:t>
      </w:r>
    </w:p>
    <w:p w:rsidR="00B473F1" w:rsidRPr="003030B4" w:rsidRDefault="009719AD"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В резултат на всички консултации, както и с оглед на посочените две решения за изпълнение на Европейската комисия</w:t>
      </w:r>
      <w:r w:rsidR="00B473F1" w:rsidRPr="003030B4">
        <w:rPr>
          <w:rFonts w:ascii="Times New Roman" w:hAnsi="Times New Roman"/>
          <w:szCs w:val="24"/>
          <w:lang w:val="bg-BG"/>
        </w:rPr>
        <w:t xml:space="preserve">, е съгласувана и приета базовата таксова единица „прелитане” на Република България в размер на </w:t>
      </w:r>
      <w:r w:rsidR="002D6213" w:rsidRPr="003030B4">
        <w:rPr>
          <w:rFonts w:ascii="Times New Roman" w:hAnsi="Times New Roman"/>
          <w:szCs w:val="24"/>
          <w:lang w:val="bg-BG"/>
        </w:rPr>
        <w:t>26.72</w:t>
      </w:r>
      <w:r w:rsidR="00B473F1" w:rsidRPr="003030B4">
        <w:rPr>
          <w:rFonts w:ascii="Times New Roman" w:hAnsi="Times New Roman"/>
          <w:szCs w:val="24"/>
          <w:lang w:val="bg-BG"/>
        </w:rPr>
        <w:t xml:space="preserve"> евро. В този размер на националната таксова единица е включен и компонент, отразяващ разходите на Бюрото за събиране на таксите за аеронавигационно обслужване към Евроконтрол в размер на </w:t>
      </w:r>
      <w:r w:rsidR="006841A4" w:rsidRPr="003030B4">
        <w:rPr>
          <w:rFonts w:ascii="Times New Roman" w:hAnsi="Times New Roman"/>
          <w:szCs w:val="24"/>
          <w:lang w:val="bg-BG"/>
        </w:rPr>
        <w:t>0.13</w:t>
      </w:r>
      <w:r w:rsidR="00B473F1" w:rsidRPr="003030B4">
        <w:rPr>
          <w:rFonts w:ascii="Times New Roman" w:hAnsi="Times New Roman"/>
          <w:szCs w:val="24"/>
          <w:lang w:val="bg-BG"/>
        </w:rPr>
        <w:t xml:space="preserve"> евро. </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Съгласно изискванията на Регламент (ЕС) </w:t>
      </w:r>
      <w:r w:rsidRPr="003030B4">
        <w:rPr>
          <w:rFonts w:ascii="Times New Roman" w:hAnsi="Times New Roman"/>
          <w:lang w:val="bg-BG"/>
        </w:rPr>
        <w:t>№ 391/2013</w:t>
      </w:r>
      <w:r w:rsidRPr="003030B4">
        <w:rPr>
          <w:rFonts w:ascii="Times New Roman" w:hAnsi="Times New Roman"/>
          <w:szCs w:val="24"/>
          <w:lang w:val="bg-BG"/>
        </w:rPr>
        <w:t xml:space="preserve"> националната разходна база се определя в национална валута, но с оглед на издаването на общи фактури за таксуване на аеронавигационното обслужване, таксовите единици „прелитане” на всички страни-членки на Евроконтрол се</w:t>
      </w:r>
      <w:r w:rsidR="00E17043">
        <w:rPr>
          <w:rFonts w:ascii="Times New Roman" w:hAnsi="Times New Roman"/>
          <w:szCs w:val="24"/>
          <w:lang w:val="bg-BG"/>
        </w:rPr>
        <w:t xml:space="preserve"> преизчисляват в евро. За целта</w:t>
      </w:r>
      <w:r w:rsidRPr="003030B4">
        <w:rPr>
          <w:rFonts w:ascii="Times New Roman" w:hAnsi="Times New Roman"/>
          <w:szCs w:val="24"/>
          <w:lang w:val="bg-BG"/>
        </w:rPr>
        <w:t xml:space="preserve"> националната разхо</w:t>
      </w:r>
      <w:r w:rsidR="00E17043">
        <w:rPr>
          <w:rFonts w:ascii="Times New Roman" w:hAnsi="Times New Roman"/>
          <w:szCs w:val="24"/>
          <w:lang w:val="bg-BG"/>
        </w:rPr>
        <w:t>дна база се преизчислява в евро</w:t>
      </w:r>
      <w:r w:rsidRPr="003030B4">
        <w:rPr>
          <w:rFonts w:ascii="Times New Roman" w:hAnsi="Times New Roman"/>
          <w:szCs w:val="24"/>
          <w:lang w:val="bg-BG"/>
        </w:rPr>
        <w:t xml:space="preserve"> като съгласно Принципите и Условията за прилагане на системата за пътни такси и условията на плащане на Евроконтрол се използва осреднения месечен кръстосан курс „купув</w:t>
      </w:r>
      <w:r w:rsidR="00E17043">
        <w:rPr>
          <w:rFonts w:ascii="Times New Roman" w:hAnsi="Times New Roman"/>
          <w:szCs w:val="24"/>
          <w:lang w:val="bg-BG"/>
        </w:rPr>
        <w:t>а” на еврото към българския лев</w:t>
      </w:r>
      <w:r w:rsidRPr="003030B4">
        <w:rPr>
          <w:rFonts w:ascii="Times New Roman" w:hAnsi="Times New Roman"/>
          <w:szCs w:val="24"/>
          <w:lang w:val="bg-BG"/>
        </w:rPr>
        <w:t xml:space="preserve"> на Ройтерс, при затваряне за месец септември на текущата година (в случая за м. септември </w:t>
      </w:r>
      <w:r w:rsidR="002A219F" w:rsidRPr="003030B4">
        <w:rPr>
          <w:rFonts w:ascii="Times New Roman" w:hAnsi="Times New Roman"/>
          <w:szCs w:val="24"/>
          <w:lang w:val="bg-BG"/>
        </w:rPr>
        <w:t xml:space="preserve">2017 </w:t>
      </w:r>
      <w:r w:rsidRPr="003030B4">
        <w:rPr>
          <w:rFonts w:ascii="Times New Roman" w:hAnsi="Times New Roman"/>
          <w:szCs w:val="24"/>
          <w:lang w:val="bg-BG"/>
        </w:rPr>
        <w:t>г. – 1.</w:t>
      </w:r>
      <w:r w:rsidR="002A219F" w:rsidRPr="003030B4">
        <w:rPr>
          <w:rFonts w:ascii="Times New Roman" w:hAnsi="Times New Roman"/>
          <w:szCs w:val="24"/>
          <w:lang w:val="bg-BG"/>
        </w:rPr>
        <w:t xml:space="preserve">95529 </w:t>
      </w:r>
      <w:r w:rsidRPr="003030B4">
        <w:rPr>
          <w:rFonts w:ascii="Times New Roman" w:hAnsi="Times New Roman"/>
          <w:szCs w:val="24"/>
          <w:lang w:val="bg-BG"/>
        </w:rPr>
        <w:t>лв. за 1 евро).</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Базовата таксова единица за 201</w:t>
      </w:r>
      <w:r w:rsidR="00D13B5D" w:rsidRPr="003030B4">
        <w:rPr>
          <w:rFonts w:ascii="Times New Roman" w:hAnsi="Times New Roman"/>
          <w:szCs w:val="24"/>
          <w:lang w:val="bg-BG"/>
        </w:rPr>
        <w:t>8</w:t>
      </w:r>
      <w:r w:rsidRPr="003030B4">
        <w:rPr>
          <w:rFonts w:ascii="Times New Roman" w:hAnsi="Times New Roman"/>
          <w:szCs w:val="24"/>
          <w:lang w:val="bg-BG"/>
        </w:rPr>
        <w:t xml:space="preserve"> г. на </w:t>
      </w:r>
      <w:r w:rsidR="009D400A">
        <w:rPr>
          <w:rFonts w:ascii="Times New Roman" w:hAnsi="Times New Roman"/>
          <w:szCs w:val="24"/>
          <w:lang w:val="bg-BG"/>
        </w:rPr>
        <w:t xml:space="preserve">Република </w:t>
      </w:r>
      <w:r w:rsidRPr="003030B4">
        <w:rPr>
          <w:rFonts w:ascii="Times New Roman" w:hAnsi="Times New Roman"/>
          <w:szCs w:val="24"/>
          <w:lang w:val="bg-BG"/>
        </w:rPr>
        <w:t>България, определена от Разширения комитет на Евроконтрол, е обект на ежемесечно коригиране съгласно разпоредбите на чл. 7.2 от Условията за прилагане на системата за пътни такси и условията за плащане. Предвид режима на валутен б</w:t>
      </w:r>
      <w:r w:rsidR="009D400A">
        <w:rPr>
          <w:rFonts w:ascii="Times New Roman" w:hAnsi="Times New Roman"/>
          <w:szCs w:val="24"/>
          <w:lang w:val="bg-BG"/>
        </w:rPr>
        <w:t>орд, установен със Закона за Българската народна банка</w:t>
      </w:r>
      <w:r w:rsidRPr="003030B4">
        <w:rPr>
          <w:rFonts w:ascii="Times New Roman" w:hAnsi="Times New Roman"/>
          <w:szCs w:val="24"/>
          <w:lang w:val="bg-BG"/>
        </w:rPr>
        <w:t xml:space="preserve"> в нашата страна, колебанието в таксовата единица „прелитане” в някои месеци се очаква да бъде не повече от 2-3 евроцентa спрямо базовата й стойност.</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Страните-членки на </w:t>
      </w:r>
      <w:r w:rsidR="009D400A">
        <w:rPr>
          <w:rFonts w:ascii="Times New Roman" w:hAnsi="Times New Roman"/>
          <w:szCs w:val="24"/>
          <w:lang w:val="bg-BG"/>
        </w:rPr>
        <w:t xml:space="preserve">Евроконтрол решиха също така за </w:t>
      </w:r>
      <w:r w:rsidRPr="003030B4">
        <w:rPr>
          <w:rFonts w:ascii="Times New Roman" w:hAnsi="Times New Roman"/>
          <w:szCs w:val="24"/>
          <w:lang w:val="bg-BG"/>
        </w:rPr>
        <w:t>201</w:t>
      </w:r>
      <w:r w:rsidR="00D13B5D" w:rsidRPr="003030B4">
        <w:rPr>
          <w:rFonts w:ascii="Times New Roman" w:hAnsi="Times New Roman"/>
          <w:szCs w:val="24"/>
          <w:lang w:val="bg-BG"/>
        </w:rPr>
        <w:t>8</w:t>
      </w:r>
      <w:r w:rsidRPr="003030B4">
        <w:rPr>
          <w:rFonts w:ascii="Times New Roman" w:hAnsi="Times New Roman"/>
          <w:szCs w:val="24"/>
          <w:lang w:val="bg-BG"/>
        </w:rPr>
        <w:t xml:space="preserve"> г. лихвеният процент за просрочено плащане на таксите за аеронавигационно обслужване при прелитане да бъде в размер на </w:t>
      </w:r>
      <w:r w:rsidR="00D13B5D" w:rsidRPr="003030B4">
        <w:rPr>
          <w:rFonts w:ascii="Times New Roman" w:hAnsi="Times New Roman"/>
          <w:szCs w:val="24"/>
          <w:lang w:val="bg-BG"/>
        </w:rPr>
        <w:t>9.74</w:t>
      </w:r>
      <w:r w:rsidRPr="003030B4">
        <w:rPr>
          <w:rFonts w:ascii="Times New Roman" w:hAnsi="Times New Roman"/>
          <w:szCs w:val="24"/>
          <w:lang w:val="bg-BG"/>
        </w:rPr>
        <w:t>% на годишна база.</w:t>
      </w:r>
    </w:p>
    <w:p w:rsidR="00E26C53" w:rsidRPr="003030B4" w:rsidRDefault="00E26C53" w:rsidP="00E26C53">
      <w:pPr>
        <w:shd w:val="clear" w:color="auto" w:fill="FFFFFF"/>
        <w:ind w:firstLine="708"/>
        <w:jc w:val="both"/>
        <w:textAlignment w:val="center"/>
        <w:rPr>
          <w:rFonts w:ascii="Times New Roman" w:hAnsi="Times New Roman"/>
          <w:b/>
          <w:szCs w:val="24"/>
        </w:rPr>
      </w:pPr>
    </w:p>
    <w:p w:rsidR="00F1033F" w:rsidRPr="003030B4" w:rsidRDefault="003030B4" w:rsidP="00B473F1">
      <w:pPr>
        <w:pStyle w:val="BodyTextIndent2"/>
        <w:spacing w:after="0" w:line="240" w:lineRule="auto"/>
        <w:ind w:left="0" w:firstLine="708"/>
        <w:jc w:val="both"/>
        <w:rPr>
          <w:rFonts w:ascii="Times New Roman" w:hAnsi="Times New Roman"/>
          <w:b/>
          <w:szCs w:val="24"/>
          <w:lang w:val="bg-BG"/>
        </w:rPr>
      </w:pPr>
      <w:r w:rsidRPr="003030B4">
        <w:rPr>
          <w:rFonts w:ascii="Times New Roman" w:hAnsi="Times New Roman"/>
          <w:b/>
          <w:szCs w:val="24"/>
          <w:lang w:val="bg-BG"/>
        </w:rPr>
        <w:t xml:space="preserve">II. </w:t>
      </w:r>
      <w:r w:rsidR="00D928A6" w:rsidRPr="003030B4">
        <w:rPr>
          <w:rFonts w:ascii="Times New Roman" w:hAnsi="Times New Roman"/>
          <w:b/>
          <w:szCs w:val="24"/>
          <w:lang w:val="bg-BG"/>
        </w:rPr>
        <w:t>Изменения, свързани с промяна на таксовата единица в</w:t>
      </w:r>
      <w:r w:rsidR="00F1033F" w:rsidRPr="003030B4">
        <w:rPr>
          <w:rFonts w:ascii="Times New Roman" w:hAnsi="Times New Roman"/>
          <w:b/>
          <w:szCs w:val="24"/>
          <w:lang w:val="bg-BG"/>
        </w:rPr>
        <w:t xml:space="preserve"> зоните и районите на летищата на Зона 1 - летище София (LBSF), което подлежи на регулация в съответствие с изискванията на Регламент </w:t>
      </w:r>
      <w:r w:rsidR="00E17043" w:rsidRPr="00E17043">
        <w:rPr>
          <w:rFonts w:ascii="Times New Roman" w:hAnsi="Times New Roman"/>
          <w:b/>
          <w:szCs w:val="24"/>
          <w:lang w:val="bg-BG"/>
        </w:rPr>
        <w:t xml:space="preserve">(ЕС) № </w:t>
      </w:r>
      <w:r w:rsidR="00F1033F" w:rsidRPr="003030B4">
        <w:rPr>
          <w:rFonts w:ascii="Times New Roman" w:hAnsi="Times New Roman"/>
          <w:b/>
          <w:szCs w:val="24"/>
          <w:lang w:val="bg-BG"/>
        </w:rPr>
        <w:t xml:space="preserve">390/2013 </w:t>
      </w:r>
    </w:p>
    <w:p w:rsidR="00E26C53" w:rsidRPr="003030B4" w:rsidRDefault="00E26C53" w:rsidP="00E26C53">
      <w:pPr>
        <w:pStyle w:val="BodyTextIndent2"/>
        <w:spacing w:after="0" w:line="240" w:lineRule="auto"/>
        <w:ind w:left="0" w:firstLine="720"/>
        <w:jc w:val="both"/>
        <w:rPr>
          <w:rFonts w:ascii="Times New Roman" w:hAnsi="Times New Roman"/>
          <w:szCs w:val="24"/>
          <w:lang w:val="bg-BG"/>
        </w:rPr>
      </w:pPr>
    </w:p>
    <w:p w:rsidR="00E26C53" w:rsidRPr="003030B4" w:rsidRDefault="00E26C53" w:rsidP="00E26C53">
      <w:pPr>
        <w:shd w:val="clear" w:color="auto" w:fill="FFFFFF"/>
        <w:ind w:firstLine="708"/>
        <w:jc w:val="both"/>
        <w:textAlignment w:val="center"/>
        <w:rPr>
          <w:rFonts w:ascii="Times New Roman" w:hAnsi="Times New Roman"/>
          <w:b/>
          <w:szCs w:val="24"/>
        </w:rPr>
      </w:pPr>
      <w:r w:rsidRPr="003030B4">
        <w:rPr>
          <w:rFonts w:ascii="Times New Roman" w:hAnsi="Times New Roman"/>
          <w:b/>
          <w:szCs w:val="24"/>
        </w:rPr>
        <w:t>Предложение за промени</w:t>
      </w:r>
    </w:p>
    <w:p w:rsidR="00D928A6" w:rsidRPr="003030B4" w:rsidRDefault="00D928A6" w:rsidP="00D928A6">
      <w:pPr>
        <w:shd w:val="clear" w:color="auto" w:fill="FFFFFF"/>
        <w:ind w:firstLine="708"/>
        <w:jc w:val="both"/>
        <w:textAlignment w:val="center"/>
        <w:rPr>
          <w:rFonts w:ascii="Times New Roman" w:hAnsi="Times New Roman"/>
          <w:szCs w:val="24"/>
        </w:rPr>
      </w:pPr>
      <w:r w:rsidRPr="003030B4">
        <w:rPr>
          <w:rFonts w:ascii="Times New Roman" w:hAnsi="Times New Roman"/>
          <w:szCs w:val="24"/>
        </w:rPr>
        <w:lastRenderedPageBreak/>
        <w:t xml:space="preserve">В чл. 19, ал. 3 стойността на осреднената таксова единица за обслужване в зоните и районите на летищата за летище София (LBSF) да се промени от </w:t>
      </w:r>
      <w:r w:rsidR="006E6BDA" w:rsidRPr="003030B4">
        <w:rPr>
          <w:rFonts w:ascii="Times New Roman" w:hAnsi="Times New Roman"/>
          <w:szCs w:val="24"/>
        </w:rPr>
        <w:t>396.46</w:t>
      </w:r>
      <w:r w:rsidRPr="003030B4">
        <w:rPr>
          <w:rFonts w:ascii="Times New Roman" w:hAnsi="Times New Roman"/>
          <w:szCs w:val="24"/>
        </w:rPr>
        <w:t xml:space="preserve"> лв. на </w:t>
      </w:r>
      <w:r w:rsidR="006E6BDA" w:rsidRPr="003030B4">
        <w:rPr>
          <w:rFonts w:ascii="Times New Roman" w:hAnsi="Times New Roman"/>
          <w:szCs w:val="24"/>
        </w:rPr>
        <w:t>324.36</w:t>
      </w:r>
      <w:r w:rsidRPr="003030B4">
        <w:rPr>
          <w:rFonts w:ascii="Times New Roman" w:hAnsi="Times New Roman"/>
          <w:szCs w:val="24"/>
        </w:rPr>
        <w:t xml:space="preserve"> лв.</w:t>
      </w:r>
    </w:p>
    <w:p w:rsidR="00F1033F" w:rsidRPr="003030B4" w:rsidRDefault="00F1033F" w:rsidP="00F1033F">
      <w:pPr>
        <w:pStyle w:val="BodyTextIndent2"/>
        <w:spacing w:after="0" w:line="240" w:lineRule="auto"/>
        <w:ind w:left="720"/>
        <w:jc w:val="both"/>
        <w:rPr>
          <w:rFonts w:ascii="Times New Roman" w:hAnsi="Times New Roman"/>
          <w:szCs w:val="24"/>
          <w:lang w:val="bg-BG"/>
        </w:rPr>
      </w:pPr>
    </w:p>
    <w:p w:rsidR="00F1033F" w:rsidRPr="003030B4" w:rsidRDefault="00F1033F" w:rsidP="00F1033F">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Пром</w:t>
      </w:r>
      <w:r w:rsidR="00D928A6" w:rsidRPr="003030B4">
        <w:rPr>
          <w:rFonts w:ascii="Times New Roman" w:hAnsi="Times New Roman"/>
          <w:szCs w:val="24"/>
          <w:lang w:val="bg-BG"/>
        </w:rPr>
        <w:t>я</w:t>
      </w:r>
      <w:r w:rsidRPr="003030B4">
        <w:rPr>
          <w:rFonts w:ascii="Times New Roman" w:hAnsi="Times New Roman"/>
          <w:szCs w:val="24"/>
          <w:lang w:val="bg-BG"/>
        </w:rPr>
        <w:t>н</w:t>
      </w:r>
      <w:r w:rsidR="00D928A6" w:rsidRPr="003030B4">
        <w:rPr>
          <w:rFonts w:ascii="Times New Roman" w:hAnsi="Times New Roman"/>
          <w:szCs w:val="24"/>
          <w:lang w:val="bg-BG"/>
        </w:rPr>
        <w:t>а</w:t>
      </w:r>
      <w:r w:rsidRPr="003030B4">
        <w:rPr>
          <w:rFonts w:ascii="Times New Roman" w:hAnsi="Times New Roman"/>
          <w:szCs w:val="24"/>
          <w:lang w:val="bg-BG"/>
        </w:rPr>
        <w:t>т</w:t>
      </w:r>
      <w:r w:rsidR="00D928A6" w:rsidRPr="003030B4">
        <w:rPr>
          <w:rFonts w:ascii="Times New Roman" w:hAnsi="Times New Roman"/>
          <w:szCs w:val="24"/>
          <w:lang w:val="bg-BG"/>
        </w:rPr>
        <w:t>а</w:t>
      </w:r>
      <w:r w:rsidRPr="003030B4">
        <w:rPr>
          <w:rFonts w:ascii="Times New Roman" w:hAnsi="Times New Roman"/>
          <w:szCs w:val="24"/>
          <w:lang w:val="bg-BG"/>
        </w:rPr>
        <w:t xml:space="preserve"> влиза в сила от 01.01.</w:t>
      </w:r>
      <w:r w:rsidR="002C1C0E" w:rsidRPr="003030B4">
        <w:rPr>
          <w:rFonts w:ascii="Times New Roman" w:hAnsi="Times New Roman"/>
          <w:szCs w:val="24"/>
          <w:lang w:val="bg-BG"/>
        </w:rPr>
        <w:t>201</w:t>
      </w:r>
      <w:r w:rsidR="008035D1" w:rsidRPr="003030B4">
        <w:rPr>
          <w:rFonts w:ascii="Times New Roman" w:hAnsi="Times New Roman"/>
          <w:szCs w:val="24"/>
          <w:lang w:val="bg-BG"/>
        </w:rPr>
        <w:t>8</w:t>
      </w:r>
      <w:r w:rsidRPr="003030B4">
        <w:rPr>
          <w:rFonts w:ascii="Times New Roman" w:hAnsi="Times New Roman"/>
          <w:szCs w:val="24"/>
          <w:lang w:val="bg-BG"/>
        </w:rPr>
        <w:t xml:space="preserve"> г.</w:t>
      </w:r>
    </w:p>
    <w:p w:rsidR="00E26C53" w:rsidRPr="003030B4" w:rsidRDefault="00E26C53" w:rsidP="00E26C53">
      <w:pPr>
        <w:pStyle w:val="BodyTextIndent2"/>
        <w:spacing w:after="0" w:line="240" w:lineRule="auto"/>
        <w:ind w:left="0" w:firstLine="720"/>
        <w:jc w:val="both"/>
        <w:rPr>
          <w:rFonts w:ascii="Times New Roman" w:hAnsi="Times New Roman"/>
          <w:szCs w:val="24"/>
          <w:lang w:val="bg-BG"/>
        </w:rPr>
      </w:pPr>
    </w:p>
    <w:p w:rsidR="00E26C53" w:rsidRPr="003030B4" w:rsidRDefault="00E26C53" w:rsidP="00E26C53">
      <w:pPr>
        <w:ind w:firstLine="708"/>
        <w:jc w:val="both"/>
        <w:rPr>
          <w:rFonts w:ascii="Times New Roman" w:hAnsi="Times New Roman"/>
          <w:b/>
          <w:szCs w:val="24"/>
        </w:rPr>
      </w:pPr>
      <w:r w:rsidRPr="003030B4">
        <w:rPr>
          <w:rFonts w:ascii="Times New Roman" w:hAnsi="Times New Roman"/>
          <w:b/>
          <w:szCs w:val="24"/>
        </w:rPr>
        <w:t>Мотиви</w:t>
      </w:r>
    </w:p>
    <w:p w:rsidR="00D928A6" w:rsidRPr="003030B4" w:rsidRDefault="00D928A6" w:rsidP="00E26C53">
      <w:pPr>
        <w:ind w:firstLine="708"/>
        <w:jc w:val="both"/>
        <w:rPr>
          <w:rFonts w:ascii="Times New Roman" w:hAnsi="Times New Roman"/>
          <w:i/>
          <w:szCs w:val="24"/>
        </w:rPr>
      </w:pPr>
    </w:p>
    <w:p w:rsidR="00B473F1" w:rsidRPr="003030B4" w:rsidRDefault="00B473F1" w:rsidP="00B473F1">
      <w:pPr>
        <w:autoSpaceDE w:val="0"/>
        <w:autoSpaceDN w:val="0"/>
        <w:adjustRightInd w:val="0"/>
        <w:ind w:firstLine="708"/>
        <w:jc w:val="both"/>
        <w:rPr>
          <w:rFonts w:ascii="Times New Roman" w:hAnsi="Times New Roman"/>
          <w:color w:val="000000"/>
          <w:szCs w:val="24"/>
        </w:rPr>
      </w:pPr>
      <w:r w:rsidRPr="003030B4">
        <w:rPr>
          <w:rFonts w:ascii="Times New Roman" w:hAnsi="Times New Roman"/>
          <w:szCs w:val="24"/>
        </w:rPr>
        <w:t xml:space="preserve">Определянето на дължимите таксите в зоните и районите на летищата за предоставено и ползвано АНО е </w:t>
      </w:r>
      <w:r w:rsidR="00E17043">
        <w:rPr>
          <w:rFonts w:ascii="Times New Roman" w:hAnsi="Times New Roman"/>
          <w:szCs w:val="24"/>
        </w:rPr>
        <w:t>посочено</w:t>
      </w:r>
      <w:r w:rsidRPr="003030B4">
        <w:rPr>
          <w:rFonts w:ascii="Times New Roman" w:hAnsi="Times New Roman"/>
          <w:szCs w:val="24"/>
        </w:rPr>
        <w:t xml:space="preserve"> в чл. 12 на Регламент (ЕС) </w:t>
      </w:r>
      <w:r w:rsidRPr="003030B4">
        <w:rPr>
          <w:rFonts w:ascii="Times New Roman" w:hAnsi="Times New Roman"/>
        </w:rPr>
        <w:t>№ 390/2013 г</w:t>
      </w:r>
      <w:r w:rsidRPr="003030B4">
        <w:rPr>
          <w:rFonts w:ascii="Times New Roman" w:hAnsi="Times New Roman"/>
          <w:szCs w:val="24"/>
        </w:rPr>
        <w:t xml:space="preserve">. </w:t>
      </w:r>
      <w:r w:rsidRPr="003030B4">
        <w:rPr>
          <w:rFonts w:ascii="Times New Roman" w:hAnsi="Times New Roman"/>
          <w:color w:val="000000"/>
          <w:szCs w:val="24"/>
        </w:rPr>
        <w:t xml:space="preserve">В него има препратки към Анекс V, където </w:t>
      </w:r>
      <w:r w:rsidRPr="003030B4">
        <w:rPr>
          <w:rFonts w:ascii="Times New Roman" w:hAnsi="Times New Roman"/>
          <w:szCs w:val="24"/>
        </w:rPr>
        <w:t xml:space="preserve">в резюме </w:t>
      </w:r>
      <w:r w:rsidRPr="003030B4">
        <w:rPr>
          <w:rFonts w:ascii="Times New Roman" w:hAnsi="Times New Roman"/>
          <w:color w:val="000000"/>
          <w:szCs w:val="24"/>
        </w:rPr>
        <w:t>таксовата единица се определя като се разделят таксуваемите разхо</w:t>
      </w:r>
      <w:r w:rsidR="00E17043">
        <w:rPr>
          <w:rFonts w:ascii="Times New Roman" w:hAnsi="Times New Roman"/>
          <w:color w:val="000000"/>
          <w:szCs w:val="24"/>
        </w:rPr>
        <w:t>ди съгласно ПЕ</w:t>
      </w:r>
      <w:r w:rsidRPr="003030B4">
        <w:rPr>
          <w:rFonts w:ascii="Times New Roman" w:hAnsi="Times New Roman"/>
          <w:color w:val="000000"/>
          <w:szCs w:val="24"/>
        </w:rPr>
        <w:t xml:space="preserve"> на прогнозата за обслужените единици. </w:t>
      </w:r>
    </w:p>
    <w:p w:rsidR="00B473F1" w:rsidRPr="003030B4" w:rsidRDefault="00B473F1" w:rsidP="00B473F1">
      <w:pPr>
        <w:pStyle w:val="BodyTextIndent2"/>
        <w:spacing w:after="0" w:line="240" w:lineRule="auto"/>
        <w:ind w:left="0" w:firstLine="720"/>
        <w:jc w:val="both"/>
        <w:rPr>
          <w:rFonts w:ascii="Times New Roman" w:hAnsi="Times New Roman"/>
          <w:szCs w:val="24"/>
          <w:lang w:val="bg-BG"/>
        </w:rPr>
      </w:pPr>
      <w:r w:rsidRPr="003030B4">
        <w:rPr>
          <w:rFonts w:ascii="Times New Roman" w:hAnsi="Times New Roman"/>
          <w:szCs w:val="24"/>
          <w:lang w:val="bg-BG"/>
        </w:rPr>
        <w:t xml:space="preserve">В разходната база в зоните и районите на летищата е включена разходната база на националния надзорен </w:t>
      </w:r>
      <w:r w:rsidR="002068C0">
        <w:rPr>
          <w:rFonts w:ascii="Times New Roman" w:hAnsi="Times New Roman"/>
          <w:szCs w:val="24"/>
          <w:lang w:val="bg-BG"/>
        </w:rPr>
        <w:t>орган съгласно чл. 16в</w:t>
      </w:r>
      <w:r w:rsidRPr="003030B4">
        <w:rPr>
          <w:rFonts w:ascii="Times New Roman" w:hAnsi="Times New Roman"/>
          <w:szCs w:val="24"/>
          <w:lang w:val="bg-BG"/>
        </w:rPr>
        <w:t xml:space="preserve"> от ЗГВ. С</w:t>
      </w:r>
      <w:r w:rsidR="002068C0">
        <w:rPr>
          <w:rFonts w:ascii="Times New Roman" w:hAnsi="Times New Roman"/>
          <w:szCs w:val="24"/>
          <w:lang w:val="bg-BG"/>
        </w:rPr>
        <w:t>ъщата е изготвена на основание Р</w:t>
      </w:r>
      <w:r w:rsidRPr="003030B4">
        <w:rPr>
          <w:rFonts w:ascii="Times New Roman" w:hAnsi="Times New Roman"/>
          <w:szCs w:val="24"/>
          <w:lang w:val="bg-BG"/>
        </w:rPr>
        <w:t xml:space="preserve">егламент </w:t>
      </w:r>
      <w:r w:rsidR="002068C0">
        <w:rPr>
          <w:rFonts w:ascii="Times New Roman" w:hAnsi="Times New Roman"/>
          <w:szCs w:val="24"/>
          <w:lang w:val="bg-BG"/>
        </w:rPr>
        <w:t>(</w:t>
      </w:r>
      <w:r w:rsidR="002068C0" w:rsidRPr="002068C0">
        <w:rPr>
          <w:rFonts w:ascii="Times New Roman" w:hAnsi="Times New Roman"/>
          <w:szCs w:val="24"/>
          <w:lang w:val="bg-BG"/>
        </w:rPr>
        <w:t>ЕО) № 550/2004</w:t>
      </w:r>
      <w:r w:rsidRPr="003030B4">
        <w:rPr>
          <w:rFonts w:ascii="Times New Roman" w:hAnsi="Times New Roman"/>
          <w:szCs w:val="24"/>
          <w:lang w:val="bg-BG"/>
        </w:rPr>
        <w:t>.</w:t>
      </w:r>
    </w:p>
    <w:p w:rsidR="00B63EC1" w:rsidRDefault="00B473F1" w:rsidP="00B63EC1">
      <w:pPr>
        <w:autoSpaceDE w:val="0"/>
        <w:autoSpaceDN w:val="0"/>
        <w:adjustRightInd w:val="0"/>
        <w:ind w:firstLine="708"/>
        <w:jc w:val="both"/>
        <w:rPr>
          <w:rFonts w:ascii="Times New Roman" w:hAnsi="Times New Roman"/>
          <w:szCs w:val="24"/>
        </w:rPr>
      </w:pPr>
      <w:r w:rsidRPr="003030B4">
        <w:rPr>
          <w:rFonts w:ascii="Times New Roman" w:hAnsi="Times New Roman"/>
          <w:szCs w:val="24"/>
        </w:rPr>
        <w:t xml:space="preserve">Регламент (ЕС) № 390/2013 г. и </w:t>
      </w:r>
      <w:r w:rsidR="002068C0" w:rsidRPr="002068C0">
        <w:rPr>
          <w:rFonts w:ascii="Times New Roman" w:hAnsi="Times New Roman"/>
          <w:szCs w:val="24"/>
        </w:rPr>
        <w:t xml:space="preserve">Регламент (ЕС) № </w:t>
      </w:r>
      <w:r w:rsidRPr="003030B4">
        <w:rPr>
          <w:rFonts w:ascii="Times New Roman" w:hAnsi="Times New Roman"/>
          <w:szCs w:val="24"/>
        </w:rPr>
        <w:t xml:space="preserve">391/2013 г. предвиждат изключения от обхвата на прилагането си </w:t>
      </w:r>
      <w:r w:rsidRPr="003030B4">
        <w:rPr>
          <w:rFonts w:ascii="Times New Roman" w:hAnsi="Times New Roman"/>
          <w:color w:val="000000"/>
          <w:szCs w:val="24"/>
        </w:rPr>
        <w:t xml:space="preserve">при определянето на таксите за АНО в зоните и районите на летищата за </w:t>
      </w:r>
      <w:r w:rsidRPr="003030B4">
        <w:rPr>
          <w:rFonts w:ascii="Times New Roman" w:hAnsi="Times New Roman"/>
          <w:szCs w:val="24"/>
        </w:rPr>
        <w:t>лет</w:t>
      </w:r>
      <w:r w:rsidR="00E17043">
        <w:rPr>
          <w:rFonts w:ascii="Times New Roman" w:hAnsi="Times New Roman"/>
          <w:szCs w:val="24"/>
        </w:rPr>
        <w:t xml:space="preserve">ища, които имат по-малко от </w:t>
      </w:r>
      <w:r w:rsidRPr="003030B4">
        <w:rPr>
          <w:rFonts w:ascii="Times New Roman" w:hAnsi="Times New Roman"/>
          <w:szCs w:val="24"/>
        </w:rPr>
        <w:t>70,000 движения по прибори, но остават задължителни за прилагане за най-голямото летище като минимум. В Република България на този етап няма летища, които да генерират повече от 70,000 движения по прибори годишно. Тъй като летище София е най-голямото в страната, то попада в регулаторния механизъм на тези два регламента. В този смисъл съобразн</w:t>
      </w:r>
      <w:r w:rsidR="00E17043">
        <w:rPr>
          <w:rFonts w:ascii="Times New Roman" w:hAnsi="Times New Roman"/>
          <w:szCs w:val="24"/>
        </w:rPr>
        <w:t>о действащия ПЕ</w:t>
      </w:r>
      <w:r w:rsidRPr="003030B4">
        <w:rPr>
          <w:rFonts w:ascii="Times New Roman" w:hAnsi="Times New Roman"/>
          <w:szCs w:val="24"/>
        </w:rPr>
        <w:t xml:space="preserve"> за Втори референтен период се предвижда промяна на таксовата единица в зоните и районите на летищата само по отношение на летище София (LBSF), която за 201</w:t>
      </w:r>
      <w:r w:rsidR="008035D1" w:rsidRPr="003030B4">
        <w:rPr>
          <w:rFonts w:ascii="Times New Roman" w:hAnsi="Times New Roman"/>
          <w:szCs w:val="24"/>
        </w:rPr>
        <w:t>8</w:t>
      </w:r>
      <w:r w:rsidRPr="003030B4">
        <w:rPr>
          <w:rFonts w:ascii="Times New Roman" w:hAnsi="Times New Roman"/>
          <w:szCs w:val="24"/>
        </w:rPr>
        <w:t xml:space="preserve"> г. се определя на </w:t>
      </w:r>
      <w:r w:rsidR="008035D1" w:rsidRPr="003030B4">
        <w:rPr>
          <w:rFonts w:ascii="Times New Roman" w:hAnsi="Times New Roman"/>
          <w:szCs w:val="24"/>
        </w:rPr>
        <w:t>324.36</w:t>
      </w:r>
      <w:r w:rsidRPr="003030B4">
        <w:rPr>
          <w:rFonts w:ascii="Times New Roman" w:hAnsi="Times New Roman"/>
          <w:szCs w:val="24"/>
        </w:rPr>
        <w:t xml:space="preserve"> лв. (</w:t>
      </w:r>
      <w:r w:rsidR="008035D1" w:rsidRPr="003030B4">
        <w:rPr>
          <w:rFonts w:ascii="Times New Roman" w:hAnsi="Times New Roman"/>
          <w:szCs w:val="24"/>
        </w:rPr>
        <w:t>165.84</w:t>
      </w:r>
      <w:r w:rsidRPr="003030B4">
        <w:rPr>
          <w:rFonts w:ascii="Times New Roman" w:hAnsi="Times New Roman"/>
          <w:szCs w:val="24"/>
        </w:rPr>
        <w:t xml:space="preserve"> евро). </w:t>
      </w:r>
    </w:p>
    <w:p w:rsidR="00B63EC1" w:rsidRPr="00AB0597" w:rsidRDefault="00E26C53" w:rsidP="00B63EC1">
      <w:pPr>
        <w:autoSpaceDE w:val="0"/>
        <w:autoSpaceDN w:val="0"/>
        <w:adjustRightInd w:val="0"/>
        <w:ind w:firstLine="708"/>
        <w:jc w:val="both"/>
        <w:rPr>
          <w:rFonts w:ascii="Times New Roman" w:hAnsi="Times New Roman"/>
          <w:b/>
          <w:szCs w:val="24"/>
        </w:rPr>
      </w:pPr>
      <w:r w:rsidRPr="00AB0597">
        <w:rPr>
          <w:rFonts w:ascii="Times New Roman" w:hAnsi="Times New Roman"/>
          <w:b/>
          <w:szCs w:val="24"/>
        </w:rPr>
        <w:t xml:space="preserve">Предлаганите промени </w:t>
      </w:r>
      <w:r w:rsidR="002068C0" w:rsidRPr="00AB0597">
        <w:rPr>
          <w:rFonts w:ascii="Times New Roman" w:hAnsi="Times New Roman"/>
          <w:b/>
          <w:szCs w:val="24"/>
        </w:rPr>
        <w:t xml:space="preserve">се предлага </w:t>
      </w:r>
      <w:r w:rsidRPr="00AB0597">
        <w:rPr>
          <w:rFonts w:ascii="Times New Roman" w:hAnsi="Times New Roman"/>
          <w:b/>
          <w:szCs w:val="24"/>
        </w:rPr>
        <w:t>да влязат в сила от 01.01.201</w:t>
      </w:r>
      <w:r w:rsidR="00841426" w:rsidRPr="00AB0597">
        <w:rPr>
          <w:rFonts w:ascii="Times New Roman" w:hAnsi="Times New Roman"/>
          <w:b/>
          <w:szCs w:val="24"/>
        </w:rPr>
        <w:t>8</w:t>
      </w:r>
      <w:r w:rsidRPr="00AB0597">
        <w:rPr>
          <w:rFonts w:ascii="Times New Roman" w:hAnsi="Times New Roman"/>
          <w:b/>
          <w:szCs w:val="24"/>
        </w:rPr>
        <w:t xml:space="preserve"> г.</w:t>
      </w:r>
      <w:r w:rsidR="00B63EC1" w:rsidRPr="00AB0597">
        <w:rPr>
          <w:rFonts w:ascii="Times New Roman" w:hAnsi="Times New Roman"/>
          <w:b/>
          <w:szCs w:val="24"/>
          <w:lang w:val="en-US"/>
        </w:rPr>
        <w:t xml:space="preserve"> </w:t>
      </w:r>
      <w:r w:rsidR="00B63EC1" w:rsidRPr="00AB0597">
        <w:rPr>
          <w:rFonts w:ascii="Times New Roman" w:hAnsi="Times New Roman"/>
          <w:b/>
          <w:szCs w:val="24"/>
        </w:rPr>
        <w:t xml:space="preserve">С оглед това обстоятелство е </w:t>
      </w:r>
      <w:r w:rsidR="00B63EC1" w:rsidRPr="00AB0597">
        <w:rPr>
          <w:rFonts w:ascii="Times New Roman" w:hAnsi="Times New Roman"/>
          <w:b/>
        </w:rPr>
        <w:t>налице изключителен случай по смисъла на чл. 26, ал. 4, изречение второ от Закона за нормативните актове и срокът за предложения и становища по проекта, публикуван за обществени консултации, следва да бъде определен на 14 дни.</w:t>
      </w:r>
    </w:p>
    <w:p w:rsidR="00B63EC1" w:rsidRPr="00AB0597" w:rsidRDefault="00B63EC1" w:rsidP="00B63EC1">
      <w:pPr>
        <w:ind w:firstLine="708"/>
        <w:jc w:val="both"/>
        <w:rPr>
          <w:rFonts w:ascii="Times New Roman" w:hAnsi="Times New Roman"/>
          <w:b/>
          <w:szCs w:val="24"/>
        </w:rPr>
      </w:pPr>
    </w:p>
    <w:p w:rsidR="00AD64FE" w:rsidRPr="003030B4" w:rsidRDefault="00AD64FE" w:rsidP="00AD64FE">
      <w:pPr>
        <w:jc w:val="both"/>
        <w:rPr>
          <w:rFonts w:ascii="Times New Roman" w:hAnsi="Times New Roman"/>
          <w:color w:val="000000"/>
        </w:rPr>
      </w:pPr>
    </w:p>
    <w:p w:rsidR="002068C0" w:rsidRPr="009C122C" w:rsidRDefault="002068C0" w:rsidP="002068C0">
      <w:pPr>
        <w:rPr>
          <w:rFonts w:ascii="Times New Roman" w:hAnsi="Times New Roman"/>
          <w:sz w:val="16"/>
        </w:rPr>
      </w:pPr>
    </w:p>
    <w:p w:rsidR="00E26C53" w:rsidRDefault="00E26C53" w:rsidP="0043685F">
      <w:pPr>
        <w:jc w:val="center"/>
        <w:rPr>
          <w:rFonts w:ascii="Times New Roman" w:hAnsi="Times New Roman"/>
        </w:rPr>
      </w:pPr>
    </w:p>
    <w:p w:rsidR="00E26C53" w:rsidRDefault="00E26C53" w:rsidP="0043685F">
      <w:pPr>
        <w:jc w:val="center"/>
        <w:rPr>
          <w:rFonts w:ascii="Times New Roman" w:hAnsi="Times New Roman"/>
        </w:rPr>
      </w:pPr>
    </w:p>
    <w:p w:rsidR="00E26C53" w:rsidRDefault="00E26C53" w:rsidP="0043685F">
      <w:pPr>
        <w:jc w:val="center"/>
        <w:rPr>
          <w:rFonts w:ascii="Times New Roman" w:hAnsi="Times New Roman"/>
        </w:rPr>
      </w:pPr>
    </w:p>
    <w:p w:rsidR="00E26C53" w:rsidRDefault="00E26C53" w:rsidP="0043685F">
      <w:pPr>
        <w:jc w:val="center"/>
        <w:rPr>
          <w:rFonts w:ascii="Times New Roman" w:hAnsi="Times New Roman"/>
        </w:rPr>
      </w:pPr>
    </w:p>
    <w:p w:rsidR="00E26C53" w:rsidRDefault="00E26C53" w:rsidP="0043685F">
      <w:pPr>
        <w:jc w:val="center"/>
        <w:rPr>
          <w:rFonts w:ascii="Times New Roman" w:hAnsi="Times New Roman"/>
        </w:rPr>
      </w:pPr>
    </w:p>
    <w:p w:rsidR="00E26C53" w:rsidRDefault="00E26C5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8D5CC3" w:rsidRDefault="008D5CC3" w:rsidP="00C0318E">
      <w:pPr>
        <w:rPr>
          <w:rFonts w:ascii="Times New Roman" w:hAnsi="Times New Roman"/>
        </w:rPr>
      </w:pPr>
    </w:p>
    <w:p w:rsidR="00E26C53" w:rsidRDefault="00E26C53" w:rsidP="0043685F">
      <w:pPr>
        <w:jc w:val="center"/>
        <w:rPr>
          <w:rFonts w:ascii="Times New Roman" w:hAnsi="Times New Roman"/>
        </w:rPr>
      </w:pPr>
    </w:p>
    <w:p w:rsidR="00E26C53" w:rsidRPr="00360014" w:rsidRDefault="00E26C53" w:rsidP="00360014">
      <w:pPr>
        <w:rPr>
          <w:rFonts w:ascii="Times New Roman" w:hAnsi="Times New Roman"/>
          <w:b/>
          <w:szCs w:val="24"/>
          <w:lang w:val="en-US"/>
        </w:rPr>
      </w:pPr>
      <w:r>
        <w:rPr>
          <w:rFonts w:ascii="Times New Roman" w:hAnsi="Times New Roman"/>
          <w:b/>
          <w:szCs w:val="24"/>
        </w:rPr>
        <w:t>АНЕКС 1</w:t>
      </w:r>
    </w:p>
    <w:p w:rsidR="00E26C53" w:rsidRDefault="00E26C53" w:rsidP="00E26C53">
      <w:pPr>
        <w:autoSpaceDE w:val="0"/>
        <w:autoSpaceDN w:val="0"/>
        <w:adjustRightInd w:val="0"/>
        <w:jc w:val="right"/>
        <w:rPr>
          <w:rFonts w:ascii="Times New Roman" w:hAnsi="Times New Roman"/>
          <w:b/>
          <w:i/>
          <w:noProof/>
          <w:color w:val="FF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62A06" w:rsidRPr="0095170C" w:rsidTr="00862A06">
        <w:tc>
          <w:tcPr>
            <w:tcW w:w="9288" w:type="dxa"/>
            <w:gridSpan w:val="2"/>
            <w:shd w:val="clear" w:color="auto" w:fill="auto"/>
          </w:tcPr>
          <w:p w:rsidR="00E26C53" w:rsidRPr="00862A06" w:rsidRDefault="00E26C53" w:rsidP="00862A06">
            <w:pPr>
              <w:autoSpaceDE w:val="0"/>
              <w:autoSpaceDN w:val="0"/>
              <w:adjustRightInd w:val="0"/>
              <w:jc w:val="center"/>
              <w:rPr>
                <w:rFonts w:ascii="Times New Roman" w:eastAsia="Calibri" w:hAnsi="Times New Roman"/>
                <w:b/>
                <w:color w:val="000000"/>
                <w:szCs w:val="24"/>
              </w:rPr>
            </w:pPr>
            <w:r w:rsidRPr="00862A06">
              <w:rPr>
                <w:rFonts w:ascii="Times New Roman" w:eastAsia="Calibri" w:hAnsi="Times New Roman"/>
                <w:b/>
                <w:i/>
                <w:noProof/>
                <w:color w:val="FF0000"/>
                <w:szCs w:val="24"/>
                <w:lang w:val="en-US"/>
              </w:rPr>
              <w:br w:type="page"/>
            </w:r>
            <w:r w:rsidRPr="00862A06">
              <w:rPr>
                <w:rFonts w:ascii="Times New Roman" w:eastAsia="Calibri" w:hAnsi="Times New Roman"/>
                <w:b/>
                <w:color w:val="000000"/>
                <w:szCs w:val="24"/>
              </w:rPr>
              <w:t>Регламент за изпълнение (ЕС) 391/2013</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t>Член 23</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lastRenderedPageBreak/>
              <w:t>Отмяна на Регламент (ЕО) № 1794/2006 на Комисията</w:t>
            </w:r>
          </w:p>
          <w:p w:rsidR="00E26C53" w:rsidRPr="00862A06" w:rsidRDefault="00E26C53" w:rsidP="00862A06">
            <w:pPr>
              <w:jc w:val="center"/>
              <w:outlineLvl w:val="0"/>
              <w:rPr>
                <w:rFonts w:ascii="Times New Roman" w:eastAsia="Calibri" w:hAnsi="Times New Roman"/>
                <w:i/>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Регламент (ЕО) № 1794/2006 на Комисията от 6 декември 2006 година за установяване на обща схема за таксуване на аеронавигационното обслужване се отменя, считано от 1 януари 2015 г.</w:t>
            </w:r>
          </w:p>
          <w:p w:rsidR="00E26C53" w:rsidRPr="00862A06" w:rsidRDefault="00E26C53" w:rsidP="00862A06">
            <w:pPr>
              <w:jc w:val="both"/>
              <w:outlineLvl w:val="0"/>
              <w:rPr>
                <w:rFonts w:ascii="Times New Roman" w:eastAsia="Calibri" w:hAnsi="Times New Roman"/>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Настоящият регламент е задължителен в своята цялост и се прилага пряко във всички държави</w:t>
            </w:r>
          </w:p>
          <w:p w:rsidR="00E26C53" w:rsidRPr="00862A06" w:rsidRDefault="00E26C53" w:rsidP="00862A06">
            <w:pPr>
              <w:jc w:val="both"/>
              <w:rPr>
                <w:rStyle w:val="FootnoteReference"/>
                <w:rFonts w:ascii="Times New Roman" w:eastAsia="Calibri" w:hAnsi="Times New Roman"/>
                <w:sz w:val="20"/>
              </w:rPr>
            </w:pPr>
            <w:r w:rsidRPr="00862A06">
              <w:rPr>
                <w:rFonts w:ascii="Times New Roman" w:eastAsia="Calibri" w:hAnsi="Times New Roman"/>
                <w:iCs/>
                <w:sz w:val="20"/>
              </w:rPr>
              <w:t>членки.</w:t>
            </w: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lastRenderedPageBreak/>
              <w:t>Article 23</w:t>
            </w:r>
          </w:p>
          <w:p w:rsidR="00E26C53" w:rsidRPr="00862A06" w:rsidRDefault="00E26C53" w:rsidP="00862A06">
            <w:pPr>
              <w:autoSpaceDE w:val="0"/>
              <w:autoSpaceDN w:val="0"/>
              <w:adjustRightInd w:val="0"/>
              <w:jc w:val="center"/>
              <w:rPr>
                <w:rFonts w:ascii="Times New Roman" w:eastAsia="Calibri" w:hAnsi="Times New Roman"/>
                <w:b/>
                <w:bCs/>
                <w:sz w:val="20"/>
              </w:rPr>
            </w:pPr>
            <w:r w:rsidRPr="00862A06">
              <w:rPr>
                <w:rFonts w:ascii="Times New Roman" w:eastAsia="Calibri" w:hAnsi="Times New Roman"/>
                <w:b/>
                <w:bCs/>
                <w:sz w:val="20"/>
                <w:lang w:val="en-US"/>
              </w:rPr>
              <w:lastRenderedPageBreak/>
              <w:t>Repeal of Commission Regulation (EC) No 1794/2006</w:t>
            </w:r>
          </w:p>
          <w:p w:rsidR="00E26C53" w:rsidRPr="00862A06" w:rsidRDefault="00E26C53" w:rsidP="00862A06">
            <w:pPr>
              <w:autoSpaceDE w:val="0"/>
              <w:autoSpaceDN w:val="0"/>
              <w:adjustRightInd w:val="0"/>
              <w:jc w:val="center"/>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Commission Regulation (EC) No 1794/2006 of 6 December 2006 laying down a common charging scheme</w:t>
            </w:r>
            <w:r w:rsidRPr="00862A06">
              <w:rPr>
                <w:rFonts w:ascii="Times New Roman" w:eastAsia="Calibri" w:hAnsi="Times New Roman"/>
                <w:bCs/>
                <w:sz w:val="20"/>
              </w:rPr>
              <w:t xml:space="preserve"> </w:t>
            </w:r>
            <w:r w:rsidRPr="00862A06">
              <w:rPr>
                <w:rFonts w:ascii="Times New Roman" w:eastAsia="Calibri" w:hAnsi="Times New Roman"/>
                <w:bCs/>
                <w:sz w:val="20"/>
                <w:lang w:val="en-US"/>
              </w:rPr>
              <w:t>for air navigation services shall be repealed with effect from 1 January 2015.</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This Regulation shall be binding in its entirety and directly applicable in all Member States</w:t>
            </w:r>
            <w:r w:rsidRPr="00862A06">
              <w:rPr>
                <w:rFonts w:ascii="Times New Roman" w:eastAsia="Calibri" w:hAnsi="Times New Roman"/>
                <w:bCs/>
                <w:sz w:val="20"/>
              </w:rPr>
              <w:t>.</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lastRenderedPageBreak/>
              <w:t>Член 12</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Изчисляване на терминални такси</w:t>
            </w:r>
          </w:p>
          <w:p w:rsidR="00E26C53" w:rsidRPr="00862A06" w:rsidRDefault="00E26C53" w:rsidP="00862A06">
            <w:pPr>
              <w:jc w:val="center"/>
              <w:outlineLvl w:val="0"/>
              <w:rPr>
                <w:rFonts w:ascii="Times New Roman" w:eastAsia="Calibri" w:hAnsi="Times New Roman"/>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1. Без да се засяга възможността съгласно член 4, параграф 3 за финансиране на терминалното аеронавигационно обслужване от други приходи, терминалната такса за конкретен полет в конкретна зона за събиране на терминални такси е равна на</w:t>
            </w: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произведението от таксовата единица, определена за въпросната зона за събиране на терминални такси, по броя на единиците терминално обслужване за конкретния полет. За целите на събирането на такси, подходът и отлитането се таксуват като еднократно ползване. Единицата, която се отброява, е или пристигането, или отлитането.</w:t>
            </w:r>
          </w:p>
          <w:p w:rsidR="00E26C53" w:rsidRPr="00862A06" w:rsidRDefault="00E26C53" w:rsidP="00862A06">
            <w:pPr>
              <w:jc w:val="both"/>
              <w:outlineLvl w:val="0"/>
              <w:rPr>
                <w:rFonts w:ascii="Times New Roman" w:eastAsia="Calibri" w:hAnsi="Times New Roman"/>
                <w:iCs/>
                <w:sz w:val="20"/>
              </w:rPr>
            </w:pP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t>Article 12</w:t>
            </w:r>
          </w:p>
          <w:p w:rsidR="00E26C53" w:rsidRPr="00862A06" w:rsidRDefault="00E26C53" w:rsidP="00862A06">
            <w:pPr>
              <w:autoSpaceDE w:val="0"/>
              <w:autoSpaceDN w:val="0"/>
              <w:adjustRightInd w:val="0"/>
              <w:jc w:val="center"/>
              <w:rPr>
                <w:rFonts w:ascii="Times New Roman" w:eastAsia="Calibri" w:hAnsi="Times New Roman"/>
                <w:b/>
                <w:bCs/>
                <w:sz w:val="20"/>
              </w:rPr>
            </w:pPr>
            <w:r w:rsidRPr="00862A06">
              <w:rPr>
                <w:rFonts w:ascii="Times New Roman" w:eastAsia="Calibri" w:hAnsi="Times New Roman"/>
                <w:b/>
                <w:bCs/>
                <w:sz w:val="20"/>
                <w:lang w:val="en-US"/>
              </w:rPr>
              <w:t>Calculation of terminal charges</w:t>
            </w:r>
          </w:p>
          <w:p w:rsidR="00E26C53" w:rsidRPr="00862A06" w:rsidRDefault="00E26C53" w:rsidP="00862A06">
            <w:pPr>
              <w:autoSpaceDE w:val="0"/>
              <w:autoSpaceDN w:val="0"/>
              <w:adjustRightInd w:val="0"/>
              <w:jc w:val="center"/>
              <w:rPr>
                <w:rFonts w:ascii="Times New Roman" w:eastAsia="Calibri" w:hAnsi="Times New Roman"/>
                <w:b/>
                <w:bCs/>
                <w:sz w:val="20"/>
              </w:rPr>
            </w:pP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1. Without prejudice to the possibility pursuant to</w:t>
            </w:r>
            <w:r w:rsidRPr="00862A06">
              <w:rPr>
                <w:rFonts w:ascii="Times New Roman" w:eastAsia="Calibri" w:hAnsi="Times New Roman"/>
                <w:bCs/>
                <w:sz w:val="20"/>
              </w:rPr>
              <w:t xml:space="preserve"> </w:t>
            </w:r>
            <w:r w:rsidRPr="00862A06">
              <w:rPr>
                <w:rFonts w:ascii="Times New Roman" w:eastAsia="Calibri" w:hAnsi="Times New Roman"/>
                <w:bCs/>
                <w:sz w:val="20"/>
                <w:lang w:val="en-US"/>
              </w:rPr>
              <w:t>Article 4(3) of financing terminal air navigation services</w:t>
            </w:r>
            <w:r w:rsidRPr="00862A06">
              <w:rPr>
                <w:rFonts w:ascii="Times New Roman" w:eastAsia="Calibri" w:hAnsi="Times New Roman"/>
                <w:bCs/>
                <w:sz w:val="20"/>
              </w:rPr>
              <w:t xml:space="preserve"> </w:t>
            </w:r>
            <w:r w:rsidRPr="00862A06">
              <w:rPr>
                <w:rFonts w:ascii="Times New Roman" w:eastAsia="Calibri" w:hAnsi="Times New Roman"/>
                <w:bCs/>
                <w:sz w:val="20"/>
                <w:lang w:val="en-US"/>
              </w:rPr>
              <w:t>through other revenues, the terminal charge for a specific</w:t>
            </w:r>
            <w:r w:rsidRPr="00862A06">
              <w:rPr>
                <w:rFonts w:ascii="Times New Roman" w:eastAsia="Calibri" w:hAnsi="Times New Roman"/>
                <w:bCs/>
                <w:sz w:val="20"/>
              </w:rPr>
              <w:t xml:space="preserve"> </w:t>
            </w:r>
            <w:r w:rsidRPr="00862A06">
              <w:rPr>
                <w:rFonts w:ascii="Times New Roman" w:eastAsia="Calibri" w:hAnsi="Times New Roman"/>
                <w:bCs/>
                <w:sz w:val="20"/>
                <w:lang w:val="en-US"/>
              </w:rPr>
              <w:t>flight in a specific terminal charging zone shall be equal to</w:t>
            </w:r>
            <w:r w:rsidRPr="00862A06">
              <w:rPr>
                <w:rFonts w:ascii="Times New Roman" w:eastAsia="Calibri" w:hAnsi="Times New Roman"/>
                <w:bCs/>
                <w:sz w:val="20"/>
              </w:rPr>
              <w:t xml:space="preserve"> </w:t>
            </w:r>
            <w:r w:rsidRPr="00862A06">
              <w:rPr>
                <w:rFonts w:ascii="Times New Roman" w:eastAsia="Calibri" w:hAnsi="Times New Roman"/>
                <w:bCs/>
                <w:sz w:val="20"/>
                <w:lang w:val="en-US"/>
              </w:rPr>
              <w:t>the product of the unit rate established for this terminal</w:t>
            </w:r>
            <w:r w:rsidRPr="00862A06">
              <w:rPr>
                <w:rFonts w:ascii="Times New Roman" w:eastAsia="Calibri" w:hAnsi="Times New Roman"/>
                <w:bCs/>
                <w:sz w:val="20"/>
              </w:rPr>
              <w:t xml:space="preserve"> </w:t>
            </w:r>
            <w:r w:rsidRPr="00862A06">
              <w:rPr>
                <w:rFonts w:ascii="Times New Roman" w:eastAsia="Calibri" w:hAnsi="Times New Roman"/>
                <w:bCs/>
                <w:sz w:val="20"/>
                <w:lang w:val="en-US"/>
              </w:rPr>
              <w:t>charging zone and the terminal service units for that flight.</w:t>
            </w:r>
            <w:r w:rsidRPr="00862A06">
              <w:rPr>
                <w:rFonts w:ascii="Times New Roman" w:eastAsia="Calibri" w:hAnsi="Times New Roman"/>
                <w:bCs/>
                <w:sz w:val="20"/>
              </w:rPr>
              <w:t xml:space="preserve"> </w:t>
            </w:r>
            <w:r w:rsidRPr="00862A06">
              <w:rPr>
                <w:rFonts w:ascii="Times New Roman" w:eastAsia="Calibri" w:hAnsi="Times New Roman"/>
                <w:bCs/>
                <w:sz w:val="20"/>
                <w:lang w:val="en-US"/>
              </w:rPr>
              <w:t>For charging purposes, approach and departure shall count as</w:t>
            </w:r>
            <w:r w:rsidRPr="00862A06">
              <w:rPr>
                <w:rFonts w:ascii="Times New Roman" w:eastAsia="Calibri" w:hAnsi="Times New Roman"/>
                <w:bCs/>
                <w:sz w:val="20"/>
              </w:rPr>
              <w:t xml:space="preserve"> </w:t>
            </w:r>
            <w:r w:rsidRPr="00862A06">
              <w:rPr>
                <w:rFonts w:ascii="Times New Roman" w:eastAsia="Calibri" w:hAnsi="Times New Roman"/>
                <w:bCs/>
                <w:sz w:val="20"/>
                <w:lang w:val="en-US"/>
              </w:rPr>
              <w:t>a single flight. The unit to be counted shall be either the</w:t>
            </w: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arriving or the departing flight.</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2. Таксовата единица и единиците терминално обслужване се изчисляват в съответствие с приложение V.</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2. The unit rate and the terminal service units shall be</w:t>
            </w: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calculated in accordance with Annex V.</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t>ПРИЛОЖЕНИЕ V</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ИЗЧИСЛЯВАНЕ НА ЕДИНИЦИТЕ ТЕРМИНАЛНО ОБСЛУЖВАНЕ И НА ТАКСОВИТЕ ЕДИНИЦИ ЗА</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ТЕРМИНАЛНО ОБСЛУЖВАНЕ</w:t>
            </w:r>
          </w:p>
          <w:p w:rsidR="00E26C53" w:rsidRPr="00862A06" w:rsidRDefault="00E26C53" w:rsidP="00862A06">
            <w:pPr>
              <w:jc w:val="center"/>
              <w:outlineLvl w:val="0"/>
              <w:rPr>
                <w:rFonts w:ascii="Times New Roman" w:eastAsia="Calibri" w:hAnsi="Times New Roman"/>
                <w:b/>
                <w:iCs/>
                <w:sz w:val="20"/>
              </w:rPr>
            </w:pPr>
          </w:p>
          <w:p w:rsidR="00E26C53" w:rsidRPr="00862A06" w:rsidRDefault="00E26C53" w:rsidP="00862A06">
            <w:pPr>
              <w:jc w:val="both"/>
              <w:outlineLvl w:val="0"/>
              <w:rPr>
                <w:rFonts w:ascii="Times New Roman" w:eastAsia="Calibri" w:hAnsi="Times New Roman"/>
                <w:b/>
                <w:iCs/>
                <w:sz w:val="20"/>
              </w:rPr>
            </w:pPr>
            <w:r w:rsidRPr="00862A06">
              <w:rPr>
                <w:rFonts w:ascii="Times New Roman" w:eastAsia="Calibri" w:hAnsi="Times New Roman"/>
                <w:b/>
                <w:iCs/>
                <w:sz w:val="20"/>
              </w:rPr>
              <w:t>1. Изчисляване на единиците терминално обслужване</w:t>
            </w: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1.1. Единицата терминално обслужване отговаря на променливата за тегло на съответното въздухоплавателно средство.</w:t>
            </w:r>
          </w:p>
          <w:p w:rsidR="00E26C53" w:rsidRPr="00862A06" w:rsidRDefault="00E26C53" w:rsidP="00862A06">
            <w:pPr>
              <w:jc w:val="both"/>
              <w:outlineLvl w:val="0"/>
              <w:rPr>
                <w:rFonts w:ascii="Times New Roman" w:eastAsia="Calibri" w:hAnsi="Times New Roman"/>
                <w:iCs/>
                <w:sz w:val="20"/>
              </w:rPr>
            </w:pP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t>ANNEX V</w:t>
            </w:r>
          </w:p>
          <w:p w:rsidR="00E26C53" w:rsidRPr="00862A06" w:rsidRDefault="00E26C53" w:rsidP="00862A06">
            <w:pPr>
              <w:autoSpaceDE w:val="0"/>
              <w:autoSpaceDN w:val="0"/>
              <w:adjustRightInd w:val="0"/>
              <w:jc w:val="center"/>
              <w:rPr>
                <w:rFonts w:ascii="Times New Roman" w:eastAsia="Calibri" w:hAnsi="Times New Roman"/>
                <w:b/>
                <w:bCs/>
                <w:sz w:val="20"/>
              </w:rPr>
            </w:pPr>
            <w:r w:rsidRPr="00862A06">
              <w:rPr>
                <w:rFonts w:ascii="Times New Roman" w:eastAsia="Calibri" w:hAnsi="Times New Roman"/>
                <w:b/>
                <w:bCs/>
                <w:sz w:val="20"/>
                <w:lang w:val="en-US"/>
              </w:rPr>
              <w:t>CALCULATION OF THE TERMINAL SERVICE UNITS AND UNIT RATES</w:t>
            </w:r>
          </w:p>
          <w:p w:rsidR="00E26C53" w:rsidRPr="00862A06" w:rsidRDefault="00E26C53" w:rsidP="00862A06">
            <w:pPr>
              <w:autoSpaceDE w:val="0"/>
              <w:autoSpaceDN w:val="0"/>
              <w:adjustRightInd w:val="0"/>
              <w:jc w:val="center"/>
              <w:rPr>
                <w:rFonts w:ascii="Times New Roman" w:eastAsia="Calibri" w:hAnsi="Times New Roman"/>
                <w:b/>
                <w:bCs/>
                <w:sz w:val="20"/>
              </w:rPr>
            </w:pPr>
          </w:p>
          <w:p w:rsidR="00E26C53" w:rsidRPr="00862A06" w:rsidRDefault="00E26C53" w:rsidP="00862A06">
            <w:pPr>
              <w:autoSpaceDE w:val="0"/>
              <w:autoSpaceDN w:val="0"/>
              <w:adjustRightInd w:val="0"/>
              <w:jc w:val="both"/>
              <w:rPr>
                <w:rFonts w:ascii="Times New Roman" w:eastAsia="Calibri" w:hAnsi="Times New Roman"/>
                <w:b/>
                <w:bCs/>
                <w:sz w:val="20"/>
              </w:rPr>
            </w:pPr>
          </w:p>
          <w:p w:rsidR="00E26C53" w:rsidRPr="00862A06" w:rsidRDefault="00E26C53" w:rsidP="00862A06">
            <w:pPr>
              <w:autoSpaceDE w:val="0"/>
              <w:autoSpaceDN w:val="0"/>
              <w:adjustRightInd w:val="0"/>
              <w:jc w:val="both"/>
              <w:rPr>
                <w:rFonts w:ascii="Times New Roman" w:eastAsia="Calibri" w:hAnsi="Times New Roman"/>
                <w:b/>
                <w:bCs/>
                <w:sz w:val="20"/>
              </w:rPr>
            </w:pPr>
          </w:p>
          <w:p w:rsidR="00E26C53" w:rsidRPr="00862A06" w:rsidRDefault="00E26C53" w:rsidP="00862A06">
            <w:pPr>
              <w:autoSpaceDE w:val="0"/>
              <w:autoSpaceDN w:val="0"/>
              <w:adjustRightInd w:val="0"/>
              <w:jc w:val="both"/>
              <w:rPr>
                <w:rFonts w:ascii="Times New Roman" w:eastAsia="Calibri" w:hAnsi="Times New Roman"/>
                <w:b/>
                <w:bCs/>
                <w:sz w:val="20"/>
                <w:lang w:val="en-US"/>
              </w:rPr>
            </w:pPr>
            <w:r w:rsidRPr="00862A06">
              <w:rPr>
                <w:rFonts w:ascii="Times New Roman" w:eastAsia="Calibri" w:hAnsi="Times New Roman"/>
                <w:b/>
                <w:bCs/>
                <w:sz w:val="20"/>
                <w:lang w:val="en-US"/>
              </w:rPr>
              <w:t>1. Calculation of terminal service units</w:t>
            </w: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1.1. The terminal service unit shall be equal to the weight factor for the aircraft concerned.</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1.2. Променливата за тегло, изразена като число, закръглено до втория знак след десетичната запетая, представлява повдигнатото на степен 0,7 частно от разделянето с петдесет на стойността в тонове на максималното сертифицирано излетно тегло на въздухоплавателното средство, посочено в приложение IV, точка 1.5.</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1.2. The weight factor, expressed as a figure taken to two decimal places, shall be the quotient, obtained by dividing by</w:t>
            </w:r>
            <w:r w:rsidRPr="00862A06">
              <w:rPr>
                <w:rFonts w:ascii="Times New Roman" w:eastAsia="Calibri" w:hAnsi="Times New Roman"/>
                <w:bCs/>
                <w:sz w:val="20"/>
              </w:rPr>
              <w:t xml:space="preserve"> </w:t>
            </w:r>
            <w:r w:rsidRPr="00862A06">
              <w:rPr>
                <w:rFonts w:ascii="Times New Roman" w:eastAsia="Calibri" w:hAnsi="Times New Roman"/>
                <w:bCs/>
                <w:sz w:val="20"/>
                <w:lang w:val="en-US"/>
              </w:rPr>
              <w:t>fifty the number of metric tons in the highest maximum certified take-off weight of the aircraft, referred to in Annex</w:t>
            </w:r>
            <w:r w:rsidRPr="00862A06">
              <w:rPr>
                <w:rFonts w:ascii="Times New Roman" w:eastAsia="Calibri" w:hAnsi="Times New Roman"/>
                <w:bCs/>
                <w:sz w:val="20"/>
              </w:rPr>
              <w:t xml:space="preserve"> </w:t>
            </w:r>
            <w:r w:rsidRPr="00862A06">
              <w:rPr>
                <w:rFonts w:ascii="Times New Roman" w:eastAsia="Calibri" w:hAnsi="Times New Roman"/>
                <w:bCs/>
                <w:sz w:val="20"/>
                <w:lang w:val="en-US"/>
              </w:rPr>
              <w:t>IV point 1.5, to the power of 0,7.</w:t>
            </w:r>
          </w:p>
          <w:p w:rsidR="00E26C53" w:rsidRPr="00862A06" w:rsidRDefault="00E26C53" w:rsidP="00862A06">
            <w:pPr>
              <w:autoSpaceDE w:val="0"/>
              <w:autoSpaceDN w:val="0"/>
              <w:adjustRightInd w:val="0"/>
              <w:rPr>
                <w:rFonts w:ascii="Times New Roman" w:eastAsia="Calibri" w:hAnsi="Times New Roman"/>
                <w:bCs/>
                <w:sz w:val="20"/>
              </w:rPr>
            </w:pP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2. Изчисляване на терминални таксови единици</w:t>
            </w: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2.1. Терминалната таксова единица се изчислява преди началото на всяка година от референтния период.</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
                <w:bCs/>
                <w:sz w:val="20"/>
                <w:lang w:val="en-US"/>
              </w:rPr>
            </w:pPr>
            <w:r w:rsidRPr="00862A06">
              <w:rPr>
                <w:rFonts w:ascii="Times New Roman" w:eastAsia="Calibri" w:hAnsi="Times New Roman"/>
                <w:b/>
                <w:bCs/>
                <w:sz w:val="20"/>
                <w:lang w:val="en-US"/>
              </w:rPr>
              <w:t>2. Calculation of terminal unit rates</w:t>
            </w:r>
          </w:p>
          <w:p w:rsidR="00E26C53" w:rsidRPr="00862A06" w:rsidRDefault="00E26C53" w:rsidP="00862A06">
            <w:pPr>
              <w:autoSpaceDE w:val="0"/>
              <w:autoSpaceDN w:val="0"/>
              <w:adjustRightInd w:val="0"/>
              <w:jc w:val="center"/>
              <w:rPr>
                <w:rFonts w:ascii="Times New Roman" w:eastAsia="Calibri" w:hAnsi="Times New Roman"/>
                <w:bCs/>
                <w:sz w:val="20"/>
              </w:rPr>
            </w:pPr>
            <w:r w:rsidRPr="00862A06">
              <w:rPr>
                <w:rFonts w:ascii="Times New Roman" w:eastAsia="Calibri" w:hAnsi="Times New Roman"/>
                <w:bCs/>
                <w:sz w:val="20"/>
                <w:lang w:val="en-US"/>
              </w:rPr>
              <w:t>2.1. The terminal unit rate shall be calculated before the beginning of each year of the reference period.</w:t>
            </w:r>
          </w:p>
          <w:p w:rsidR="00E26C53" w:rsidRPr="00862A06" w:rsidRDefault="00E26C53" w:rsidP="00862A06">
            <w:pPr>
              <w:autoSpaceDE w:val="0"/>
              <w:autoSpaceDN w:val="0"/>
              <w:adjustRightInd w:val="0"/>
              <w:jc w:val="both"/>
              <w:rPr>
                <w:rFonts w:ascii="Times New Roman" w:eastAsia="Calibri" w:hAnsi="Times New Roman"/>
                <w:bCs/>
                <w:sz w:val="20"/>
              </w:rPr>
            </w:pPr>
          </w:p>
        </w:tc>
      </w:tr>
      <w:tr w:rsidR="00862A06" w:rsidTr="00862A06">
        <w:tc>
          <w:tcPr>
            <w:tcW w:w="4644" w:type="dxa"/>
            <w:shd w:val="clear" w:color="auto" w:fill="auto"/>
          </w:tcPr>
          <w:p w:rsidR="00E26C53" w:rsidRPr="0035552D" w:rsidRDefault="00E26C53" w:rsidP="00862A06">
            <w:pPr>
              <w:jc w:val="both"/>
              <w:outlineLvl w:val="0"/>
              <w:rPr>
                <w:rFonts w:ascii="Times New Roman" w:eastAsia="Calibri" w:hAnsi="Times New Roman"/>
                <w:iCs/>
                <w:color w:val="000000"/>
                <w:sz w:val="20"/>
              </w:rPr>
            </w:pPr>
            <w:r w:rsidRPr="0035552D">
              <w:rPr>
                <w:rFonts w:ascii="Times New Roman" w:eastAsia="Calibri" w:hAnsi="Times New Roman"/>
                <w:iCs/>
                <w:color w:val="000000"/>
                <w:sz w:val="20"/>
              </w:rPr>
              <w:t>2.2. Тя се получава като с прогнозния общ брой единици терминално обслужване за съответната година, както е определено в плана за ефективността, се раздели алгебричната сума от следните елементи:</w:t>
            </w:r>
          </w:p>
        </w:tc>
        <w:tc>
          <w:tcPr>
            <w:tcW w:w="4644" w:type="dxa"/>
            <w:shd w:val="clear" w:color="auto" w:fill="auto"/>
          </w:tcPr>
          <w:p w:rsidR="00E26C53" w:rsidRPr="0035552D" w:rsidRDefault="00E26C53" w:rsidP="00862A06">
            <w:pPr>
              <w:autoSpaceDE w:val="0"/>
              <w:autoSpaceDN w:val="0"/>
              <w:adjustRightInd w:val="0"/>
              <w:jc w:val="both"/>
              <w:rPr>
                <w:rFonts w:ascii="Times New Roman" w:eastAsia="Calibri" w:hAnsi="Times New Roman"/>
                <w:bCs/>
                <w:color w:val="000000"/>
                <w:sz w:val="20"/>
                <w:lang w:val="en-US"/>
              </w:rPr>
            </w:pPr>
            <w:r w:rsidRPr="0035552D">
              <w:rPr>
                <w:rFonts w:ascii="Times New Roman" w:eastAsia="Calibri" w:hAnsi="Times New Roman"/>
                <w:bCs/>
                <w:color w:val="000000"/>
                <w:sz w:val="20"/>
                <w:lang w:val="en-US"/>
              </w:rPr>
              <w:t>2.2. It shall be calculated by dividing the forecast number of total terminal service units for the relevant year as defined in</w:t>
            </w:r>
            <w:r w:rsidRPr="0035552D">
              <w:rPr>
                <w:rFonts w:ascii="Times New Roman" w:eastAsia="Calibri" w:hAnsi="Times New Roman"/>
                <w:bCs/>
                <w:color w:val="000000"/>
                <w:sz w:val="20"/>
              </w:rPr>
              <w:t xml:space="preserve"> </w:t>
            </w:r>
            <w:r w:rsidRPr="0035552D">
              <w:rPr>
                <w:rFonts w:ascii="Times New Roman" w:eastAsia="Calibri" w:hAnsi="Times New Roman"/>
                <w:bCs/>
                <w:color w:val="000000"/>
                <w:sz w:val="20"/>
                <w:lang w:val="en-US"/>
              </w:rPr>
              <w:t>the performance plan into the algebraic sum of the following elements:</w:t>
            </w:r>
          </w:p>
          <w:p w:rsidR="00E26C53" w:rsidRPr="0035552D" w:rsidRDefault="00E26C53" w:rsidP="00862A06">
            <w:pPr>
              <w:autoSpaceDE w:val="0"/>
              <w:autoSpaceDN w:val="0"/>
              <w:adjustRightInd w:val="0"/>
              <w:jc w:val="both"/>
              <w:rPr>
                <w:rFonts w:ascii="Times New Roman" w:eastAsia="Calibri" w:hAnsi="Times New Roman"/>
                <w:bCs/>
                <w:color w:val="000000"/>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i) установените разходи в номинално изражение за съответната година, както е определено в плана за ефективност,</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(i) the determined costs, expressed in nominal terms, of the relevant year as defined in the performance plan;</w:t>
            </w: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 xml:space="preserve"> </w:t>
            </w: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lastRenderedPageBreak/>
              <w:t>ii) компенсацията на разликата между прогнозната и реалната инфлация, както е посочено в член 7, параграф 1,</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(ii) the adjustment of the difference between forecasted and actual inflation as referred to in Article 7(1);</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iii) възстановяването на разходи за преструктуриране, ако те са одобрени в съответствие с член 7, параграф 4,</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(iii) the recovery of restructuring costs, if authorised in accordance with Article 7(4);</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iv) преносите, произтичащи от прилагането на механизма за поделяне на риска, свързан с въздушното движение, както е посочено в член 13, ако е уместно,</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(iv) the carry-overs resulting from the implementation of the traffic risk-sharing mechanism referred to in</w:t>
            </w: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Article 13, if applicable;</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v) преносите от предходния референтен период, произтичащи от прилагането на механизма за поделяне на разходите, както е посочено в член 14,</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(v) the carry-overs from the previous reference period resulting from the implementation of the cost sharing</w:t>
            </w: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mechanism referred to in Article 14;</w:t>
            </w: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vi) бонусите и санкциите, произтичащи от схемите за финансово стимулиране, посочени в член 15;</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(vi) bonuses and penalties resulting from the financial incentive schemes referred to in Article 15;</w:t>
            </w: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vii) прекомерните или недостатъчните възстановявания, които могат да възникнат в резултат на модулацията на таксите за аеронавигационно обслужване при прилагането на член 16;</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(vii) the over-or under-recoveries that may result from the modulation of air navigation charges in application of</w:t>
            </w:r>
            <w:r w:rsidRPr="00862A06">
              <w:rPr>
                <w:rFonts w:ascii="Times New Roman" w:eastAsia="Calibri" w:hAnsi="Times New Roman"/>
                <w:bCs/>
                <w:sz w:val="20"/>
              </w:rPr>
              <w:t xml:space="preserve"> </w:t>
            </w:r>
            <w:r w:rsidRPr="00862A06">
              <w:rPr>
                <w:rFonts w:ascii="Times New Roman" w:eastAsia="Calibri" w:hAnsi="Times New Roman"/>
                <w:bCs/>
                <w:sz w:val="20"/>
                <w:lang w:val="en-US"/>
              </w:rPr>
              <w:t>Article 16;</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viii) прекомерните или недостатъчните възстановявания в резултат на колебания във въздушното движение;</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(viii) the over-or under-recoveries resulting from traffic variations;</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ix) за първите два референтни периода — прекомерните или недостатъчните възстановявания, понесени от държавите членки до 2014 г. включително;</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(ix) for the first two reference periods, the over- or under-recoveries incurred by Member States up to and including</w:t>
            </w:r>
            <w:r w:rsidRPr="00862A06">
              <w:rPr>
                <w:rFonts w:ascii="Times New Roman" w:eastAsia="Calibri" w:hAnsi="Times New Roman"/>
                <w:bCs/>
                <w:sz w:val="20"/>
              </w:rPr>
              <w:t xml:space="preserve"> </w:t>
            </w:r>
            <w:r w:rsidRPr="00862A06">
              <w:rPr>
                <w:rFonts w:ascii="Times New Roman" w:eastAsia="Calibri" w:hAnsi="Times New Roman"/>
                <w:bCs/>
                <w:sz w:val="20"/>
                <w:lang w:val="en-US"/>
              </w:rPr>
              <w:t>the year 2014;</w:t>
            </w:r>
          </w:p>
          <w:p w:rsidR="00E26C53" w:rsidRPr="00862A06" w:rsidRDefault="00E26C53" w:rsidP="00862A06">
            <w:pPr>
              <w:autoSpaceDE w:val="0"/>
              <w:autoSpaceDN w:val="0"/>
              <w:adjustRightInd w:val="0"/>
              <w:jc w:val="both"/>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x) приспадане на други приходи.</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lang w:val="en-US"/>
              </w:rPr>
              <w:t>(x) a deduction of other revenue.</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t>Член 1</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Предмет и обхват</w:t>
            </w:r>
          </w:p>
          <w:p w:rsidR="00E26C53" w:rsidRPr="00862A06" w:rsidRDefault="00E26C53" w:rsidP="00862A06">
            <w:pPr>
              <w:jc w:val="both"/>
              <w:outlineLvl w:val="0"/>
              <w:rPr>
                <w:rFonts w:ascii="Times New Roman" w:eastAsia="Calibri" w:hAnsi="Times New Roman"/>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(5) Като спазват разпоредбите на член 1, параграф 4 от Регламент за изпълнение (ЕС) № 390/2013, държавите членки могат да решат да не прилагат настоящия регламент за аеронавигационно обслужване на летища с по-малко от 70 000 въздушни транспортни движения годишно, извършвани по правилата за полети по прибори (ППП).</w:t>
            </w: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Държавите членки информират Комисията за това решение.</w:t>
            </w: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t>Article 1</w:t>
            </w:r>
          </w:p>
          <w:p w:rsidR="00E26C53" w:rsidRPr="00862A06" w:rsidRDefault="00E26C53" w:rsidP="00862A06">
            <w:pPr>
              <w:autoSpaceDE w:val="0"/>
              <w:autoSpaceDN w:val="0"/>
              <w:adjustRightInd w:val="0"/>
              <w:jc w:val="center"/>
              <w:rPr>
                <w:rFonts w:ascii="Times New Roman" w:eastAsia="Calibri" w:hAnsi="Times New Roman"/>
                <w:b/>
                <w:bCs/>
                <w:sz w:val="20"/>
              </w:rPr>
            </w:pPr>
            <w:r w:rsidRPr="00862A06">
              <w:rPr>
                <w:rFonts w:ascii="Times New Roman" w:eastAsia="Calibri" w:hAnsi="Times New Roman"/>
                <w:b/>
                <w:bCs/>
                <w:sz w:val="20"/>
                <w:lang w:val="en-US"/>
              </w:rPr>
              <w:t>Subject matter and scope</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lang w:val="en-US"/>
              </w:rPr>
            </w:pPr>
            <w:r w:rsidRPr="00862A06">
              <w:rPr>
                <w:rFonts w:ascii="Times New Roman" w:eastAsia="Calibri" w:hAnsi="Times New Roman"/>
                <w:bCs/>
                <w:sz w:val="20"/>
              </w:rPr>
              <w:t xml:space="preserve">5. </w:t>
            </w:r>
            <w:r w:rsidRPr="00862A06">
              <w:rPr>
                <w:rFonts w:ascii="Times New Roman" w:eastAsia="Calibri" w:hAnsi="Times New Roman"/>
                <w:bCs/>
                <w:sz w:val="20"/>
                <w:lang w:val="en-US"/>
              </w:rPr>
              <w:t>Subject to Article 1(4) of Implementing Regulation (EU) No 390/2013, Member States may decide not to apply this Regulation to air navigation services provided at airports with fewer than 70 000 IFR air transport movements per year.</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rPr>
              <w:t>Member States shall inform the Commission of that decision.</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t>Член 5</w:t>
            </w:r>
          </w:p>
          <w:p w:rsidR="00E26C53" w:rsidRPr="00862A06" w:rsidRDefault="00E26C53" w:rsidP="00862A06">
            <w:pPr>
              <w:jc w:val="center"/>
              <w:outlineLvl w:val="0"/>
              <w:rPr>
                <w:rFonts w:ascii="Times New Roman" w:eastAsia="Calibri" w:hAnsi="Times New Roman"/>
                <w:b/>
                <w:iCs/>
                <w:sz w:val="20"/>
              </w:rPr>
            </w:pPr>
            <w:r w:rsidRPr="00862A06">
              <w:rPr>
                <w:rFonts w:ascii="Times New Roman" w:eastAsia="Calibri" w:hAnsi="Times New Roman"/>
                <w:b/>
                <w:iCs/>
                <w:sz w:val="20"/>
              </w:rPr>
              <w:t>Създаване на зони за събиране на такси</w:t>
            </w:r>
          </w:p>
          <w:p w:rsidR="00E26C53" w:rsidRPr="00862A06" w:rsidRDefault="00E26C53" w:rsidP="00862A06">
            <w:pPr>
              <w:jc w:val="both"/>
              <w:outlineLvl w:val="0"/>
              <w:rPr>
                <w:rFonts w:ascii="Times New Roman" w:eastAsia="Calibri" w:hAnsi="Times New Roman"/>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5. Дадена зона за събиране на терминални такси може да бъде променена в рамките на един референтен период. В този случай държавите членки:</w:t>
            </w: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t>Article 5</w:t>
            </w:r>
          </w:p>
          <w:p w:rsidR="00E26C53" w:rsidRPr="00862A06" w:rsidRDefault="00E26C53" w:rsidP="00862A06">
            <w:pPr>
              <w:autoSpaceDE w:val="0"/>
              <w:autoSpaceDN w:val="0"/>
              <w:adjustRightInd w:val="0"/>
              <w:jc w:val="center"/>
              <w:rPr>
                <w:rFonts w:ascii="Times New Roman" w:eastAsia="Calibri" w:hAnsi="Times New Roman"/>
                <w:b/>
                <w:bCs/>
                <w:sz w:val="20"/>
              </w:rPr>
            </w:pPr>
            <w:r w:rsidRPr="00862A06">
              <w:rPr>
                <w:rFonts w:ascii="Times New Roman" w:eastAsia="Calibri" w:hAnsi="Times New Roman"/>
                <w:b/>
                <w:bCs/>
                <w:sz w:val="20"/>
                <w:lang w:val="en-US"/>
              </w:rPr>
              <w:t>Establishment of charging zones</w:t>
            </w:r>
          </w:p>
          <w:p w:rsidR="00E26C53" w:rsidRPr="00862A06" w:rsidRDefault="00E26C53" w:rsidP="00862A06">
            <w:pPr>
              <w:autoSpaceDE w:val="0"/>
              <w:autoSpaceDN w:val="0"/>
              <w:adjustRightInd w:val="0"/>
              <w:jc w:val="center"/>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rPr>
              <w:t>5. A terminal charging zone may be modified in the course of a reference period. In that case, Member States shall:</w:t>
            </w:r>
          </w:p>
          <w:p w:rsidR="00E26C53" w:rsidRPr="00862A06" w:rsidRDefault="00E26C53" w:rsidP="00862A06">
            <w:pPr>
              <w:autoSpaceDE w:val="0"/>
              <w:autoSpaceDN w:val="0"/>
              <w:adjustRightInd w:val="0"/>
              <w:jc w:val="both"/>
              <w:rPr>
                <w:rFonts w:ascii="Times New Roman" w:eastAsia="Calibri" w:hAnsi="Times New Roman"/>
                <w:bCs/>
                <w:sz w:val="20"/>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а) предоставят на Комисията информация за съответните разходи и данни за въздушното движение, за да може тя да възпроизведе последователни серии от данни за разходите и въздушното движение, които отразяват ситуацията преди и след промяната, и да изпълни своите задачи за наблюдение на ефективността в съответствие с член 18 от Регламент за изпълнение (ЕС) № 390/2013;</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rPr>
              <w:t>(a) provide the Commission with the relevant cost and traffic data in order to allow it to rebuild consistent cost and traffic data series reflecting the situation before and after the change occurs, and carry out its performance monitoring tasks in accordance with Article 18 of Implementing Regulation (EU) No 390/2013;</w:t>
            </w:r>
          </w:p>
          <w:p w:rsidR="00E26C53" w:rsidRPr="00862A06" w:rsidRDefault="00E26C53" w:rsidP="00862A06">
            <w:pPr>
              <w:autoSpaceDE w:val="0"/>
              <w:autoSpaceDN w:val="0"/>
              <w:adjustRightInd w:val="0"/>
              <w:jc w:val="center"/>
              <w:rPr>
                <w:rFonts w:ascii="Times New Roman" w:eastAsia="Calibri" w:hAnsi="Times New Roman"/>
                <w:bCs/>
                <w:sz w:val="20"/>
                <w:lang w:val="en-US"/>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б) се консултират с представители на ползватели на въздушното пространство, и докладват техните коментари на Комисията;</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rPr>
              <w:t>(b) consult airspace users’ representatives and report their comments to the Commission;</w:t>
            </w:r>
          </w:p>
          <w:p w:rsidR="00E26C53" w:rsidRPr="00862A06" w:rsidRDefault="00E26C53" w:rsidP="00862A06">
            <w:pPr>
              <w:autoSpaceDE w:val="0"/>
              <w:autoSpaceDN w:val="0"/>
              <w:adjustRightInd w:val="0"/>
              <w:jc w:val="both"/>
              <w:rPr>
                <w:rFonts w:ascii="Times New Roman" w:eastAsia="Calibri" w:hAnsi="Times New Roman"/>
                <w:bCs/>
                <w:sz w:val="20"/>
              </w:rPr>
            </w:pPr>
          </w:p>
        </w:tc>
      </w:tr>
      <w:tr w:rsidR="00862A06" w:rsidTr="00862A06">
        <w:tc>
          <w:tcPr>
            <w:tcW w:w="4644" w:type="dxa"/>
            <w:shd w:val="clear" w:color="auto" w:fill="auto"/>
          </w:tcPr>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 xml:space="preserve">в) предоставят на Комисията оценка на въздействието на промените върху целите относно ефективността на разходите за терминално аеронавигационно обслужване, и посочват как ще </w:t>
            </w:r>
            <w:r w:rsidRPr="00862A06">
              <w:rPr>
                <w:rFonts w:ascii="Times New Roman" w:eastAsia="Calibri" w:hAnsi="Times New Roman"/>
                <w:iCs/>
                <w:sz w:val="20"/>
              </w:rPr>
              <w:lastRenderedPageBreak/>
              <w:t>извършват наблюдение на ефективността през останалата част от референтния период.</w:t>
            </w:r>
          </w:p>
        </w:tc>
        <w:tc>
          <w:tcPr>
            <w:tcW w:w="4644" w:type="dxa"/>
            <w:shd w:val="clear" w:color="auto" w:fill="auto"/>
          </w:tcPr>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rPr>
              <w:lastRenderedPageBreak/>
              <w:t xml:space="preserve">(c) provide the Commission with an assessment of the impact of the changes on the terminal air navigation services cost-efficiency targets and performance monitoring and indicate how it shall carry out the </w:t>
            </w:r>
            <w:r w:rsidRPr="00862A06">
              <w:rPr>
                <w:rFonts w:ascii="Times New Roman" w:eastAsia="Calibri" w:hAnsi="Times New Roman"/>
                <w:bCs/>
                <w:sz w:val="20"/>
              </w:rPr>
              <w:lastRenderedPageBreak/>
              <w:t>performance monitoring during the rest of the reference period.</w:t>
            </w:r>
          </w:p>
        </w:tc>
      </w:tr>
    </w:tbl>
    <w:p w:rsidR="00E26C53" w:rsidRDefault="00E26C53" w:rsidP="00E26C53">
      <w:pPr>
        <w:autoSpaceDE w:val="0"/>
        <w:autoSpaceDN w:val="0"/>
        <w:adjustRightInd w:val="0"/>
        <w:jc w:val="both"/>
        <w:rPr>
          <w:rFonts w:ascii="Times New Roman" w:hAnsi="Times New Roman"/>
          <w:color w:val="000000"/>
          <w:szCs w:val="24"/>
        </w:rPr>
      </w:pPr>
    </w:p>
    <w:p w:rsidR="00E26C53" w:rsidRDefault="00E26C53" w:rsidP="00E26C53">
      <w:pPr>
        <w:autoSpaceDE w:val="0"/>
        <w:autoSpaceDN w:val="0"/>
        <w:adjustRightInd w:val="0"/>
        <w:jc w:val="both"/>
        <w:rPr>
          <w:rFonts w:ascii="Times New Roman" w:hAnsi="Times New Roman"/>
          <w:color w:val="000000"/>
          <w:szCs w:val="24"/>
        </w:rPr>
      </w:pPr>
    </w:p>
    <w:p w:rsidR="00E26C53" w:rsidRDefault="00E26C53" w:rsidP="00E26C53">
      <w:pPr>
        <w:rPr>
          <w:rFonts w:ascii="Times New Roman" w:hAnsi="Times New Roman"/>
          <w:color w:val="000000"/>
          <w:szCs w:val="24"/>
          <w:lang w:val="en-US"/>
        </w:rPr>
      </w:pPr>
      <w:r>
        <w:rPr>
          <w:rFonts w:ascii="Times New Roman" w:hAnsi="Times New Roman"/>
          <w:color w:val="000000"/>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62A06" w:rsidRPr="0095170C" w:rsidTr="00862A06">
        <w:tc>
          <w:tcPr>
            <w:tcW w:w="9288" w:type="dxa"/>
            <w:gridSpan w:val="2"/>
            <w:shd w:val="clear" w:color="auto" w:fill="auto"/>
          </w:tcPr>
          <w:p w:rsidR="00E26C53" w:rsidRPr="00862A06" w:rsidRDefault="00E26C53" w:rsidP="00862A06">
            <w:pPr>
              <w:autoSpaceDE w:val="0"/>
              <w:autoSpaceDN w:val="0"/>
              <w:adjustRightInd w:val="0"/>
              <w:jc w:val="center"/>
              <w:rPr>
                <w:rFonts w:ascii="Times New Roman" w:eastAsia="Calibri" w:hAnsi="Times New Roman"/>
                <w:b/>
                <w:color w:val="000000"/>
                <w:szCs w:val="24"/>
              </w:rPr>
            </w:pPr>
            <w:r w:rsidRPr="00862A06">
              <w:rPr>
                <w:rFonts w:ascii="Times New Roman" w:eastAsia="Calibri" w:hAnsi="Times New Roman"/>
                <w:b/>
                <w:i/>
                <w:noProof/>
                <w:color w:val="FF0000"/>
                <w:szCs w:val="24"/>
                <w:lang w:val="en-US"/>
              </w:rPr>
              <w:lastRenderedPageBreak/>
              <w:br w:type="page"/>
            </w:r>
            <w:r w:rsidRPr="00862A06">
              <w:rPr>
                <w:rFonts w:ascii="Times New Roman" w:eastAsia="Calibri" w:hAnsi="Times New Roman"/>
                <w:b/>
                <w:color w:val="000000"/>
                <w:szCs w:val="24"/>
              </w:rPr>
              <w:t>Регламент за изпълнение (ЕС) 390/2013</w:t>
            </w:r>
          </w:p>
        </w:tc>
      </w:tr>
      <w:tr w:rsidR="00862A06" w:rsidTr="00862A06">
        <w:tc>
          <w:tcPr>
            <w:tcW w:w="4644" w:type="dxa"/>
            <w:shd w:val="clear" w:color="auto" w:fill="auto"/>
          </w:tcPr>
          <w:p w:rsidR="00E26C53" w:rsidRPr="00862A06" w:rsidRDefault="00E26C53" w:rsidP="00862A06">
            <w:pPr>
              <w:jc w:val="center"/>
              <w:outlineLvl w:val="0"/>
              <w:rPr>
                <w:rFonts w:ascii="Times New Roman" w:eastAsia="Calibri" w:hAnsi="Times New Roman"/>
                <w:iCs/>
                <w:sz w:val="20"/>
              </w:rPr>
            </w:pPr>
            <w:r w:rsidRPr="00862A06">
              <w:rPr>
                <w:rFonts w:ascii="Times New Roman" w:eastAsia="Calibri" w:hAnsi="Times New Roman"/>
                <w:iCs/>
                <w:sz w:val="20"/>
              </w:rPr>
              <w:t>Член 1</w:t>
            </w:r>
          </w:p>
          <w:p w:rsidR="00E26C53" w:rsidRPr="00862A06" w:rsidRDefault="00E26C53" w:rsidP="00862A06">
            <w:pPr>
              <w:jc w:val="center"/>
              <w:outlineLvl w:val="0"/>
              <w:rPr>
                <w:rFonts w:ascii="Times New Roman" w:eastAsia="Calibri" w:hAnsi="Times New Roman"/>
                <w:i/>
                <w:iCs/>
                <w:sz w:val="20"/>
              </w:rPr>
            </w:pPr>
            <w:r w:rsidRPr="00862A06">
              <w:rPr>
                <w:rFonts w:ascii="Times New Roman" w:eastAsia="Calibri" w:hAnsi="Times New Roman"/>
                <w:iCs/>
                <w:sz w:val="20"/>
              </w:rPr>
              <w:t>Предмет и обхват</w:t>
            </w:r>
          </w:p>
          <w:p w:rsidR="00E26C53" w:rsidRPr="00862A06" w:rsidRDefault="00E26C53" w:rsidP="00862A06">
            <w:pPr>
              <w:jc w:val="center"/>
              <w:outlineLvl w:val="0"/>
              <w:rPr>
                <w:rFonts w:ascii="Times New Roman" w:eastAsia="Calibri" w:hAnsi="Times New Roman"/>
                <w:iCs/>
                <w:sz w:val="20"/>
              </w:rPr>
            </w:pPr>
          </w:p>
          <w:p w:rsidR="00E26C53" w:rsidRPr="00862A06" w:rsidRDefault="00E26C53" w:rsidP="00862A06">
            <w:pPr>
              <w:jc w:val="both"/>
              <w:outlineLvl w:val="0"/>
              <w:rPr>
                <w:rFonts w:ascii="Times New Roman" w:eastAsia="Calibri" w:hAnsi="Times New Roman"/>
                <w:iCs/>
                <w:sz w:val="20"/>
              </w:rPr>
            </w:pPr>
            <w:r w:rsidRPr="00862A06">
              <w:rPr>
                <w:rFonts w:ascii="Times New Roman" w:eastAsia="Calibri" w:hAnsi="Times New Roman"/>
                <w:iCs/>
                <w:sz w:val="20"/>
              </w:rPr>
              <w:t>3. Без да се засягат разпоредбите на параграф 4, държавите членки могат да решат да не прилагат настоящия регламент към терминалното аеронавигационно обслужване, предоставяно на някои или на всички техни летища с по-малко от 70 000 движения на търговски въздушен транспорт за година по правилата за полети по прибори. Те информират Комисията за това.</w:t>
            </w:r>
          </w:p>
          <w:p w:rsidR="00E26C53" w:rsidRPr="00862A06" w:rsidRDefault="00E26C53" w:rsidP="00862A06">
            <w:pPr>
              <w:jc w:val="both"/>
              <w:outlineLvl w:val="0"/>
              <w:rPr>
                <w:rStyle w:val="FootnoteReference"/>
                <w:rFonts w:ascii="Times New Roman" w:eastAsia="Calibri" w:hAnsi="Times New Roman"/>
                <w:sz w:val="20"/>
              </w:rPr>
            </w:pPr>
            <w:r w:rsidRPr="00862A06">
              <w:rPr>
                <w:rFonts w:ascii="Times New Roman" w:eastAsia="Calibri" w:hAnsi="Times New Roman"/>
                <w:iCs/>
                <w:sz w:val="20"/>
              </w:rPr>
              <w:t>4. Когато нито едно от летищата в дадена държава членка не достига прага от 70 000 движения на търговски въздушен транспорт за година по правилата за полети по прибори, настоящият регламент се прилага поне към летището с най-много движения на търговски въздушен транспорт по правилата за полети по прибори.</w:t>
            </w:r>
          </w:p>
        </w:tc>
        <w:tc>
          <w:tcPr>
            <w:tcW w:w="4644" w:type="dxa"/>
            <w:shd w:val="clear" w:color="auto" w:fill="auto"/>
          </w:tcPr>
          <w:p w:rsidR="00E26C53" w:rsidRPr="00862A06" w:rsidRDefault="00E26C53" w:rsidP="00862A06">
            <w:pPr>
              <w:autoSpaceDE w:val="0"/>
              <w:autoSpaceDN w:val="0"/>
              <w:adjustRightInd w:val="0"/>
              <w:jc w:val="center"/>
              <w:rPr>
                <w:rFonts w:ascii="Times New Roman" w:eastAsia="Calibri" w:hAnsi="Times New Roman"/>
                <w:bCs/>
                <w:sz w:val="20"/>
                <w:lang w:val="en-US"/>
              </w:rPr>
            </w:pPr>
            <w:r w:rsidRPr="00862A06">
              <w:rPr>
                <w:rFonts w:ascii="Times New Roman" w:eastAsia="Calibri" w:hAnsi="Times New Roman"/>
                <w:bCs/>
                <w:sz w:val="20"/>
                <w:lang w:val="en-US"/>
              </w:rPr>
              <w:t>Article 1</w:t>
            </w:r>
          </w:p>
          <w:p w:rsidR="00E26C53" w:rsidRPr="00862A06" w:rsidRDefault="00E26C53" w:rsidP="00862A06">
            <w:pPr>
              <w:autoSpaceDE w:val="0"/>
              <w:autoSpaceDN w:val="0"/>
              <w:adjustRightInd w:val="0"/>
              <w:jc w:val="center"/>
              <w:rPr>
                <w:rFonts w:ascii="Times New Roman" w:eastAsia="Calibri" w:hAnsi="Times New Roman"/>
                <w:bCs/>
                <w:sz w:val="20"/>
              </w:rPr>
            </w:pPr>
            <w:r w:rsidRPr="00862A06">
              <w:rPr>
                <w:rFonts w:ascii="Times New Roman" w:eastAsia="Calibri" w:hAnsi="Times New Roman"/>
                <w:bCs/>
                <w:sz w:val="20"/>
                <w:lang w:val="en-US"/>
              </w:rPr>
              <w:t>Subject matter and scope</w:t>
            </w:r>
          </w:p>
          <w:p w:rsidR="00E26C53" w:rsidRPr="00862A06" w:rsidRDefault="00E26C53" w:rsidP="00862A06">
            <w:pPr>
              <w:autoSpaceDE w:val="0"/>
              <w:autoSpaceDN w:val="0"/>
              <w:adjustRightInd w:val="0"/>
              <w:jc w:val="center"/>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3. Without prejudice to paragraph 4, Member States may</w:t>
            </w:r>
            <w:r w:rsidRPr="00862A06">
              <w:rPr>
                <w:rFonts w:ascii="Times New Roman" w:eastAsia="Calibri" w:hAnsi="Times New Roman"/>
                <w:bCs/>
                <w:sz w:val="20"/>
              </w:rPr>
              <w:t xml:space="preserve"> </w:t>
            </w:r>
            <w:r w:rsidRPr="00862A06">
              <w:rPr>
                <w:rFonts w:ascii="Times New Roman" w:eastAsia="Calibri" w:hAnsi="Times New Roman"/>
                <w:bCs/>
                <w:sz w:val="20"/>
                <w:lang w:val="en-US"/>
              </w:rPr>
              <w:t>decide not to apply this Regulation to terminal air navigation</w:t>
            </w:r>
            <w:r w:rsidRPr="00862A06">
              <w:rPr>
                <w:rFonts w:ascii="Times New Roman" w:eastAsia="Calibri" w:hAnsi="Times New Roman"/>
                <w:bCs/>
                <w:sz w:val="20"/>
              </w:rPr>
              <w:t xml:space="preserve"> </w:t>
            </w:r>
            <w:r w:rsidRPr="00862A06">
              <w:rPr>
                <w:rFonts w:ascii="Times New Roman" w:eastAsia="Calibri" w:hAnsi="Times New Roman"/>
                <w:bCs/>
                <w:sz w:val="20"/>
                <w:lang w:val="en-US"/>
              </w:rPr>
              <w:t>services provided at some or all of their airports with fewer</w:t>
            </w:r>
            <w:r w:rsidRPr="00862A06">
              <w:rPr>
                <w:rFonts w:ascii="Times New Roman" w:eastAsia="Calibri" w:hAnsi="Times New Roman"/>
                <w:bCs/>
                <w:sz w:val="20"/>
              </w:rPr>
              <w:t xml:space="preserve"> </w:t>
            </w:r>
            <w:r w:rsidRPr="00862A06">
              <w:rPr>
                <w:rFonts w:ascii="Times New Roman" w:eastAsia="Calibri" w:hAnsi="Times New Roman"/>
                <w:bCs/>
                <w:sz w:val="20"/>
                <w:lang w:val="en-US"/>
              </w:rPr>
              <w:t>than 70 000 IFR air transport movements per year. They shall</w:t>
            </w:r>
            <w:r w:rsidRPr="00862A06">
              <w:rPr>
                <w:rFonts w:ascii="Times New Roman" w:eastAsia="Calibri" w:hAnsi="Times New Roman"/>
                <w:bCs/>
                <w:sz w:val="20"/>
              </w:rPr>
              <w:t xml:space="preserve"> </w:t>
            </w:r>
            <w:r w:rsidRPr="00862A06">
              <w:rPr>
                <w:rFonts w:ascii="Times New Roman" w:eastAsia="Calibri" w:hAnsi="Times New Roman"/>
                <w:bCs/>
                <w:sz w:val="20"/>
                <w:lang w:val="en-US"/>
              </w:rPr>
              <w:t>inform the Commission accordingly.</w:t>
            </w: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p>
          <w:p w:rsidR="00E26C53" w:rsidRPr="00862A06" w:rsidRDefault="00E26C53" w:rsidP="00862A06">
            <w:pPr>
              <w:autoSpaceDE w:val="0"/>
              <w:autoSpaceDN w:val="0"/>
              <w:adjustRightInd w:val="0"/>
              <w:jc w:val="both"/>
              <w:rPr>
                <w:rFonts w:ascii="Times New Roman" w:eastAsia="Calibri" w:hAnsi="Times New Roman"/>
                <w:bCs/>
                <w:sz w:val="20"/>
              </w:rPr>
            </w:pPr>
            <w:r w:rsidRPr="00862A06">
              <w:rPr>
                <w:rFonts w:ascii="Times New Roman" w:eastAsia="Calibri" w:hAnsi="Times New Roman"/>
                <w:bCs/>
                <w:sz w:val="20"/>
                <w:lang w:val="en-US"/>
              </w:rPr>
              <w:t>4. Where none of the airports in a Member State reaches the</w:t>
            </w:r>
            <w:r w:rsidRPr="00862A06">
              <w:rPr>
                <w:rFonts w:ascii="Times New Roman" w:eastAsia="Calibri" w:hAnsi="Times New Roman"/>
                <w:bCs/>
                <w:sz w:val="20"/>
              </w:rPr>
              <w:t xml:space="preserve"> </w:t>
            </w:r>
            <w:r w:rsidRPr="00862A06">
              <w:rPr>
                <w:rFonts w:ascii="Times New Roman" w:eastAsia="Calibri" w:hAnsi="Times New Roman"/>
                <w:bCs/>
                <w:sz w:val="20"/>
                <w:lang w:val="en-US"/>
              </w:rPr>
              <w:t>threshold of 70 000 IFR air transport movements per year, this</w:t>
            </w:r>
            <w:r w:rsidRPr="00862A06">
              <w:rPr>
                <w:rFonts w:ascii="Times New Roman" w:eastAsia="Calibri" w:hAnsi="Times New Roman"/>
                <w:bCs/>
                <w:sz w:val="20"/>
              </w:rPr>
              <w:t xml:space="preserve"> </w:t>
            </w:r>
            <w:r w:rsidRPr="00862A06">
              <w:rPr>
                <w:rFonts w:ascii="Times New Roman" w:eastAsia="Calibri" w:hAnsi="Times New Roman"/>
                <w:bCs/>
                <w:sz w:val="20"/>
                <w:lang w:val="en-US"/>
              </w:rPr>
              <w:t>Regulation shall apply as a minimum to the airport with the</w:t>
            </w:r>
            <w:r w:rsidRPr="00862A06">
              <w:rPr>
                <w:rFonts w:ascii="Times New Roman" w:eastAsia="Calibri" w:hAnsi="Times New Roman"/>
                <w:bCs/>
                <w:sz w:val="20"/>
              </w:rPr>
              <w:t xml:space="preserve"> </w:t>
            </w:r>
            <w:r w:rsidRPr="00862A06">
              <w:rPr>
                <w:rFonts w:ascii="Times New Roman" w:eastAsia="Calibri" w:hAnsi="Times New Roman"/>
                <w:bCs/>
                <w:sz w:val="20"/>
                <w:lang w:val="en-US"/>
              </w:rPr>
              <w:t>highest number of IFR air transport movements.</w:t>
            </w:r>
          </w:p>
        </w:tc>
      </w:tr>
    </w:tbl>
    <w:p w:rsidR="00E26C53" w:rsidRDefault="00E26C53" w:rsidP="00E26C53">
      <w:pPr>
        <w:rPr>
          <w:rFonts w:ascii="Times New Roman" w:hAnsi="Times New Roman"/>
          <w:color w:val="000000"/>
          <w:szCs w:val="24"/>
          <w:lang w:val="en-US"/>
        </w:rPr>
      </w:pPr>
    </w:p>
    <w:p w:rsidR="00E26C53" w:rsidRDefault="00E26C53" w:rsidP="00E26C53">
      <w:pPr>
        <w:autoSpaceDE w:val="0"/>
        <w:autoSpaceDN w:val="0"/>
        <w:adjustRightInd w:val="0"/>
        <w:jc w:val="right"/>
        <w:rPr>
          <w:rFonts w:ascii="Times New Roman" w:hAnsi="Times New Roman"/>
          <w:b/>
          <w:i/>
          <w:noProof/>
          <w:color w:val="FF0000"/>
          <w:szCs w:val="24"/>
          <w:lang w:val="en-US"/>
        </w:rPr>
      </w:pPr>
    </w:p>
    <w:p w:rsidR="00E26C53" w:rsidRDefault="00E26C53" w:rsidP="00E26C53">
      <w:pPr>
        <w:autoSpaceDE w:val="0"/>
        <w:autoSpaceDN w:val="0"/>
        <w:adjustRightInd w:val="0"/>
        <w:jc w:val="right"/>
        <w:rPr>
          <w:rFonts w:ascii="Times New Roman" w:hAnsi="Times New Roman"/>
          <w:b/>
          <w:i/>
          <w:noProof/>
          <w:color w:val="FF0000"/>
          <w:szCs w:val="24"/>
          <w:lang w:val="en-US"/>
        </w:rPr>
      </w:pPr>
    </w:p>
    <w:p w:rsidR="00E26C53" w:rsidRDefault="00E26C53" w:rsidP="00E26C53">
      <w:pPr>
        <w:rPr>
          <w:rFonts w:ascii="Times New Roman" w:hAnsi="Times New Roman"/>
          <w:b/>
          <w:i/>
          <w:noProof/>
          <w:color w:val="FF0000"/>
          <w:szCs w:val="24"/>
          <w:lang w:val="en-US"/>
        </w:rPr>
      </w:pPr>
      <w:r>
        <w:rPr>
          <w:rFonts w:ascii="Times New Roman" w:hAnsi="Times New Roman"/>
          <w:b/>
          <w:i/>
          <w:noProof/>
          <w:color w:val="FF0000"/>
          <w:szCs w:val="24"/>
          <w:lang w:val="en-US"/>
        </w:rPr>
        <w:br w:type="page"/>
      </w:r>
    </w:p>
    <w:p w:rsidR="00E26C53" w:rsidRPr="00282224" w:rsidRDefault="00E26C53" w:rsidP="00E26C53">
      <w:pPr>
        <w:autoSpaceDE w:val="0"/>
        <w:autoSpaceDN w:val="0"/>
        <w:adjustRightInd w:val="0"/>
        <w:jc w:val="center"/>
        <w:rPr>
          <w:rFonts w:ascii="Times New Roman" w:hAnsi="Times New Roman"/>
          <w:b/>
          <w:noProof/>
          <w:color w:val="FF0000"/>
          <w:szCs w:val="24"/>
        </w:rPr>
      </w:pPr>
      <w:r w:rsidRPr="00282224">
        <w:rPr>
          <w:rFonts w:ascii="Times New Roman" w:hAnsi="Times New Roman"/>
          <w:b/>
          <w:noProof/>
          <w:color w:val="FF0000"/>
          <w:szCs w:val="24"/>
        </w:rPr>
        <w:lastRenderedPageBreak/>
        <w:t>Извадка от Регламент 1794/2006</w:t>
      </w:r>
      <w:r>
        <w:rPr>
          <w:rFonts w:ascii="Times New Roman" w:hAnsi="Times New Roman"/>
          <w:b/>
          <w:noProof/>
          <w:color w:val="FF0000"/>
          <w:szCs w:val="24"/>
        </w:rPr>
        <w:t xml:space="preserve"> на английски език</w:t>
      </w:r>
    </w:p>
    <w:p w:rsidR="00E26C53" w:rsidRDefault="00580B82" w:rsidP="00E26C53">
      <w:pPr>
        <w:autoSpaceDE w:val="0"/>
        <w:autoSpaceDN w:val="0"/>
        <w:adjustRightInd w:val="0"/>
        <w:jc w:val="center"/>
        <w:rPr>
          <w:rFonts w:ascii="Times New Roman" w:hAnsi="Times New Roman"/>
          <w:b/>
          <w:i/>
          <w:noProof/>
          <w:color w:val="FF0000"/>
          <w:szCs w:val="24"/>
        </w:rPr>
      </w:pPr>
      <w:r>
        <w:rPr>
          <w:rFonts w:ascii="Times New Roman" w:hAnsi="Times New Roman"/>
          <w:b/>
          <w:i/>
          <w:noProof/>
          <w:color w:val="FF0000"/>
          <w:szCs w:val="24"/>
        </w:rPr>
        <w:drawing>
          <wp:inline distT="0" distB="0" distL="0" distR="0">
            <wp:extent cx="5615940" cy="826389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8263890"/>
                    </a:xfrm>
                    <a:prstGeom prst="rect">
                      <a:avLst/>
                    </a:prstGeom>
                    <a:noFill/>
                    <a:ln>
                      <a:noFill/>
                    </a:ln>
                  </pic:spPr>
                </pic:pic>
              </a:graphicData>
            </a:graphic>
          </wp:inline>
        </w:drawing>
      </w:r>
    </w:p>
    <w:p w:rsidR="00E26C53" w:rsidRPr="00282224" w:rsidRDefault="00E26C53" w:rsidP="00E26C53">
      <w:pPr>
        <w:jc w:val="center"/>
        <w:rPr>
          <w:rFonts w:ascii="Times New Roman" w:hAnsi="Times New Roman"/>
          <w:b/>
          <w:noProof/>
          <w:color w:val="FF0000"/>
          <w:szCs w:val="24"/>
        </w:rPr>
      </w:pPr>
      <w:r>
        <w:rPr>
          <w:rFonts w:ascii="Times New Roman" w:hAnsi="Times New Roman"/>
          <w:b/>
          <w:i/>
          <w:noProof/>
          <w:color w:val="FF0000"/>
          <w:szCs w:val="24"/>
        </w:rPr>
        <w:br w:type="page"/>
      </w:r>
      <w:r w:rsidRPr="00282224">
        <w:rPr>
          <w:rFonts w:ascii="Times New Roman" w:hAnsi="Times New Roman"/>
          <w:b/>
          <w:noProof/>
          <w:color w:val="FF0000"/>
          <w:szCs w:val="24"/>
        </w:rPr>
        <w:lastRenderedPageBreak/>
        <w:t>Извадка от Регламент 1794/2006</w:t>
      </w:r>
      <w:r>
        <w:rPr>
          <w:rFonts w:ascii="Times New Roman" w:hAnsi="Times New Roman"/>
          <w:b/>
          <w:noProof/>
          <w:color w:val="FF0000"/>
          <w:szCs w:val="24"/>
        </w:rPr>
        <w:t xml:space="preserve"> на български език</w:t>
      </w:r>
    </w:p>
    <w:p w:rsidR="00E26C53" w:rsidRDefault="00580B82" w:rsidP="00E26C53">
      <w:pPr>
        <w:autoSpaceDE w:val="0"/>
        <w:autoSpaceDN w:val="0"/>
        <w:adjustRightInd w:val="0"/>
        <w:jc w:val="both"/>
        <w:rPr>
          <w:rFonts w:ascii="Times New Roman" w:hAnsi="Times New Roman"/>
          <w:szCs w:val="24"/>
        </w:rPr>
      </w:pPr>
      <w:r>
        <w:rPr>
          <w:rFonts w:ascii="Times New Roman" w:hAnsi="Times New Roman"/>
          <w:noProof/>
          <w:szCs w:val="24"/>
        </w:rPr>
        <w:drawing>
          <wp:inline distT="0" distB="0" distL="0" distR="0">
            <wp:extent cx="5657215" cy="83185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215" cy="8318500"/>
                    </a:xfrm>
                    <a:prstGeom prst="rect">
                      <a:avLst/>
                    </a:prstGeom>
                    <a:noFill/>
                    <a:ln>
                      <a:noFill/>
                    </a:ln>
                  </pic:spPr>
                </pic:pic>
              </a:graphicData>
            </a:graphic>
          </wp:inline>
        </w:drawing>
      </w:r>
    </w:p>
    <w:p w:rsidR="00E26C53" w:rsidRPr="00282224" w:rsidRDefault="00E26C53" w:rsidP="00E26C53">
      <w:pPr>
        <w:jc w:val="center"/>
        <w:rPr>
          <w:rFonts w:ascii="Times New Roman" w:hAnsi="Times New Roman"/>
          <w:b/>
          <w:noProof/>
          <w:color w:val="FF0000"/>
          <w:szCs w:val="24"/>
        </w:rPr>
      </w:pPr>
      <w:r>
        <w:rPr>
          <w:rFonts w:ascii="Times New Roman" w:hAnsi="Times New Roman"/>
          <w:szCs w:val="24"/>
        </w:rPr>
        <w:br w:type="page"/>
      </w:r>
      <w:r w:rsidRPr="00282224">
        <w:rPr>
          <w:rFonts w:ascii="Times New Roman" w:hAnsi="Times New Roman"/>
          <w:b/>
          <w:noProof/>
          <w:color w:val="FF0000"/>
          <w:szCs w:val="24"/>
        </w:rPr>
        <w:lastRenderedPageBreak/>
        <w:t xml:space="preserve">Извадка от Регламент </w:t>
      </w:r>
      <w:r>
        <w:rPr>
          <w:rFonts w:ascii="Times New Roman" w:hAnsi="Times New Roman"/>
          <w:b/>
          <w:noProof/>
          <w:color w:val="FF0000"/>
          <w:szCs w:val="24"/>
          <w:lang w:val="en-US"/>
        </w:rPr>
        <w:t>391</w:t>
      </w:r>
      <w:r w:rsidRPr="00282224">
        <w:rPr>
          <w:rFonts w:ascii="Times New Roman" w:hAnsi="Times New Roman"/>
          <w:b/>
          <w:noProof/>
          <w:color w:val="FF0000"/>
          <w:szCs w:val="24"/>
        </w:rPr>
        <w:t>/</w:t>
      </w:r>
      <w:r>
        <w:rPr>
          <w:rFonts w:ascii="Times New Roman" w:hAnsi="Times New Roman"/>
          <w:b/>
          <w:noProof/>
          <w:color w:val="FF0000"/>
          <w:szCs w:val="24"/>
          <w:lang w:val="en-US"/>
        </w:rPr>
        <w:t>2013</w:t>
      </w:r>
      <w:r>
        <w:rPr>
          <w:rFonts w:ascii="Times New Roman" w:hAnsi="Times New Roman"/>
          <w:b/>
          <w:noProof/>
          <w:color w:val="FF0000"/>
          <w:szCs w:val="24"/>
        </w:rPr>
        <w:t xml:space="preserve"> на английски език</w:t>
      </w:r>
    </w:p>
    <w:p w:rsidR="00E26C53" w:rsidRPr="009B2C40" w:rsidRDefault="00E26C53" w:rsidP="00E26C53">
      <w:pPr>
        <w:pStyle w:val="CM4"/>
        <w:jc w:val="center"/>
        <w:rPr>
          <w:rFonts w:ascii="Times New Roman" w:hAnsi="Times New Roman"/>
          <w:color w:val="000000"/>
          <w:sz w:val="20"/>
          <w:szCs w:val="20"/>
        </w:rPr>
      </w:pPr>
      <w:r w:rsidRPr="009B2C40">
        <w:rPr>
          <w:rFonts w:ascii="Times New Roman" w:hAnsi="Times New Roman"/>
          <w:i/>
          <w:iCs/>
          <w:color w:val="000000"/>
          <w:sz w:val="20"/>
          <w:szCs w:val="20"/>
        </w:rPr>
        <w:t>ANNEX VI</w:t>
      </w:r>
    </w:p>
    <w:p w:rsidR="00E26C53" w:rsidRDefault="00E26C53" w:rsidP="00E26C53">
      <w:pPr>
        <w:autoSpaceDE w:val="0"/>
        <w:autoSpaceDN w:val="0"/>
        <w:adjustRightInd w:val="0"/>
        <w:jc w:val="center"/>
        <w:rPr>
          <w:rFonts w:ascii="Times New Roman" w:hAnsi="Times New Roman"/>
          <w:b/>
          <w:bCs/>
          <w:color w:val="000000"/>
          <w:sz w:val="20"/>
          <w:lang w:val="en-US"/>
        </w:rPr>
      </w:pPr>
      <w:r w:rsidRPr="009B2C40">
        <w:rPr>
          <w:rFonts w:ascii="Times New Roman" w:hAnsi="Times New Roman"/>
          <w:b/>
          <w:bCs/>
          <w:color w:val="000000"/>
          <w:sz w:val="20"/>
        </w:rPr>
        <w:t>CHARGING MECHANISM</w:t>
      </w:r>
    </w:p>
    <w:p w:rsidR="00E26C53" w:rsidRPr="009B2C40" w:rsidRDefault="00E26C53" w:rsidP="00E26C53">
      <w:pPr>
        <w:autoSpaceDE w:val="0"/>
        <w:autoSpaceDN w:val="0"/>
        <w:adjustRightInd w:val="0"/>
        <w:jc w:val="center"/>
        <w:rPr>
          <w:rFonts w:ascii="Times New Roman" w:hAnsi="Times New Roman"/>
          <w:b/>
          <w:bCs/>
          <w:color w:val="000000"/>
          <w:sz w:val="20"/>
          <w:lang w:val="en-US"/>
        </w:rPr>
      </w:pPr>
    </w:p>
    <w:p w:rsidR="00E26C53" w:rsidRDefault="00580B82" w:rsidP="00E26C53">
      <w:pPr>
        <w:autoSpaceDE w:val="0"/>
        <w:autoSpaceDN w:val="0"/>
        <w:adjustRightInd w:val="0"/>
        <w:jc w:val="both"/>
        <w:rPr>
          <w:rFonts w:ascii="Times New Roman" w:hAnsi="Times New Roman"/>
          <w:szCs w:val="24"/>
          <w:lang w:val="en-US"/>
        </w:rPr>
      </w:pPr>
      <w:r>
        <w:rPr>
          <w:rFonts w:ascii="Times New Roman" w:hAnsi="Times New Roman"/>
          <w:noProof/>
          <w:szCs w:val="24"/>
        </w:rPr>
        <w:drawing>
          <wp:inline distT="0" distB="0" distL="0" distR="0">
            <wp:extent cx="6169025" cy="759523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025" cy="7595235"/>
                    </a:xfrm>
                    <a:prstGeom prst="rect">
                      <a:avLst/>
                    </a:prstGeom>
                    <a:noFill/>
                    <a:ln>
                      <a:noFill/>
                    </a:ln>
                  </pic:spPr>
                </pic:pic>
              </a:graphicData>
            </a:graphic>
          </wp:inline>
        </w:drawing>
      </w:r>
    </w:p>
    <w:p w:rsidR="00E26C53" w:rsidRDefault="00E26C53" w:rsidP="00E26C53">
      <w:pPr>
        <w:rPr>
          <w:rFonts w:ascii="Times New Roman" w:hAnsi="Times New Roman"/>
          <w:szCs w:val="24"/>
          <w:lang w:val="en-US"/>
        </w:rPr>
      </w:pPr>
      <w:r>
        <w:rPr>
          <w:rFonts w:ascii="Times New Roman" w:hAnsi="Times New Roman"/>
          <w:szCs w:val="24"/>
          <w:lang w:val="en-US"/>
        </w:rPr>
        <w:br w:type="page"/>
      </w:r>
    </w:p>
    <w:p w:rsidR="00E26C53" w:rsidRPr="00282224" w:rsidRDefault="00E26C53" w:rsidP="00E26C53">
      <w:pPr>
        <w:autoSpaceDE w:val="0"/>
        <w:autoSpaceDN w:val="0"/>
        <w:adjustRightInd w:val="0"/>
        <w:jc w:val="center"/>
        <w:rPr>
          <w:rFonts w:ascii="Times New Roman" w:hAnsi="Times New Roman"/>
          <w:b/>
          <w:noProof/>
          <w:color w:val="FF0000"/>
          <w:szCs w:val="24"/>
        </w:rPr>
      </w:pPr>
      <w:r w:rsidRPr="00282224">
        <w:rPr>
          <w:rFonts w:ascii="Times New Roman" w:hAnsi="Times New Roman"/>
          <w:b/>
          <w:noProof/>
          <w:color w:val="FF0000"/>
          <w:szCs w:val="24"/>
        </w:rPr>
        <w:lastRenderedPageBreak/>
        <w:t xml:space="preserve">Извадка от Регламент </w:t>
      </w:r>
      <w:r>
        <w:rPr>
          <w:rFonts w:ascii="Times New Roman" w:hAnsi="Times New Roman"/>
          <w:b/>
          <w:noProof/>
          <w:color w:val="FF0000"/>
          <w:szCs w:val="24"/>
          <w:lang w:val="en-US"/>
        </w:rPr>
        <w:t>391</w:t>
      </w:r>
      <w:r w:rsidRPr="00282224">
        <w:rPr>
          <w:rFonts w:ascii="Times New Roman" w:hAnsi="Times New Roman"/>
          <w:b/>
          <w:noProof/>
          <w:color w:val="FF0000"/>
          <w:szCs w:val="24"/>
        </w:rPr>
        <w:t>/</w:t>
      </w:r>
      <w:r>
        <w:rPr>
          <w:rFonts w:ascii="Times New Roman" w:hAnsi="Times New Roman"/>
          <w:b/>
          <w:noProof/>
          <w:color w:val="FF0000"/>
          <w:szCs w:val="24"/>
          <w:lang w:val="en-US"/>
        </w:rPr>
        <w:t>2013</w:t>
      </w:r>
      <w:r>
        <w:rPr>
          <w:rFonts w:ascii="Times New Roman" w:hAnsi="Times New Roman"/>
          <w:b/>
          <w:noProof/>
          <w:color w:val="FF0000"/>
          <w:szCs w:val="24"/>
        </w:rPr>
        <w:t xml:space="preserve"> на български език</w:t>
      </w:r>
    </w:p>
    <w:p w:rsidR="00E26C53" w:rsidRPr="00E85900" w:rsidRDefault="00E26C53" w:rsidP="00E26C53">
      <w:pPr>
        <w:pStyle w:val="CM4"/>
        <w:jc w:val="center"/>
        <w:rPr>
          <w:rFonts w:ascii="Times New Roman" w:hAnsi="Times New Roman"/>
          <w:i/>
          <w:iCs/>
          <w:color w:val="000000"/>
          <w:sz w:val="20"/>
          <w:szCs w:val="20"/>
        </w:rPr>
      </w:pPr>
      <w:r w:rsidRPr="00E85900">
        <w:rPr>
          <w:rFonts w:ascii="Times New Roman" w:hAnsi="Times New Roman"/>
          <w:i/>
          <w:iCs/>
          <w:color w:val="000000"/>
          <w:sz w:val="20"/>
          <w:szCs w:val="20"/>
        </w:rPr>
        <w:t xml:space="preserve">ПРИЛОЖЕНИЕ VI </w:t>
      </w:r>
    </w:p>
    <w:p w:rsidR="00E26C53" w:rsidRDefault="00E26C53" w:rsidP="00E26C53">
      <w:pPr>
        <w:pStyle w:val="CM4"/>
        <w:jc w:val="center"/>
        <w:rPr>
          <w:rFonts w:ascii="Times New Roman" w:hAnsi="Times New Roman"/>
          <w:b/>
          <w:iCs/>
          <w:color w:val="000000"/>
          <w:sz w:val="20"/>
          <w:szCs w:val="20"/>
        </w:rPr>
      </w:pPr>
      <w:r w:rsidRPr="00E85900">
        <w:rPr>
          <w:rFonts w:ascii="Times New Roman" w:hAnsi="Times New Roman"/>
          <w:b/>
          <w:iCs/>
          <w:color w:val="000000"/>
          <w:sz w:val="20"/>
          <w:szCs w:val="20"/>
        </w:rPr>
        <w:t>МЕХАНИЗЪМ НА ТАКСУВАНЕ</w:t>
      </w:r>
    </w:p>
    <w:p w:rsidR="00E26C53" w:rsidRPr="00855FCE" w:rsidRDefault="00580B82" w:rsidP="00E26C53">
      <w:pPr>
        <w:jc w:val="center"/>
        <w:rPr>
          <w:rFonts w:ascii="Times New Roman" w:hAnsi="Times New Roman"/>
        </w:rPr>
      </w:pPr>
      <w:r>
        <w:rPr>
          <w:noProof/>
        </w:rPr>
        <w:drawing>
          <wp:inline distT="0" distB="0" distL="0" distR="0">
            <wp:extent cx="6080125" cy="762254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0125" cy="7622540"/>
                    </a:xfrm>
                    <a:prstGeom prst="rect">
                      <a:avLst/>
                    </a:prstGeom>
                    <a:noFill/>
                    <a:ln>
                      <a:noFill/>
                    </a:ln>
                  </pic:spPr>
                </pic:pic>
              </a:graphicData>
            </a:graphic>
          </wp:inline>
        </w:drawing>
      </w:r>
    </w:p>
    <w:sectPr w:rsidR="00E26C53" w:rsidRPr="00855FCE" w:rsidSect="00CA44FC">
      <w:pgSz w:w="11907" w:h="16840" w:code="9"/>
      <w:pgMar w:top="357" w:right="85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73" w:rsidRDefault="00CA4773" w:rsidP="00EB1E40">
      <w:r>
        <w:separator/>
      </w:r>
    </w:p>
  </w:endnote>
  <w:endnote w:type="continuationSeparator" w:id="0">
    <w:p w:rsidR="00CA4773" w:rsidRDefault="00CA4773" w:rsidP="00E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EUAlbertina">
    <w:altName w:val="Cambria"/>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73" w:rsidRDefault="00CA4773" w:rsidP="00EB1E40">
      <w:r>
        <w:separator/>
      </w:r>
    </w:p>
  </w:footnote>
  <w:footnote w:type="continuationSeparator" w:id="0">
    <w:p w:rsidR="00CA4773" w:rsidRDefault="00CA4773" w:rsidP="00EB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776EA"/>
    <w:multiLevelType w:val="hybridMultilevel"/>
    <w:tmpl w:val="A37C78A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7F504F4"/>
    <w:multiLevelType w:val="hybridMultilevel"/>
    <w:tmpl w:val="DB807BB6"/>
    <w:lvl w:ilvl="0" w:tplc="17B4DB9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30508A3"/>
    <w:multiLevelType w:val="hybridMultilevel"/>
    <w:tmpl w:val="C870FCF0"/>
    <w:lvl w:ilvl="0" w:tplc="FD704F88">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35F53EE6"/>
    <w:multiLevelType w:val="multilevel"/>
    <w:tmpl w:val="9DA2DA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37E51958"/>
    <w:multiLevelType w:val="hybridMultilevel"/>
    <w:tmpl w:val="ECEE2BCC"/>
    <w:lvl w:ilvl="0" w:tplc="266C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033A1C"/>
    <w:multiLevelType w:val="hybridMultilevel"/>
    <w:tmpl w:val="319EEBCC"/>
    <w:lvl w:ilvl="0" w:tplc="79341C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6446660"/>
    <w:multiLevelType w:val="hybridMultilevel"/>
    <w:tmpl w:val="86CA75BE"/>
    <w:lvl w:ilvl="0" w:tplc="1FEE3A7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9131FF"/>
    <w:multiLevelType w:val="multilevel"/>
    <w:tmpl w:val="93385AE8"/>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0686489"/>
    <w:multiLevelType w:val="hybridMultilevel"/>
    <w:tmpl w:val="F7201C60"/>
    <w:lvl w:ilvl="0" w:tplc="3CEEF9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9E327E9"/>
    <w:multiLevelType w:val="hybridMultilevel"/>
    <w:tmpl w:val="463007CC"/>
    <w:lvl w:ilvl="0" w:tplc="E6B4407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D497FCF"/>
    <w:multiLevelType w:val="hybridMultilevel"/>
    <w:tmpl w:val="FEAE007C"/>
    <w:lvl w:ilvl="0" w:tplc="C736F88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74EC5E73"/>
    <w:multiLevelType w:val="hybridMultilevel"/>
    <w:tmpl w:val="AA2856B0"/>
    <w:lvl w:ilvl="0" w:tplc="1C1A67C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75591E29"/>
    <w:multiLevelType w:val="hybridMultilevel"/>
    <w:tmpl w:val="BC9094E4"/>
    <w:lvl w:ilvl="0" w:tplc="2BAA99A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13"/>
  </w:num>
  <w:num w:numId="5">
    <w:abstractNumId w:val="2"/>
  </w:num>
  <w:num w:numId="6">
    <w:abstractNumId w:val="7"/>
  </w:num>
  <w:num w:numId="7">
    <w:abstractNumId w:val="5"/>
  </w:num>
  <w:num w:numId="8">
    <w:abstractNumId w:val="9"/>
  </w:num>
  <w:num w:numId="9">
    <w:abstractNumId w:val="8"/>
  </w:num>
  <w:num w:numId="10">
    <w:abstractNumId w:val="6"/>
  </w:num>
  <w:num w:numId="11">
    <w:abstractNumId w:val="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4D"/>
    <w:rsid w:val="00001071"/>
    <w:rsid w:val="00020B93"/>
    <w:rsid w:val="00023306"/>
    <w:rsid w:val="00036AFA"/>
    <w:rsid w:val="00037426"/>
    <w:rsid w:val="00056C4E"/>
    <w:rsid w:val="00071096"/>
    <w:rsid w:val="0007594C"/>
    <w:rsid w:val="0008186E"/>
    <w:rsid w:val="000E115A"/>
    <w:rsid w:val="000F63DE"/>
    <w:rsid w:val="001169F0"/>
    <w:rsid w:val="00116B81"/>
    <w:rsid w:val="00121F88"/>
    <w:rsid w:val="0012581F"/>
    <w:rsid w:val="00131D3C"/>
    <w:rsid w:val="0015149A"/>
    <w:rsid w:val="00165262"/>
    <w:rsid w:val="00190313"/>
    <w:rsid w:val="001A6F7A"/>
    <w:rsid w:val="001B4071"/>
    <w:rsid w:val="001E6BDC"/>
    <w:rsid w:val="001F0D3B"/>
    <w:rsid w:val="002068C0"/>
    <w:rsid w:val="00214D4D"/>
    <w:rsid w:val="0023076A"/>
    <w:rsid w:val="00236622"/>
    <w:rsid w:val="00247F37"/>
    <w:rsid w:val="00281AEA"/>
    <w:rsid w:val="002826C4"/>
    <w:rsid w:val="002A219F"/>
    <w:rsid w:val="002A665A"/>
    <w:rsid w:val="002B6C27"/>
    <w:rsid w:val="002B79DB"/>
    <w:rsid w:val="002C1C0E"/>
    <w:rsid w:val="002D6213"/>
    <w:rsid w:val="002D645D"/>
    <w:rsid w:val="003030B4"/>
    <w:rsid w:val="00306C13"/>
    <w:rsid w:val="00317F14"/>
    <w:rsid w:val="0035552D"/>
    <w:rsid w:val="00355806"/>
    <w:rsid w:val="00360014"/>
    <w:rsid w:val="003B3B4E"/>
    <w:rsid w:val="003C4ABD"/>
    <w:rsid w:val="003D2C40"/>
    <w:rsid w:val="00400CF3"/>
    <w:rsid w:val="004255BE"/>
    <w:rsid w:val="0043685F"/>
    <w:rsid w:val="004679A3"/>
    <w:rsid w:val="00473A2D"/>
    <w:rsid w:val="004754E3"/>
    <w:rsid w:val="00496609"/>
    <w:rsid w:val="004B68C3"/>
    <w:rsid w:val="004D7AA7"/>
    <w:rsid w:val="004F7A90"/>
    <w:rsid w:val="00526373"/>
    <w:rsid w:val="00535B0F"/>
    <w:rsid w:val="005525AD"/>
    <w:rsid w:val="0056134C"/>
    <w:rsid w:val="00580B82"/>
    <w:rsid w:val="005A27AE"/>
    <w:rsid w:val="005A4130"/>
    <w:rsid w:val="005E1396"/>
    <w:rsid w:val="005F1329"/>
    <w:rsid w:val="006023C3"/>
    <w:rsid w:val="00623554"/>
    <w:rsid w:val="00625776"/>
    <w:rsid w:val="00641FC0"/>
    <w:rsid w:val="00646855"/>
    <w:rsid w:val="00650735"/>
    <w:rsid w:val="0066111B"/>
    <w:rsid w:val="00661FBC"/>
    <w:rsid w:val="00666810"/>
    <w:rsid w:val="006841A4"/>
    <w:rsid w:val="006B34BA"/>
    <w:rsid w:val="006B71B9"/>
    <w:rsid w:val="006B772E"/>
    <w:rsid w:val="006E6BDA"/>
    <w:rsid w:val="00705722"/>
    <w:rsid w:val="00722779"/>
    <w:rsid w:val="00760941"/>
    <w:rsid w:val="0079742B"/>
    <w:rsid w:val="007B7613"/>
    <w:rsid w:val="007C32B3"/>
    <w:rsid w:val="007E1D66"/>
    <w:rsid w:val="007E48C1"/>
    <w:rsid w:val="007F408B"/>
    <w:rsid w:val="007F7B30"/>
    <w:rsid w:val="008035D1"/>
    <w:rsid w:val="00814E98"/>
    <w:rsid w:val="008172D4"/>
    <w:rsid w:val="00837E9C"/>
    <w:rsid w:val="00841426"/>
    <w:rsid w:val="008463F0"/>
    <w:rsid w:val="008466FA"/>
    <w:rsid w:val="00855FCE"/>
    <w:rsid w:val="00862A06"/>
    <w:rsid w:val="008659DE"/>
    <w:rsid w:val="00882DC4"/>
    <w:rsid w:val="008A5C9A"/>
    <w:rsid w:val="008B0E36"/>
    <w:rsid w:val="008B24BC"/>
    <w:rsid w:val="008B56EA"/>
    <w:rsid w:val="008D4321"/>
    <w:rsid w:val="008D5CC3"/>
    <w:rsid w:val="008E2D17"/>
    <w:rsid w:val="009317A8"/>
    <w:rsid w:val="00934087"/>
    <w:rsid w:val="009455D3"/>
    <w:rsid w:val="00946A57"/>
    <w:rsid w:val="0096364E"/>
    <w:rsid w:val="009719AD"/>
    <w:rsid w:val="0098200F"/>
    <w:rsid w:val="0098791B"/>
    <w:rsid w:val="009C122C"/>
    <w:rsid w:val="009C33EB"/>
    <w:rsid w:val="009D400A"/>
    <w:rsid w:val="009E42B0"/>
    <w:rsid w:val="009E6273"/>
    <w:rsid w:val="009F7A78"/>
    <w:rsid w:val="00A0112E"/>
    <w:rsid w:val="00A02214"/>
    <w:rsid w:val="00A24523"/>
    <w:rsid w:val="00A453D0"/>
    <w:rsid w:val="00A5614A"/>
    <w:rsid w:val="00A77299"/>
    <w:rsid w:val="00A97E97"/>
    <w:rsid w:val="00AB0597"/>
    <w:rsid w:val="00AD64FE"/>
    <w:rsid w:val="00AD7C97"/>
    <w:rsid w:val="00AE232F"/>
    <w:rsid w:val="00B0076F"/>
    <w:rsid w:val="00B15667"/>
    <w:rsid w:val="00B473F1"/>
    <w:rsid w:val="00B63EC1"/>
    <w:rsid w:val="00B70316"/>
    <w:rsid w:val="00B91D46"/>
    <w:rsid w:val="00BA11FA"/>
    <w:rsid w:val="00BB2F2A"/>
    <w:rsid w:val="00BB42B7"/>
    <w:rsid w:val="00BC1F72"/>
    <w:rsid w:val="00BC612B"/>
    <w:rsid w:val="00BD7A73"/>
    <w:rsid w:val="00C0318E"/>
    <w:rsid w:val="00C45E86"/>
    <w:rsid w:val="00C62D5A"/>
    <w:rsid w:val="00C705A5"/>
    <w:rsid w:val="00C72F3F"/>
    <w:rsid w:val="00C74068"/>
    <w:rsid w:val="00C9797F"/>
    <w:rsid w:val="00CA44FC"/>
    <w:rsid w:val="00CA4773"/>
    <w:rsid w:val="00CB1321"/>
    <w:rsid w:val="00CF2ECD"/>
    <w:rsid w:val="00D13B5D"/>
    <w:rsid w:val="00D1544F"/>
    <w:rsid w:val="00D37978"/>
    <w:rsid w:val="00D724B9"/>
    <w:rsid w:val="00D928A6"/>
    <w:rsid w:val="00D92A61"/>
    <w:rsid w:val="00DA6F24"/>
    <w:rsid w:val="00DA6F89"/>
    <w:rsid w:val="00DD7B62"/>
    <w:rsid w:val="00DE6EF8"/>
    <w:rsid w:val="00E077CA"/>
    <w:rsid w:val="00E17043"/>
    <w:rsid w:val="00E20FA4"/>
    <w:rsid w:val="00E26C53"/>
    <w:rsid w:val="00E56EC9"/>
    <w:rsid w:val="00E65DFE"/>
    <w:rsid w:val="00E7782D"/>
    <w:rsid w:val="00EB1E40"/>
    <w:rsid w:val="00EC4B01"/>
    <w:rsid w:val="00EC5512"/>
    <w:rsid w:val="00ED2F42"/>
    <w:rsid w:val="00EF1B50"/>
    <w:rsid w:val="00F1033F"/>
    <w:rsid w:val="00F24887"/>
    <w:rsid w:val="00F26EFC"/>
    <w:rsid w:val="00F43820"/>
    <w:rsid w:val="00F54FA9"/>
    <w:rsid w:val="00F80B8E"/>
    <w:rsid w:val="00F84AFC"/>
    <w:rsid w:val="00F9609E"/>
    <w:rsid w:val="00FC6AEF"/>
    <w:rsid w:val="00FD701B"/>
    <w:rsid w:val="00FF6941"/>
    <w:rsid w:val="00FF78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3CAA"/>
  <w15:chartTrackingRefBased/>
  <w15:docId w15:val="{E7D3A635-2AC3-4D7C-BE4C-E1F473D4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jc w:val="center"/>
      <w:outlineLvl w:val="1"/>
    </w:pPr>
    <w:rPr>
      <w:rFonts w:ascii="Times New Roman" w:hAnsi="Times New Roman"/>
      <w:b/>
      <w:snapToGrid w:val="0"/>
      <w:color w:val="000000"/>
      <w:sz w:val="32"/>
      <w:lang w:eastAsia="en-US"/>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ind w:left="2880" w:firstLine="720"/>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3600" w:firstLine="720"/>
      <w:outlineLvl w:val="5"/>
    </w:pPr>
    <w:rPr>
      <w:rFonts w:ascii="Times New Roman" w:hAnsi="Times New Roman"/>
      <w:b/>
      <w:sz w:val="20"/>
    </w:rPr>
  </w:style>
  <w:style w:type="paragraph" w:styleId="Heading7">
    <w:name w:val="heading 7"/>
    <w:basedOn w:val="Normal"/>
    <w:next w:val="Normal"/>
    <w:qFormat/>
    <w:pPr>
      <w:keepNext/>
      <w:ind w:left="4320"/>
      <w:outlineLvl w:val="6"/>
    </w:pPr>
    <w:rPr>
      <w:rFonts w:ascii="Times New Roman" w:hAnsi="Times New Roman"/>
      <w:b/>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snapToGrid w:val="0"/>
      <w:color w:val="000000"/>
      <w:sz w:val="3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 w:val="20"/>
      <w:lang w:val="en-US" w:eastAsia="en-US"/>
    </w:rPr>
  </w:style>
  <w:style w:type="paragraph" w:styleId="Footer">
    <w:name w:val="footer"/>
    <w:basedOn w:val="Normal"/>
    <w:pPr>
      <w:tabs>
        <w:tab w:val="center" w:pos="4153"/>
        <w:tab w:val="right" w:pos="8306"/>
      </w:tabs>
    </w:pPr>
    <w:rPr>
      <w:rFonts w:ascii="Times New Roman" w:hAnsi="Times New Roman"/>
      <w:lang w:val="en-GB" w:eastAsia="en-US"/>
    </w:rPr>
  </w:style>
  <w:style w:type="paragraph" w:styleId="BodyTextIndent2">
    <w:name w:val="Body Text Indent 2"/>
    <w:basedOn w:val="Normal"/>
    <w:link w:val="BodyTextIndent2Char"/>
    <w:rsid w:val="00AD64FE"/>
    <w:pPr>
      <w:spacing w:after="120" w:line="480" w:lineRule="auto"/>
      <w:ind w:left="283"/>
    </w:pPr>
    <w:rPr>
      <w:lang w:val="x-none" w:eastAsia="x-none"/>
    </w:rPr>
  </w:style>
  <w:style w:type="character" w:customStyle="1" w:styleId="BodyTextIndent2Char">
    <w:name w:val="Body Text Indent 2 Char"/>
    <w:link w:val="BodyTextIndent2"/>
    <w:rsid w:val="0066111B"/>
    <w:rPr>
      <w:rFonts w:ascii="Arial" w:hAnsi="Arial"/>
      <w:sz w:val="24"/>
    </w:rPr>
  </w:style>
  <w:style w:type="character" w:styleId="FootnoteReference">
    <w:name w:val="footnote reference"/>
    <w:uiPriority w:val="99"/>
    <w:unhideWhenUsed/>
    <w:rsid w:val="00EB1E40"/>
    <w:rPr>
      <w:vertAlign w:val="superscript"/>
    </w:rPr>
  </w:style>
  <w:style w:type="character" w:customStyle="1" w:styleId="ala1">
    <w:name w:val="al_a1"/>
    <w:rsid w:val="00EB1E40"/>
    <w:rPr>
      <w:vanish w:val="0"/>
      <w:webHidden w:val="0"/>
      <w:specVanish w:val="0"/>
    </w:rPr>
  </w:style>
  <w:style w:type="character" w:customStyle="1" w:styleId="historyitem">
    <w:name w:val="historyitem"/>
    <w:basedOn w:val="DefaultParagraphFont"/>
    <w:rsid w:val="00F84AFC"/>
  </w:style>
  <w:style w:type="character" w:customStyle="1" w:styleId="historyitemselected1">
    <w:name w:val="historyitemselected1"/>
    <w:rsid w:val="00F84AFC"/>
    <w:rPr>
      <w:b/>
      <w:bCs/>
      <w:color w:val="0086C6"/>
    </w:rPr>
  </w:style>
  <w:style w:type="paragraph" w:customStyle="1" w:styleId="title2">
    <w:name w:val="title2"/>
    <w:basedOn w:val="Normal"/>
    <w:rsid w:val="00037426"/>
    <w:pPr>
      <w:spacing w:before="100" w:beforeAutospacing="1" w:after="100" w:afterAutospacing="1"/>
      <w:ind w:firstLine="1155"/>
      <w:jc w:val="both"/>
    </w:pPr>
    <w:rPr>
      <w:rFonts w:ascii="Times New Roman" w:hAnsi="Times New Roman"/>
      <w:i/>
      <w:iCs/>
      <w:sz w:val="22"/>
      <w:szCs w:val="22"/>
    </w:rPr>
  </w:style>
  <w:style w:type="character" w:customStyle="1" w:styleId="hiddenref1">
    <w:name w:val="hiddenref1"/>
    <w:rsid w:val="00037426"/>
    <w:rPr>
      <w:color w:val="000000"/>
      <w:u w:val="single"/>
    </w:rPr>
  </w:style>
  <w:style w:type="character" w:styleId="CommentReference">
    <w:name w:val="annotation reference"/>
    <w:rsid w:val="00D724B9"/>
    <w:rPr>
      <w:sz w:val="16"/>
      <w:szCs w:val="16"/>
    </w:rPr>
  </w:style>
  <w:style w:type="paragraph" w:styleId="CommentText">
    <w:name w:val="annotation text"/>
    <w:basedOn w:val="Normal"/>
    <w:link w:val="CommentTextChar"/>
    <w:rsid w:val="00D724B9"/>
    <w:rPr>
      <w:sz w:val="20"/>
    </w:rPr>
  </w:style>
  <w:style w:type="character" w:customStyle="1" w:styleId="CommentTextChar">
    <w:name w:val="Comment Text Char"/>
    <w:link w:val="CommentText"/>
    <w:rsid w:val="00D724B9"/>
    <w:rPr>
      <w:rFonts w:ascii="Arial" w:hAnsi="Arial"/>
    </w:rPr>
  </w:style>
  <w:style w:type="paragraph" w:styleId="CommentSubject">
    <w:name w:val="annotation subject"/>
    <w:basedOn w:val="CommentText"/>
    <w:next w:val="CommentText"/>
    <w:link w:val="CommentSubjectChar"/>
    <w:rsid w:val="00D724B9"/>
    <w:rPr>
      <w:b/>
      <w:bCs/>
    </w:rPr>
  </w:style>
  <w:style w:type="character" w:customStyle="1" w:styleId="CommentSubjectChar">
    <w:name w:val="Comment Subject Char"/>
    <w:link w:val="CommentSubject"/>
    <w:rsid w:val="00D724B9"/>
    <w:rPr>
      <w:rFonts w:ascii="Arial" w:hAnsi="Arial"/>
      <w:b/>
      <w:bCs/>
    </w:rPr>
  </w:style>
  <w:style w:type="paragraph" w:styleId="BalloonText">
    <w:name w:val="Balloon Text"/>
    <w:basedOn w:val="Normal"/>
    <w:link w:val="BalloonTextChar"/>
    <w:rsid w:val="00D724B9"/>
    <w:rPr>
      <w:rFonts w:ascii="Tahoma" w:hAnsi="Tahoma" w:cs="Tahoma"/>
      <w:sz w:val="16"/>
      <w:szCs w:val="16"/>
    </w:rPr>
  </w:style>
  <w:style w:type="character" w:customStyle="1" w:styleId="BalloonTextChar">
    <w:name w:val="Balloon Text Char"/>
    <w:link w:val="BalloonText"/>
    <w:rsid w:val="00D724B9"/>
    <w:rPr>
      <w:rFonts w:ascii="Tahoma" w:hAnsi="Tahoma" w:cs="Tahoma"/>
      <w:sz w:val="16"/>
      <w:szCs w:val="16"/>
    </w:rPr>
  </w:style>
  <w:style w:type="paragraph" w:styleId="FootnoteText">
    <w:name w:val="footnote text"/>
    <w:basedOn w:val="Normal"/>
    <w:link w:val="FootnoteTextChar"/>
    <w:uiPriority w:val="99"/>
    <w:unhideWhenUsed/>
    <w:rsid w:val="00E26C53"/>
    <w:rPr>
      <w:rFonts w:ascii="Calibri" w:eastAsia="Calibri" w:hAnsi="Calibri"/>
      <w:sz w:val="20"/>
      <w:lang w:eastAsia="en-US"/>
    </w:rPr>
  </w:style>
  <w:style w:type="character" w:customStyle="1" w:styleId="FootnoteTextChar">
    <w:name w:val="Footnote Text Char"/>
    <w:link w:val="FootnoteText"/>
    <w:uiPriority w:val="99"/>
    <w:rsid w:val="00E26C53"/>
    <w:rPr>
      <w:rFonts w:ascii="Calibri" w:eastAsia="Calibri" w:hAnsi="Calibri"/>
      <w:lang w:eastAsia="en-US"/>
    </w:rPr>
  </w:style>
  <w:style w:type="paragraph" w:customStyle="1" w:styleId="CM4">
    <w:name w:val="CM4"/>
    <w:basedOn w:val="Normal"/>
    <w:next w:val="Normal"/>
    <w:uiPriority w:val="99"/>
    <w:rsid w:val="00E26C53"/>
    <w:pPr>
      <w:autoSpaceDE w:val="0"/>
      <w:autoSpaceDN w:val="0"/>
      <w:adjustRightInd w:val="0"/>
    </w:pPr>
    <w:rPr>
      <w:rFonts w:ascii="EUAlbertina" w:eastAsia="Calibri" w:hAnsi="EUAlbertina"/>
      <w:szCs w:val="24"/>
      <w:lang w:eastAsia="en-US"/>
    </w:rPr>
  </w:style>
  <w:style w:type="table" w:styleId="TableGrid">
    <w:name w:val="Table Grid"/>
    <w:basedOn w:val="TableNormal"/>
    <w:uiPriority w:val="39"/>
    <w:rsid w:val="00E26C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3EC1"/>
    <w:pPr>
      <w:ind w:firstLine="990"/>
      <w:jc w:val="both"/>
    </w:pPr>
    <w:rPr>
      <w:rFonts w:ascii="Times New Roman" w:hAnsi="Times New Roman"/>
      <w:color w:val="000000"/>
      <w:szCs w:val="24"/>
    </w:rPr>
  </w:style>
  <w:style w:type="character" w:customStyle="1" w:styleId="blue1">
    <w:name w:val="blue1"/>
    <w:basedOn w:val="DefaultParagraphFont"/>
    <w:rsid w:val="00B63EC1"/>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341566">
      <w:bodyDiv w:val="1"/>
      <w:marLeft w:val="0"/>
      <w:marRight w:val="0"/>
      <w:marTop w:val="0"/>
      <w:marBottom w:val="0"/>
      <w:divBdr>
        <w:top w:val="none" w:sz="0" w:space="0" w:color="auto"/>
        <w:left w:val="none" w:sz="0" w:space="0" w:color="auto"/>
        <w:bottom w:val="none" w:sz="0" w:space="0" w:color="auto"/>
        <w:right w:val="none" w:sz="0" w:space="0" w:color="auto"/>
      </w:divBdr>
      <w:divsChild>
        <w:div w:id="348065280">
          <w:marLeft w:val="0"/>
          <w:marRight w:val="0"/>
          <w:marTop w:val="150"/>
          <w:marBottom w:val="0"/>
          <w:divBdr>
            <w:top w:val="single" w:sz="6" w:space="0" w:color="FFFFFF"/>
            <w:left w:val="single" w:sz="6" w:space="0" w:color="FFFFFF"/>
            <w:bottom w:val="single" w:sz="6" w:space="0" w:color="FFFFFF"/>
            <w:right w:val="single" w:sz="6" w:space="0" w:color="FFFFFF"/>
          </w:divBdr>
        </w:div>
        <w:div w:id="646083414">
          <w:marLeft w:val="0"/>
          <w:marRight w:val="0"/>
          <w:marTop w:val="0"/>
          <w:marBottom w:val="0"/>
          <w:divBdr>
            <w:top w:val="none" w:sz="0" w:space="0" w:color="auto"/>
            <w:left w:val="none" w:sz="0" w:space="0" w:color="auto"/>
            <w:bottom w:val="none" w:sz="0" w:space="0" w:color="auto"/>
            <w:right w:val="none" w:sz="0" w:space="0" w:color="auto"/>
          </w:divBdr>
          <w:divsChild>
            <w:div w:id="291638438">
              <w:marLeft w:val="0"/>
              <w:marRight w:val="0"/>
              <w:marTop w:val="150"/>
              <w:marBottom w:val="0"/>
              <w:divBdr>
                <w:top w:val="single" w:sz="6" w:space="0" w:color="FFFFFF"/>
                <w:left w:val="single" w:sz="6" w:space="0" w:color="FFFFFF"/>
                <w:bottom w:val="single" w:sz="6" w:space="0" w:color="FFFFFF"/>
                <w:right w:val="single" w:sz="6" w:space="0" w:color="FFFFFF"/>
              </w:divBdr>
            </w:div>
            <w:div w:id="551579874">
              <w:marLeft w:val="0"/>
              <w:marRight w:val="0"/>
              <w:marTop w:val="150"/>
              <w:marBottom w:val="0"/>
              <w:divBdr>
                <w:top w:val="single" w:sz="6" w:space="0" w:color="FFFFFF"/>
                <w:left w:val="single" w:sz="6" w:space="0" w:color="FFFFFF"/>
                <w:bottom w:val="single" w:sz="6" w:space="0" w:color="FFFFFF"/>
                <w:right w:val="single" w:sz="6" w:space="0" w:color="FFFFFF"/>
              </w:divBdr>
              <w:divsChild>
                <w:div w:id="1022977417">
                  <w:marLeft w:val="0"/>
                  <w:marRight w:val="0"/>
                  <w:marTop w:val="0"/>
                  <w:marBottom w:val="0"/>
                  <w:divBdr>
                    <w:top w:val="none" w:sz="0" w:space="0" w:color="auto"/>
                    <w:left w:val="none" w:sz="0" w:space="0" w:color="auto"/>
                    <w:bottom w:val="none" w:sz="0" w:space="0" w:color="auto"/>
                    <w:right w:val="none" w:sz="0" w:space="0" w:color="auto"/>
                  </w:divBdr>
                </w:div>
                <w:div w:id="865752191">
                  <w:marLeft w:val="0"/>
                  <w:marRight w:val="0"/>
                  <w:marTop w:val="0"/>
                  <w:marBottom w:val="0"/>
                  <w:divBdr>
                    <w:top w:val="single" w:sz="6" w:space="0" w:color="FFFFFF"/>
                    <w:left w:val="single" w:sz="6" w:space="0" w:color="FFFFFF"/>
                    <w:bottom w:val="single" w:sz="6" w:space="0" w:color="FFFFFF"/>
                    <w:right w:val="single" w:sz="6" w:space="0" w:color="FFFFFF"/>
                  </w:divBdr>
                  <w:divsChild>
                    <w:div w:id="1833792821">
                      <w:marLeft w:val="0"/>
                      <w:marRight w:val="60"/>
                      <w:marTop w:val="45"/>
                      <w:marBottom w:val="0"/>
                      <w:divBdr>
                        <w:top w:val="none" w:sz="0" w:space="0" w:color="auto"/>
                        <w:left w:val="none" w:sz="0" w:space="0" w:color="auto"/>
                        <w:bottom w:val="none" w:sz="0" w:space="0" w:color="auto"/>
                        <w:right w:val="none" w:sz="0" w:space="0" w:color="auto"/>
                      </w:divBdr>
                    </w:div>
                    <w:div w:id="199171751">
                      <w:marLeft w:val="0"/>
                      <w:marRight w:val="60"/>
                      <w:marTop w:val="45"/>
                      <w:marBottom w:val="0"/>
                      <w:divBdr>
                        <w:top w:val="none" w:sz="0" w:space="0" w:color="auto"/>
                        <w:left w:val="none" w:sz="0" w:space="0" w:color="auto"/>
                        <w:bottom w:val="none" w:sz="0" w:space="0" w:color="auto"/>
                        <w:right w:val="none" w:sz="0" w:space="0" w:color="auto"/>
                      </w:divBdr>
                    </w:div>
                    <w:div w:id="66535621">
                      <w:marLeft w:val="0"/>
                      <w:marRight w:val="60"/>
                      <w:marTop w:val="45"/>
                      <w:marBottom w:val="0"/>
                      <w:divBdr>
                        <w:top w:val="none" w:sz="0" w:space="0" w:color="auto"/>
                        <w:left w:val="none" w:sz="0" w:space="0" w:color="auto"/>
                        <w:bottom w:val="none" w:sz="0" w:space="0" w:color="auto"/>
                        <w:right w:val="none" w:sz="0" w:space="0" w:color="auto"/>
                      </w:divBdr>
                    </w:div>
                    <w:div w:id="1572688935">
                      <w:marLeft w:val="0"/>
                      <w:marRight w:val="60"/>
                      <w:marTop w:val="45"/>
                      <w:marBottom w:val="0"/>
                      <w:divBdr>
                        <w:top w:val="none" w:sz="0" w:space="0" w:color="auto"/>
                        <w:left w:val="none" w:sz="0" w:space="0" w:color="auto"/>
                        <w:bottom w:val="none" w:sz="0" w:space="0" w:color="auto"/>
                        <w:right w:val="none" w:sz="0" w:space="0" w:color="auto"/>
                      </w:divBdr>
                    </w:div>
                    <w:div w:id="422654837">
                      <w:marLeft w:val="0"/>
                      <w:marRight w:val="0"/>
                      <w:marTop w:val="0"/>
                      <w:marBottom w:val="0"/>
                      <w:divBdr>
                        <w:top w:val="none" w:sz="0" w:space="0" w:color="auto"/>
                        <w:left w:val="none" w:sz="0" w:space="0" w:color="auto"/>
                        <w:bottom w:val="none" w:sz="0" w:space="0" w:color="auto"/>
                        <w:right w:val="none" w:sz="0" w:space="0" w:color="auto"/>
                      </w:divBdr>
                      <w:divsChild>
                        <w:div w:id="2142842136">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7462">
      <w:bodyDiv w:val="1"/>
      <w:marLeft w:val="0"/>
      <w:marRight w:val="0"/>
      <w:marTop w:val="0"/>
      <w:marBottom w:val="0"/>
      <w:divBdr>
        <w:top w:val="none" w:sz="0" w:space="0" w:color="auto"/>
        <w:left w:val="none" w:sz="0" w:space="0" w:color="auto"/>
        <w:bottom w:val="none" w:sz="0" w:space="0" w:color="auto"/>
        <w:right w:val="none" w:sz="0" w:space="0" w:color="auto"/>
      </w:divBdr>
      <w:divsChild>
        <w:div w:id="7920955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BLANKI%20NEW\MT%20blanki\MT%20Blanka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1C0B-3971-45D7-B3E9-7225E9E8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BlankaBg</Template>
  <TotalTime>4</TotalTime>
  <Pages>1</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19312</CharactersWithSpaces>
  <SharedDoc>false</SharedDoc>
  <HLinks>
    <vt:vector size="288" baseType="variant">
      <vt:variant>
        <vt:i4>2162791</vt:i4>
      </vt:variant>
      <vt:variant>
        <vt:i4>141</vt:i4>
      </vt:variant>
      <vt:variant>
        <vt:i4>0</vt:i4>
      </vt:variant>
      <vt:variant>
        <vt:i4>5</vt:i4>
      </vt:variant>
      <vt:variant>
        <vt:lpwstr>http://cielasrv.atsa.bg/Dispatcher.aspx?Destination=Document&amp;Method=OpenEdition&amp;DocId=-549714431&amp;Category=normi&amp;Edition0=15&amp;lang=bg-BG</vt:lpwstr>
      </vt:variant>
      <vt:variant>
        <vt:lpwstr/>
      </vt:variant>
      <vt:variant>
        <vt:i4>2162790</vt:i4>
      </vt:variant>
      <vt:variant>
        <vt:i4>138</vt:i4>
      </vt:variant>
      <vt:variant>
        <vt:i4>0</vt:i4>
      </vt:variant>
      <vt:variant>
        <vt:i4>5</vt:i4>
      </vt:variant>
      <vt:variant>
        <vt:lpwstr>http://cielasrv.atsa.bg/Dispatcher.aspx?Destination=Document&amp;Method=OpenEdition&amp;DocId=-549714431&amp;Category=normi&amp;Edition0=14&amp;lang=bg-BG</vt:lpwstr>
      </vt:variant>
      <vt:variant>
        <vt:lpwstr/>
      </vt:variant>
      <vt:variant>
        <vt:i4>2162785</vt:i4>
      </vt:variant>
      <vt:variant>
        <vt:i4>135</vt:i4>
      </vt:variant>
      <vt:variant>
        <vt:i4>0</vt:i4>
      </vt:variant>
      <vt:variant>
        <vt:i4>5</vt:i4>
      </vt:variant>
      <vt:variant>
        <vt:lpwstr>http://cielasrv.atsa.bg/Dispatcher.aspx?Destination=Document&amp;Method=OpenEdition&amp;DocId=-549714431&amp;Category=normi&amp;Edition0=13&amp;lang=bg-BG</vt:lpwstr>
      </vt:variant>
      <vt:variant>
        <vt:lpwstr/>
      </vt:variant>
      <vt:variant>
        <vt:i4>2162784</vt:i4>
      </vt:variant>
      <vt:variant>
        <vt:i4>132</vt:i4>
      </vt:variant>
      <vt:variant>
        <vt:i4>0</vt:i4>
      </vt:variant>
      <vt:variant>
        <vt:i4>5</vt:i4>
      </vt:variant>
      <vt:variant>
        <vt:lpwstr>http://cielasrv.atsa.bg/Dispatcher.aspx?Destination=Document&amp;Method=OpenEdition&amp;DocId=-549714431&amp;Category=normi&amp;Edition0=12&amp;lang=bg-BG</vt:lpwstr>
      </vt:variant>
      <vt:variant>
        <vt:lpwstr/>
      </vt:variant>
      <vt:variant>
        <vt:i4>2162787</vt:i4>
      </vt:variant>
      <vt:variant>
        <vt:i4>129</vt:i4>
      </vt:variant>
      <vt:variant>
        <vt:i4>0</vt:i4>
      </vt:variant>
      <vt:variant>
        <vt:i4>5</vt:i4>
      </vt:variant>
      <vt:variant>
        <vt:lpwstr>http://cielasrv.atsa.bg/Dispatcher.aspx?Destination=Document&amp;Method=OpenEdition&amp;DocId=-549714431&amp;Category=normi&amp;Edition0=11&amp;lang=bg-BG</vt:lpwstr>
      </vt:variant>
      <vt:variant>
        <vt:lpwstr/>
      </vt:variant>
      <vt:variant>
        <vt:i4>2162786</vt:i4>
      </vt:variant>
      <vt:variant>
        <vt:i4>126</vt:i4>
      </vt:variant>
      <vt:variant>
        <vt:i4>0</vt:i4>
      </vt:variant>
      <vt:variant>
        <vt:i4>5</vt:i4>
      </vt:variant>
      <vt:variant>
        <vt:lpwstr>http://cielasrv.atsa.bg/Dispatcher.aspx?Destination=Document&amp;Method=OpenEdition&amp;DocId=-549714431&amp;Category=normi&amp;Edition0=10&amp;lang=bg-BG</vt:lpwstr>
      </vt:variant>
      <vt:variant>
        <vt:lpwstr/>
      </vt:variant>
      <vt:variant>
        <vt:i4>1769479</vt:i4>
      </vt:variant>
      <vt:variant>
        <vt:i4>123</vt:i4>
      </vt:variant>
      <vt:variant>
        <vt:i4>0</vt:i4>
      </vt:variant>
      <vt:variant>
        <vt:i4>5</vt:i4>
      </vt:variant>
      <vt:variant>
        <vt:lpwstr>http://cielasrv.atsa.bg/Dispatcher.aspx?Destination=Document&amp;Method=OpenEdition&amp;DocId=-549714431&amp;Category=normi&amp;Edition0=9&amp;lang=bg-BG</vt:lpwstr>
      </vt:variant>
      <vt:variant>
        <vt:lpwstr/>
      </vt:variant>
      <vt:variant>
        <vt:i4>1703943</vt:i4>
      </vt:variant>
      <vt:variant>
        <vt:i4>120</vt:i4>
      </vt:variant>
      <vt:variant>
        <vt:i4>0</vt:i4>
      </vt:variant>
      <vt:variant>
        <vt:i4>5</vt:i4>
      </vt:variant>
      <vt:variant>
        <vt:lpwstr>http://cielasrv.atsa.bg/Dispatcher.aspx?Destination=Document&amp;Method=OpenEdition&amp;DocId=-549714431&amp;Category=normi&amp;Edition0=8&amp;lang=bg-BG</vt:lpwstr>
      </vt:variant>
      <vt:variant>
        <vt:lpwstr/>
      </vt:variant>
      <vt:variant>
        <vt:i4>1376263</vt:i4>
      </vt:variant>
      <vt:variant>
        <vt:i4>117</vt:i4>
      </vt:variant>
      <vt:variant>
        <vt:i4>0</vt:i4>
      </vt:variant>
      <vt:variant>
        <vt:i4>5</vt:i4>
      </vt:variant>
      <vt:variant>
        <vt:lpwstr>http://cielasrv.atsa.bg/Dispatcher.aspx?Destination=Document&amp;Method=OpenEdition&amp;DocId=-549714431&amp;Category=normi&amp;Edition0=7&amp;lang=bg-BG</vt:lpwstr>
      </vt:variant>
      <vt:variant>
        <vt:lpwstr/>
      </vt:variant>
      <vt:variant>
        <vt:i4>1310727</vt:i4>
      </vt:variant>
      <vt:variant>
        <vt:i4>114</vt:i4>
      </vt:variant>
      <vt:variant>
        <vt:i4>0</vt:i4>
      </vt:variant>
      <vt:variant>
        <vt:i4>5</vt:i4>
      </vt:variant>
      <vt:variant>
        <vt:lpwstr>http://cielasrv.atsa.bg/Dispatcher.aspx?Destination=Document&amp;Method=OpenEdition&amp;DocId=-549714431&amp;Category=normi&amp;Edition0=6&amp;lang=bg-BG</vt:lpwstr>
      </vt:variant>
      <vt:variant>
        <vt:lpwstr/>
      </vt:variant>
      <vt:variant>
        <vt:i4>1507335</vt:i4>
      </vt:variant>
      <vt:variant>
        <vt:i4>111</vt:i4>
      </vt:variant>
      <vt:variant>
        <vt:i4>0</vt:i4>
      </vt:variant>
      <vt:variant>
        <vt:i4>5</vt:i4>
      </vt:variant>
      <vt:variant>
        <vt:lpwstr>http://cielasrv.atsa.bg/Dispatcher.aspx?Destination=Document&amp;Method=OpenEdition&amp;DocId=-549714431&amp;Category=normi&amp;Edition0=5&amp;lang=bg-BG</vt:lpwstr>
      </vt:variant>
      <vt:variant>
        <vt:lpwstr/>
      </vt:variant>
      <vt:variant>
        <vt:i4>1441799</vt:i4>
      </vt:variant>
      <vt:variant>
        <vt:i4>108</vt:i4>
      </vt:variant>
      <vt:variant>
        <vt:i4>0</vt:i4>
      </vt:variant>
      <vt:variant>
        <vt:i4>5</vt:i4>
      </vt:variant>
      <vt:variant>
        <vt:lpwstr>http://cielasrv.atsa.bg/Dispatcher.aspx?Destination=Document&amp;Method=OpenEdition&amp;DocId=-549714431&amp;Category=normi&amp;Edition0=4&amp;lang=bg-BG</vt:lpwstr>
      </vt:variant>
      <vt:variant>
        <vt:lpwstr/>
      </vt:variant>
      <vt:variant>
        <vt:i4>1114119</vt:i4>
      </vt:variant>
      <vt:variant>
        <vt:i4>105</vt:i4>
      </vt:variant>
      <vt:variant>
        <vt:i4>0</vt:i4>
      </vt:variant>
      <vt:variant>
        <vt:i4>5</vt:i4>
      </vt:variant>
      <vt:variant>
        <vt:lpwstr>http://cielasrv.atsa.bg/Dispatcher.aspx?Destination=Document&amp;Method=OpenEdition&amp;DocId=-549714431&amp;Category=normi&amp;Edition0=3&amp;lang=bg-BG</vt:lpwstr>
      </vt:variant>
      <vt:variant>
        <vt:lpwstr/>
      </vt:variant>
      <vt:variant>
        <vt:i4>1048583</vt:i4>
      </vt:variant>
      <vt:variant>
        <vt:i4>102</vt:i4>
      </vt:variant>
      <vt:variant>
        <vt:i4>0</vt:i4>
      </vt:variant>
      <vt:variant>
        <vt:i4>5</vt:i4>
      </vt:variant>
      <vt:variant>
        <vt:lpwstr>http://cielasrv.atsa.bg/Dispatcher.aspx?Destination=Document&amp;Method=OpenEdition&amp;DocId=-549714431&amp;Category=normi&amp;Edition0=2&amp;lang=bg-BG</vt:lpwstr>
      </vt:variant>
      <vt:variant>
        <vt:lpwstr/>
      </vt:variant>
      <vt:variant>
        <vt:i4>1245191</vt:i4>
      </vt:variant>
      <vt:variant>
        <vt:i4>99</vt:i4>
      </vt:variant>
      <vt:variant>
        <vt:i4>0</vt:i4>
      </vt:variant>
      <vt:variant>
        <vt:i4>5</vt:i4>
      </vt:variant>
      <vt:variant>
        <vt:lpwstr>http://cielasrv.atsa.bg/Dispatcher.aspx?Destination=Document&amp;Method=OpenEdition&amp;DocId=-549714431&amp;Category=normi&amp;Edition0=1&amp;lang=bg-BG</vt:lpwstr>
      </vt:variant>
      <vt:variant>
        <vt:lpwstr/>
      </vt:variant>
      <vt:variant>
        <vt:i4>1179655</vt:i4>
      </vt:variant>
      <vt:variant>
        <vt:i4>96</vt:i4>
      </vt:variant>
      <vt:variant>
        <vt:i4>0</vt:i4>
      </vt:variant>
      <vt:variant>
        <vt:i4>5</vt:i4>
      </vt:variant>
      <vt:variant>
        <vt:lpwstr>http://cielasrv.atsa.bg/Dispatcher.aspx?Destination=Document&amp;Method=OpenEdition&amp;DocId=-549714431&amp;Category=normi&amp;Edition0=0&amp;lang=bg-BG</vt:lpwstr>
      </vt:variant>
      <vt:variant>
        <vt:lpwstr/>
      </vt:variant>
      <vt:variant>
        <vt:i4>2162791</vt:i4>
      </vt:variant>
      <vt:variant>
        <vt:i4>93</vt:i4>
      </vt:variant>
      <vt:variant>
        <vt:i4>0</vt:i4>
      </vt:variant>
      <vt:variant>
        <vt:i4>5</vt:i4>
      </vt:variant>
      <vt:variant>
        <vt:lpwstr>http://cielasrv.atsa.bg/Dispatcher.aspx?Destination=Document&amp;Method=OpenEdition&amp;DocId=-549714431&amp;Category=normi&amp;Edition0=15&amp;lang=bg-BG</vt:lpwstr>
      </vt:variant>
      <vt:variant>
        <vt:lpwstr/>
      </vt:variant>
      <vt:variant>
        <vt:i4>2162790</vt:i4>
      </vt:variant>
      <vt:variant>
        <vt:i4>90</vt:i4>
      </vt:variant>
      <vt:variant>
        <vt:i4>0</vt:i4>
      </vt:variant>
      <vt:variant>
        <vt:i4>5</vt:i4>
      </vt:variant>
      <vt:variant>
        <vt:lpwstr>http://cielasrv.atsa.bg/Dispatcher.aspx?Destination=Document&amp;Method=OpenEdition&amp;DocId=-549714431&amp;Category=normi&amp;Edition0=14&amp;lang=bg-BG</vt:lpwstr>
      </vt:variant>
      <vt:variant>
        <vt:lpwstr/>
      </vt:variant>
      <vt:variant>
        <vt:i4>2162785</vt:i4>
      </vt:variant>
      <vt:variant>
        <vt:i4>87</vt:i4>
      </vt:variant>
      <vt:variant>
        <vt:i4>0</vt:i4>
      </vt:variant>
      <vt:variant>
        <vt:i4>5</vt:i4>
      </vt:variant>
      <vt:variant>
        <vt:lpwstr>http://cielasrv.atsa.bg/Dispatcher.aspx?Destination=Document&amp;Method=OpenEdition&amp;DocId=-549714431&amp;Category=normi&amp;Edition0=13&amp;lang=bg-BG</vt:lpwstr>
      </vt:variant>
      <vt:variant>
        <vt:lpwstr/>
      </vt:variant>
      <vt:variant>
        <vt:i4>2162784</vt:i4>
      </vt:variant>
      <vt:variant>
        <vt:i4>84</vt:i4>
      </vt:variant>
      <vt:variant>
        <vt:i4>0</vt:i4>
      </vt:variant>
      <vt:variant>
        <vt:i4>5</vt:i4>
      </vt:variant>
      <vt:variant>
        <vt:lpwstr>http://cielasrv.atsa.bg/Dispatcher.aspx?Destination=Document&amp;Method=OpenEdition&amp;DocId=-549714431&amp;Category=normi&amp;Edition0=12&amp;lang=bg-BG</vt:lpwstr>
      </vt:variant>
      <vt:variant>
        <vt:lpwstr/>
      </vt:variant>
      <vt:variant>
        <vt:i4>2162787</vt:i4>
      </vt:variant>
      <vt:variant>
        <vt:i4>81</vt:i4>
      </vt:variant>
      <vt:variant>
        <vt:i4>0</vt:i4>
      </vt:variant>
      <vt:variant>
        <vt:i4>5</vt:i4>
      </vt:variant>
      <vt:variant>
        <vt:lpwstr>http://cielasrv.atsa.bg/Dispatcher.aspx?Destination=Document&amp;Method=OpenEdition&amp;DocId=-549714431&amp;Category=normi&amp;Edition0=11&amp;lang=bg-BG</vt:lpwstr>
      </vt:variant>
      <vt:variant>
        <vt:lpwstr/>
      </vt:variant>
      <vt:variant>
        <vt:i4>2162786</vt:i4>
      </vt:variant>
      <vt:variant>
        <vt:i4>78</vt:i4>
      </vt:variant>
      <vt:variant>
        <vt:i4>0</vt:i4>
      </vt:variant>
      <vt:variant>
        <vt:i4>5</vt:i4>
      </vt:variant>
      <vt:variant>
        <vt:lpwstr>http://cielasrv.atsa.bg/Dispatcher.aspx?Destination=Document&amp;Method=OpenEdition&amp;DocId=-549714431&amp;Category=normi&amp;Edition0=10&amp;lang=bg-BG</vt:lpwstr>
      </vt:variant>
      <vt:variant>
        <vt:lpwstr/>
      </vt:variant>
      <vt:variant>
        <vt:i4>1769479</vt:i4>
      </vt:variant>
      <vt:variant>
        <vt:i4>75</vt:i4>
      </vt:variant>
      <vt:variant>
        <vt:i4>0</vt:i4>
      </vt:variant>
      <vt:variant>
        <vt:i4>5</vt:i4>
      </vt:variant>
      <vt:variant>
        <vt:lpwstr>http://cielasrv.atsa.bg/Dispatcher.aspx?Destination=Document&amp;Method=OpenEdition&amp;DocId=-549714431&amp;Category=normi&amp;Edition0=9&amp;lang=bg-BG</vt:lpwstr>
      </vt:variant>
      <vt:variant>
        <vt:lpwstr/>
      </vt:variant>
      <vt:variant>
        <vt:i4>1703943</vt:i4>
      </vt:variant>
      <vt:variant>
        <vt:i4>72</vt:i4>
      </vt:variant>
      <vt:variant>
        <vt:i4>0</vt:i4>
      </vt:variant>
      <vt:variant>
        <vt:i4>5</vt:i4>
      </vt:variant>
      <vt:variant>
        <vt:lpwstr>http://cielasrv.atsa.bg/Dispatcher.aspx?Destination=Document&amp;Method=OpenEdition&amp;DocId=-549714431&amp;Category=normi&amp;Edition0=8&amp;lang=bg-BG</vt:lpwstr>
      </vt:variant>
      <vt:variant>
        <vt:lpwstr/>
      </vt:variant>
      <vt:variant>
        <vt:i4>1376263</vt:i4>
      </vt:variant>
      <vt:variant>
        <vt:i4>69</vt:i4>
      </vt:variant>
      <vt:variant>
        <vt:i4>0</vt:i4>
      </vt:variant>
      <vt:variant>
        <vt:i4>5</vt:i4>
      </vt:variant>
      <vt:variant>
        <vt:lpwstr>http://cielasrv.atsa.bg/Dispatcher.aspx?Destination=Document&amp;Method=OpenEdition&amp;DocId=-549714431&amp;Category=normi&amp;Edition0=7&amp;lang=bg-BG</vt:lpwstr>
      </vt:variant>
      <vt:variant>
        <vt:lpwstr/>
      </vt:variant>
      <vt:variant>
        <vt:i4>1310727</vt:i4>
      </vt:variant>
      <vt:variant>
        <vt:i4>66</vt:i4>
      </vt:variant>
      <vt:variant>
        <vt:i4>0</vt:i4>
      </vt:variant>
      <vt:variant>
        <vt:i4>5</vt:i4>
      </vt:variant>
      <vt:variant>
        <vt:lpwstr>http://cielasrv.atsa.bg/Dispatcher.aspx?Destination=Document&amp;Method=OpenEdition&amp;DocId=-549714431&amp;Category=normi&amp;Edition0=6&amp;lang=bg-BG</vt:lpwstr>
      </vt:variant>
      <vt:variant>
        <vt:lpwstr/>
      </vt:variant>
      <vt:variant>
        <vt:i4>1507335</vt:i4>
      </vt:variant>
      <vt:variant>
        <vt:i4>63</vt:i4>
      </vt:variant>
      <vt:variant>
        <vt:i4>0</vt:i4>
      </vt:variant>
      <vt:variant>
        <vt:i4>5</vt:i4>
      </vt:variant>
      <vt:variant>
        <vt:lpwstr>http://cielasrv.atsa.bg/Dispatcher.aspx?Destination=Document&amp;Method=OpenEdition&amp;DocId=-549714431&amp;Category=normi&amp;Edition0=5&amp;lang=bg-BG</vt:lpwstr>
      </vt:variant>
      <vt:variant>
        <vt:lpwstr/>
      </vt:variant>
      <vt:variant>
        <vt:i4>1441799</vt:i4>
      </vt:variant>
      <vt:variant>
        <vt:i4>60</vt:i4>
      </vt:variant>
      <vt:variant>
        <vt:i4>0</vt:i4>
      </vt:variant>
      <vt:variant>
        <vt:i4>5</vt:i4>
      </vt:variant>
      <vt:variant>
        <vt:lpwstr>http://cielasrv.atsa.bg/Dispatcher.aspx?Destination=Document&amp;Method=OpenEdition&amp;DocId=-549714431&amp;Category=normi&amp;Edition0=4&amp;lang=bg-BG</vt:lpwstr>
      </vt:variant>
      <vt:variant>
        <vt:lpwstr/>
      </vt:variant>
      <vt:variant>
        <vt:i4>1114119</vt:i4>
      </vt:variant>
      <vt:variant>
        <vt:i4>57</vt:i4>
      </vt:variant>
      <vt:variant>
        <vt:i4>0</vt:i4>
      </vt:variant>
      <vt:variant>
        <vt:i4>5</vt:i4>
      </vt:variant>
      <vt:variant>
        <vt:lpwstr>http://cielasrv.atsa.bg/Dispatcher.aspx?Destination=Document&amp;Method=OpenEdition&amp;DocId=-549714431&amp;Category=normi&amp;Edition0=3&amp;lang=bg-BG</vt:lpwstr>
      </vt:variant>
      <vt:variant>
        <vt:lpwstr/>
      </vt:variant>
      <vt:variant>
        <vt:i4>1048583</vt:i4>
      </vt:variant>
      <vt:variant>
        <vt:i4>54</vt:i4>
      </vt:variant>
      <vt:variant>
        <vt:i4>0</vt:i4>
      </vt:variant>
      <vt:variant>
        <vt:i4>5</vt:i4>
      </vt:variant>
      <vt:variant>
        <vt:lpwstr>http://cielasrv.atsa.bg/Dispatcher.aspx?Destination=Document&amp;Method=OpenEdition&amp;DocId=-549714431&amp;Category=normi&amp;Edition0=2&amp;lang=bg-BG</vt:lpwstr>
      </vt:variant>
      <vt:variant>
        <vt:lpwstr/>
      </vt:variant>
      <vt:variant>
        <vt:i4>1245191</vt:i4>
      </vt:variant>
      <vt:variant>
        <vt:i4>51</vt:i4>
      </vt:variant>
      <vt:variant>
        <vt:i4>0</vt:i4>
      </vt:variant>
      <vt:variant>
        <vt:i4>5</vt:i4>
      </vt:variant>
      <vt:variant>
        <vt:lpwstr>http://cielasrv.atsa.bg/Dispatcher.aspx?Destination=Document&amp;Method=OpenEdition&amp;DocId=-549714431&amp;Category=normi&amp;Edition0=1&amp;lang=bg-BG</vt:lpwstr>
      </vt:variant>
      <vt:variant>
        <vt:lpwstr/>
      </vt:variant>
      <vt:variant>
        <vt:i4>1179655</vt:i4>
      </vt:variant>
      <vt:variant>
        <vt:i4>48</vt:i4>
      </vt:variant>
      <vt:variant>
        <vt:i4>0</vt:i4>
      </vt:variant>
      <vt:variant>
        <vt:i4>5</vt:i4>
      </vt:variant>
      <vt:variant>
        <vt:lpwstr>http://cielasrv.atsa.bg/Dispatcher.aspx?Destination=Document&amp;Method=OpenEdition&amp;DocId=-549714431&amp;Category=normi&amp;Edition0=0&amp;lang=bg-BG</vt:lpwstr>
      </vt:variant>
      <vt:variant>
        <vt:lpwstr/>
      </vt:variant>
      <vt:variant>
        <vt:i4>2162791</vt:i4>
      </vt:variant>
      <vt:variant>
        <vt:i4>45</vt:i4>
      </vt:variant>
      <vt:variant>
        <vt:i4>0</vt:i4>
      </vt:variant>
      <vt:variant>
        <vt:i4>5</vt:i4>
      </vt:variant>
      <vt:variant>
        <vt:lpwstr>http://cielasrv.atsa.bg/Dispatcher.aspx?Destination=Document&amp;Method=OpenEdition&amp;DocId=-549714431&amp;Category=normi&amp;Edition0=15&amp;lang=bg-BG</vt:lpwstr>
      </vt:variant>
      <vt:variant>
        <vt:lpwstr/>
      </vt:variant>
      <vt:variant>
        <vt:i4>2162790</vt:i4>
      </vt:variant>
      <vt:variant>
        <vt:i4>42</vt:i4>
      </vt:variant>
      <vt:variant>
        <vt:i4>0</vt:i4>
      </vt:variant>
      <vt:variant>
        <vt:i4>5</vt:i4>
      </vt:variant>
      <vt:variant>
        <vt:lpwstr>http://cielasrv.atsa.bg/Dispatcher.aspx?Destination=Document&amp;Method=OpenEdition&amp;DocId=-549714431&amp;Category=normi&amp;Edition0=14&amp;lang=bg-BG</vt:lpwstr>
      </vt:variant>
      <vt:variant>
        <vt:lpwstr/>
      </vt:variant>
      <vt:variant>
        <vt:i4>2162785</vt:i4>
      </vt:variant>
      <vt:variant>
        <vt:i4>39</vt:i4>
      </vt:variant>
      <vt:variant>
        <vt:i4>0</vt:i4>
      </vt:variant>
      <vt:variant>
        <vt:i4>5</vt:i4>
      </vt:variant>
      <vt:variant>
        <vt:lpwstr>http://cielasrv.atsa.bg/Dispatcher.aspx?Destination=Document&amp;Method=OpenEdition&amp;DocId=-549714431&amp;Category=normi&amp;Edition0=13&amp;lang=bg-BG</vt:lpwstr>
      </vt:variant>
      <vt:variant>
        <vt:lpwstr/>
      </vt:variant>
      <vt:variant>
        <vt:i4>2162784</vt:i4>
      </vt:variant>
      <vt:variant>
        <vt:i4>36</vt:i4>
      </vt:variant>
      <vt:variant>
        <vt:i4>0</vt:i4>
      </vt:variant>
      <vt:variant>
        <vt:i4>5</vt:i4>
      </vt:variant>
      <vt:variant>
        <vt:lpwstr>http://cielasrv.atsa.bg/Dispatcher.aspx?Destination=Document&amp;Method=OpenEdition&amp;DocId=-549714431&amp;Category=normi&amp;Edition0=12&amp;lang=bg-BG</vt:lpwstr>
      </vt:variant>
      <vt:variant>
        <vt:lpwstr/>
      </vt:variant>
      <vt:variant>
        <vt:i4>2162787</vt:i4>
      </vt:variant>
      <vt:variant>
        <vt:i4>33</vt:i4>
      </vt:variant>
      <vt:variant>
        <vt:i4>0</vt:i4>
      </vt:variant>
      <vt:variant>
        <vt:i4>5</vt:i4>
      </vt:variant>
      <vt:variant>
        <vt:lpwstr>http://cielasrv.atsa.bg/Dispatcher.aspx?Destination=Document&amp;Method=OpenEdition&amp;DocId=-549714431&amp;Category=normi&amp;Edition0=11&amp;lang=bg-BG</vt:lpwstr>
      </vt:variant>
      <vt:variant>
        <vt:lpwstr/>
      </vt:variant>
      <vt:variant>
        <vt:i4>2162786</vt:i4>
      </vt:variant>
      <vt:variant>
        <vt:i4>30</vt:i4>
      </vt:variant>
      <vt:variant>
        <vt:i4>0</vt:i4>
      </vt:variant>
      <vt:variant>
        <vt:i4>5</vt:i4>
      </vt:variant>
      <vt:variant>
        <vt:lpwstr>http://cielasrv.atsa.bg/Dispatcher.aspx?Destination=Document&amp;Method=OpenEdition&amp;DocId=-549714431&amp;Category=normi&amp;Edition0=10&amp;lang=bg-BG</vt:lpwstr>
      </vt:variant>
      <vt:variant>
        <vt:lpwstr/>
      </vt:variant>
      <vt:variant>
        <vt:i4>1769479</vt:i4>
      </vt:variant>
      <vt:variant>
        <vt:i4>27</vt:i4>
      </vt:variant>
      <vt:variant>
        <vt:i4>0</vt:i4>
      </vt:variant>
      <vt:variant>
        <vt:i4>5</vt:i4>
      </vt:variant>
      <vt:variant>
        <vt:lpwstr>http://cielasrv.atsa.bg/Dispatcher.aspx?Destination=Document&amp;Method=OpenEdition&amp;DocId=-549714431&amp;Category=normi&amp;Edition0=9&amp;lang=bg-BG</vt:lpwstr>
      </vt:variant>
      <vt:variant>
        <vt:lpwstr/>
      </vt:variant>
      <vt:variant>
        <vt:i4>1703943</vt:i4>
      </vt:variant>
      <vt:variant>
        <vt:i4>24</vt:i4>
      </vt:variant>
      <vt:variant>
        <vt:i4>0</vt:i4>
      </vt:variant>
      <vt:variant>
        <vt:i4>5</vt:i4>
      </vt:variant>
      <vt:variant>
        <vt:lpwstr>http://cielasrv.atsa.bg/Dispatcher.aspx?Destination=Document&amp;Method=OpenEdition&amp;DocId=-549714431&amp;Category=normi&amp;Edition0=8&amp;lang=bg-BG</vt:lpwstr>
      </vt:variant>
      <vt:variant>
        <vt:lpwstr/>
      </vt:variant>
      <vt:variant>
        <vt:i4>1376263</vt:i4>
      </vt:variant>
      <vt:variant>
        <vt:i4>21</vt:i4>
      </vt:variant>
      <vt:variant>
        <vt:i4>0</vt:i4>
      </vt:variant>
      <vt:variant>
        <vt:i4>5</vt:i4>
      </vt:variant>
      <vt:variant>
        <vt:lpwstr>http://cielasrv.atsa.bg/Dispatcher.aspx?Destination=Document&amp;Method=OpenEdition&amp;DocId=-549714431&amp;Category=normi&amp;Edition0=7&amp;lang=bg-BG</vt:lpwstr>
      </vt:variant>
      <vt:variant>
        <vt:lpwstr/>
      </vt:variant>
      <vt:variant>
        <vt:i4>1310727</vt:i4>
      </vt:variant>
      <vt:variant>
        <vt:i4>18</vt:i4>
      </vt:variant>
      <vt:variant>
        <vt:i4>0</vt:i4>
      </vt:variant>
      <vt:variant>
        <vt:i4>5</vt:i4>
      </vt:variant>
      <vt:variant>
        <vt:lpwstr>http://cielasrv.atsa.bg/Dispatcher.aspx?Destination=Document&amp;Method=OpenEdition&amp;DocId=-549714431&amp;Category=normi&amp;Edition0=6&amp;lang=bg-BG</vt:lpwstr>
      </vt:variant>
      <vt:variant>
        <vt:lpwstr/>
      </vt:variant>
      <vt:variant>
        <vt:i4>1507335</vt:i4>
      </vt:variant>
      <vt:variant>
        <vt:i4>15</vt:i4>
      </vt:variant>
      <vt:variant>
        <vt:i4>0</vt:i4>
      </vt:variant>
      <vt:variant>
        <vt:i4>5</vt:i4>
      </vt:variant>
      <vt:variant>
        <vt:lpwstr>http://cielasrv.atsa.bg/Dispatcher.aspx?Destination=Document&amp;Method=OpenEdition&amp;DocId=-549714431&amp;Category=normi&amp;Edition0=5&amp;lang=bg-BG</vt:lpwstr>
      </vt:variant>
      <vt:variant>
        <vt:lpwstr/>
      </vt:variant>
      <vt:variant>
        <vt:i4>1441799</vt:i4>
      </vt:variant>
      <vt:variant>
        <vt:i4>12</vt:i4>
      </vt:variant>
      <vt:variant>
        <vt:i4>0</vt:i4>
      </vt:variant>
      <vt:variant>
        <vt:i4>5</vt:i4>
      </vt:variant>
      <vt:variant>
        <vt:lpwstr>http://cielasrv.atsa.bg/Dispatcher.aspx?Destination=Document&amp;Method=OpenEdition&amp;DocId=-549714431&amp;Category=normi&amp;Edition0=4&amp;lang=bg-BG</vt:lpwstr>
      </vt:variant>
      <vt:variant>
        <vt:lpwstr/>
      </vt:variant>
      <vt:variant>
        <vt:i4>1048583</vt:i4>
      </vt:variant>
      <vt:variant>
        <vt:i4>9</vt:i4>
      </vt:variant>
      <vt:variant>
        <vt:i4>0</vt:i4>
      </vt:variant>
      <vt:variant>
        <vt:i4>5</vt:i4>
      </vt:variant>
      <vt:variant>
        <vt:lpwstr>http://cielasrv.atsa.bg/Dispatcher.aspx?Destination=Document&amp;Method=OpenEdition&amp;DocId=-549714431&amp;Category=normi&amp;Edition0=2&amp;lang=bg-BG</vt:lpwstr>
      </vt:variant>
      <vt:variant>
        <vt:lpwstr/>
      </vt:variant>
      <vt:variant>
        <vt:i4>1245191</vt:i4>
      </vt:variant>
      <vt:variant>
        <vt:i4>6</vt:i4>
      </vt:variant>
      <vt:variant>
        <vt:i4>0</vt:i4>
      </vt:variant>
      <vt:variant>
        <vt:i4>5</vt:i4>
      </vt:variant>
      <vt:variant>
        <vt:lpwstr>http://cielasrv.atsa.bg/Dispatcher.aspx?Destination=Document&amp;Method=OpenEdition&amp;DocId=-549714431&amp;Category=normi&amp;Edition0=1&amp;lang=bg-BG</vt:lpwstr>
      </vt:variant>
      <vt:variant>
        <vt:lpwstr/>
      </vt:variant>
      <vt:variant>
        <vt:i4>1179655</vt:i4>
      </vt:variant>
      <vt:variant>
        <vt:i4>3</vt:i4>
      </vt:variant>
      <vt:variant>
        <vt:i4>0</vt:i4>
      </vt:variant>
      <vt:variant>
        <vt:i4>5</vt:i4>
      </vt:variant>
      <vt:variant>
        <vt:lpwstr>http://cielasrv.atsa.bg/Dispatcher.aspx?Destination=Document&amp;Method=OpenEdition&amp;DocId=-549714431&amp;Category=normi&amp;Edition0=0&amp;lang=bg-BG</vt:lpwstr>
      </vt:variant>
      <vt:variant>
        <vt:lpwstr/>
      </vt:variant>
      <vt:variant>
        <vt:i4>6619241</vt:i4>
      </vt:variant>
      <vt:variant>
        <vt:i4>0</vt:i4>
      </vt:variant>
      <vt:variant>
        <vt:i4>0</vt:i4>
      </vt:variant>
      <vt:variant>
        <vt:i4>5</vt:i4>
      </vt:variant>
      <vt:variant>
        <vt:lpwstr>http://www.mtitc.government.bg/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IKoev</dc:creator>
  <cp:keywords/>
  <cp:lastModifiedBy>Zoia Cvetkova</cp:lastModifiedBy>
  <cp:revision>7</cp:revision>
  <cp:lastPrinted>2018-01-17T08:40:00Z</cp:lastPrinted>
  <dcterms:created xsi:type="dcterms:W3CDTF">2018-01-17T08:38:00Z</dcterms:created>
  <dcterms:modified xsi:type="dcterms:W3CDTF">2018-02-08T09:06:00Z</dcterms:modified>
</cp:coreProperties>
</file>