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E6FD" w14:textId="77777777" w:rsidR="00C64D30" w:rsidRPr="00C64D30" w:rsidRDefault="00C64D30" w:rsidP="00C64D30">
      <w:pPr>
        <w:widowControl w:val="0"/>
        <w:spacing w:after="318" w:line="240" w:lineRule="auto"/>
        <w:ind w:left="40" w:right="20"/>
        <w:jc w:val="both"/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</w:pP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 w:rsidRPr="00C64D30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ПРОЕКТ!</w:t>
      </w:r>
    </w:p>
    <w:p w14:paraId="5D7229E3" w14:textId="77777777" w:rsidR="00C64D30" w:rsidRDefault="00C64D30" w:rsidP="00C64D30">
      <w:pPr>
        <w:widowControl w:val="0"/>
        <w:spacing w:after="318" w:line="240" w:lineRule="auto"/>
        <w:ind w:left="40" w:right="20"/>
        <w:jc w:val="both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</w:pPr>
    </w:p>
    <w:p w14:paraId="7FBDC938" w14:textId="7E317130" w:rsidR="00C64D30" w:rsidRPr="00C64D30" w:rsidRDefault="00C64D30" w:rsidP="00C64D30">
      <w:pPr>
        <w:widowControl w:val="0"/>
        <w:spacing w:after="318" w:line="240" w:lineRule="auto"/>
        <w:ind w:left="40" w:right="20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  <w:lang w:eastAsia="bg-BG"/>
        </w:rPr>
      </w:pP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bg-BG"/>
        </w:rPr>
        <w:tab/>
      </w:r>
      <w:r w:rsidRPr="00960145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Наредба за изменение и допълнение на Наредба</w:t>
      </w:r>
      <w:r w:rsidRPr="00C64D30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 xml:space="preserve"> № Н-3 от 7.04.2009 г. за необходимите мерки за изпълнението и прилагането на Регламент (ЕС) № 165/2014 на Европейския парламент и на Съвета от 4 февруари 2014 г. относно </w:t>
      </w:r>
      <w:proofErr w:type="spellStart"/>
      <w:r w:rsidRPr="00C64D30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тахографите</w:t>
      </w:r>
      <w:proofErr w:type="spellEnd"/>
      <w:r w:rsidRPr="00C64D30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 xml:space="preserve">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 и за необходимите мерки за изпълнението и прилагането на Регламент (ЕО) № 561/2006 на Европейския парламент и на Съвета от 15 март 2006 г. за хармонизиране на някои разпоредби от социалното законодателство, свързани с автомобилния транспорт, за изменение на Регламенти (ЕИО) № 3821/85 и (ЕО) № 2135/98 на Съвета и за отмяна на Регламент (ЕИО) № 3820/85 на Съвета</w:t>
      </w:r>
      <w:r w:rsidR="00D50378" w:rsidRPr="00D50378">
        <w:rPr>
          <w:rFonts w:ascii="Verdana" w:hAnsi="Verdana"/>
        </w:rPr>
        <w:t xml:space="preserve"> </w:t>
      </w:r>
      <w:r w:rsidR="00D50378">
        <w:rPr>
          <w:rFonts w:ascii="Verdana" w:hAnsi="Verdana"/>
        </w:rPr>
        <w:t>(</w:t>
      </w:r>
      <w:proofErr w:type="spellStart"/>
      <w:r w:rsidR="00D50378" w:rsidRPr="00D50378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обн</w:t>
      </w:r>
      <w:proofErr w:type="spellEnd"/>
      <w:r w:rsidR="00D50378" w:rsidRPr="00D50378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 xml:space="preserve">., </w:t>
      </w:r>
      <w:r w:rsidR="00D50378" w:rsidRPr="00960145">
        <w:rPr>
          <w:rFonts w:ascii="Times New Roman" w:eastAsia="Courier New" w:hAnsi="Times New Roman" w:cs="Times New Roman"/>
          <w:b/>
          <w:spacing w:val="5"/>
          <w:sz w:val="24"/>
          <w:szCs w:val="24"/>
          <w:lang w:eastAsia="bg-BG"/>
        </w:rPr>
        <w:t xml:space="preserve">ДВ, </w:t>
      </w:r>
      <w:hyperlink r:id="rId5" w:history="1">
        <w:r w:rsidR="00D50378" w:rsidRPr="00960145">
          <w:rPr>
            <w:rStyle w:val="Hyperlink"/>
            <w:rFonts w:ascii="Times New Roman" w:eastAsia="Courier New" w:hAnsi="Times New Roman" w:cs="Times New Roman"/>
            <w:b/>
            <w:color w:val="auto"/>
            <w:spacing w:val="5"/>
            <w:sz w:val="24"/>
            <w:szCs w:val="24"/>
            <w:u w:val="none"/>
            <w:lang w:eastAsia="bg-BG"/>
          </w:rPr>
          <w:t>бр. 31</w:t>
        </w:r>
      </w:hyperlink>
      <w:r w:rsidR="00D50378" w:rsidRPr="00960145">
        <w:rPr>
          <w:rFonts w:ascii="Times New Roman" w:eastAsia="Courier New" w:hAnsi="Times New Roman" w:cs="Times New Roman"/>
          <w:b/>
          <w:spacing w:val="5"/>
          <w:sz w:val="24"/>
          <w:szCs w:val="24"/>
          <w:lang w:eastAsia="bg-BG"/>
        </w:rPr>
        <w:t xml:space="preserve"> от 2009 г., изм. и доп., </w:t>
      </w:r>
      <w:hyperlink r:id="rId6" w:history="1">
        <w:r w:rsidR="00D50378" w:rsidRPr="00960145">
          <w:rPr>
            <w:rStyle w:val="Hyperlink"/>
            <w:rFonts w:ascii="Times New Roman" w:eastAsia="Courier New" w:hAnsi="Times New Roman" w:cs="Times New Roman"/>
            <w:b/>
            <w:color w:val="auto"/>
            <w:spacing w:val="5"/>
            <w:sz w:val="24"/>
            <w:szCs w:val="24"/>
            <w:u w:val="none"/>
            <w:lang w:eastAsia="bg-BG"/>
          </w:rPr>
          <w:t>бр. 33</w:t>
        </w:r>
      </w:hyperlink>
      <w:r w:rsidR="00D50378" w:rsidRPr="00960145">
        <w:rPr>
          <w:rFonts w:ascii="Times New Roman" w:eastAsia="Courier New" w:hAnsi="Times New Roman" w:cs="Times New Roman"/>
          <w:b/>
          <w:spacing w:val="5"/>
          <w:sz w:val="24"/>
          <w:szCs w:val="24"/>
          <w:lang w:eastAsia="bg-BG"/>
        </w:rPr>
        <w:t xml:space="preserve"> от </w:t>
      </w:r>
      <w:r w:rsidR="00D50378" w:rsidRPr="00960145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2011</w:t>
      </w:r>
      <w:r w:rsidR="00D50378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 xml:space="preserve"> г., изм., бр. 15 от </w:t>
      </w:r>
      <w:r w:rsidR="00D50378" w:rsidRPr="00D50378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2016 г.</w:t>
      </w:r>
      <w:r w:rsidR="00D50378">
        <w:rPr>
          <w:rFonts w:ascii="Times New Roman" w:eastAsia="Courier New" w:hAnsi="Times New Roman" w:cs="Times New Roman"/>
          <w:b/>
          <w:color w:val="000000"/>
          <w:spacing w:val="5"/>
          <w:sz w:val="24"/>
          <w:szCs w:val="24"/>
          <w:lang w:eastAsia="bg-BG"/>
        </w:rPr>
        <w:t>)</w:t>
      </w:r>
    </w:p>
    <w:p w14:paraId="2EDD6ECB" w14:textId="77777777" w:rsidR="00C64D30" w:rsidRPr="00960145" w:rsidRDefault="00C64D30" w:rsidP="00C64D30">
      <w:pPr>
        <w:widowControl w:val="0"/>
        <w:spacing w:after="207" w:line="210" w:lineRule="exact"/>
        <w:ind w:left="40" w:firstLine="4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§ 1. В чл. 2 се правят следните изменения и допълнения:</w:t>
      </w:r>
    </w:p>
    <w:p w14:paraId="7FF0288D" w14:textId="77777777" w:rsidR="00C64D30" w:rsidRPr="00960145" w:rsidRDefault="00C64D30" w:rsidP="00C64D30">
      <w:pPr>
        <w:widowControl w:val="0"/>
        <w:numPr>
          <w:ilvl w:val="0"/>
          <w:numId w:val="1"/>
        </w:numPr>
        <w:tabs>
          <w:tab w:val="left" w:pos="719"/>
        </w:tabs>
        <w:spacing w:after="0" w:line="274" w:lineRule="exact"/>
        <w:ind w:left="40" w:firstLine="4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Създава се нова ал. 3 :</w:t>
      </w:r>
    </w:p>
    <w:p w14:paraId="3B509C03" w14:textId="77777777" w:rsidR="00C64D30" w:rsidRPr="00960145" w:rsidRDefault="00C64D30" w:rsidP="00C64D30">
      <w:pPr>
        <w:widowControl w:val="0"/>
        <w:spacing w:after="0" w:line="274" w:lineRule="exact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„(3) Превозните средства, които са регистрирани за първи път на 15.06.2019 г. или след тази дата, и за които се изисква да бъдат оборудвани с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тахографи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съгласно чл. 3 от Регламент (ЕС) № 165/2014, трябва да бъдат оборудвани с интелигентни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тахографи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(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от второ поколение) от одобрен тип. Превозни средства, които са регистрирани преди 15.06.2019 г. и за които се изисква да бъдат оборудвани с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тахографи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съгласно чл. 3 от Регламент (ЕС) № 165/2014, могат да бъдат оборудвани с интелигентни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тахографи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.“</w:t>
      </w:r>
    </w:p>
    <w:p w14:paraId="1E7E036C" w14:textId="77777777" w:rsidR="00D50378" w:rsidRPr="00960145" w:rsidRDefault="00D50378" w:rsidP="00C64D30">
      <w:pPr>
        <w:widowControl w:val="0"/>
        <w:spacing w:after="0" w:line="274" w:lineRule="exact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2. Създава се ал. 4:</w:t>
      </w:r>
    </w:p>
    <w:p w14:paraId="63560206" w14:textId="77777777" w:rsidR="00D50378" w:rsidRPr="00960145" w:rsidRDefault="00D50378" w:rsidP="00D50378">
      <w:pPr>
        <w:widowControl w:val="0"/>
        <w:spacing w:after="0" w:line="274" w:lineRule="exact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„(4) Превозните средства, за които се изисква да бъдат оборудвани с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тахографи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съгласно чл. 3 от Регламент (ЕС) № 165/2014</w:t>
      </w:r>
      <w:r w:rsidR="00245CFB"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,</w:t>
      </w: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следва да бъдат оборудвани с интелигентни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тахографи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.“</w:t>
      </w:r>
    </w:p>
    <w:p w14:paraId="7B02E4A2" w14:textId="69BE82F3" w:rsidR="00D50378" w:rsidRPr="00960145" w:rsidRDefault="00D50378" w:rsidP="00D50378">
      <w:pPr>
        <w:widowControl w:val="0"/>
        <w:spacing w:after="0" w:line="274" w:lineRule="exact"/>
        <w:ind w:left="40" w:right="20" w:firstLine="4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</w:p>
    <w:p w14:paraId="390A12AA" w14:textId="37908173" w:rsidR="00C64D30" w:rsidRPr="00960145" w:rsidRDefault="00D50378" w:rsidP="00D50378">
      <w:pPr>
        <w:widowControl w:val="0"/>
        <w:spacing w:after="0" w:line="274" w:lineRule="exact"/>
        <w:ind w:left="40" w:right="20" w:firstLine="4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960145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 xml:space="preserve">3. </w:t>
      </w:r>
      <w:r w:rsidR="00C64D30"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Досегашната ал. 3 става ал. </w:t>
      </w: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5</w:t>
      </w:r>
      <w:r w:rsidR="00C64D30"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.</w:t>
      </w:r>
    </w:p>
    <w:p w14:paraId="527AC851" w14:textId="77777777" w:rsidR="00D50378" w:rsidRDefault="00D50378" w:rsidP="00C64D30">
      <w:pPr>
        <w:widowControl w:val="0"/>
        <w:spacing w:after="235" w:line="210" w:lineRule="exact"/>
        <w:ind w:left="40" w:firstLine="4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</w:pPr>
    </w:p>
    <w:p w14:paraId="4B63ACFB" w14:textId="77777777" w:rsidR="00C64D30" w:rsidRPr="00960145" w:rsidRDefault="00C64D30" w:rsidP="00C64D30">
      <w:pPr>
        <w:widowControl w:val="0"/>
        <w:spacing w:after="235" w:line="210" w:lineRule="exact"/>
        <w:ind w:left="40" w:firstLine="4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§ 2. В § 1 от Допълнителните разпоредби се създава точка 17:</w:t>
      </w:r>
    </w:p>
    <w:p w14:paraId="49F0060E" w14:textId="778F7E5E" w:rsidR="00C64D30" w:rsidRPr="00960145" w:rsidRDefault="00C64D30" w:rsidP="00C64D30">
      <w:pPr>
        <w:widowControl w:val="0"/>
        <w:spacing w:after="287" w:line="269" w:lineRule="exact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</w:pP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„17. Интелигентен 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(</w:t>
      </w:r>
      <w:proofErr w:type="spellStart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</w:t>
      </w:r>
      <w:proofErr w:type="spellEnd"/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от второ поколение) е </w:t>
      </w:r>
      <w:proofErr w:type="spellStart"/>
      <w:r w:rsid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тахограф</w:t>
      </w:r>
      <w:proofErr w:type="spellEnd"/>
      <w:r w:rsid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, отговарящ на изискванията на чл. 8, 9 и 10 от Регламент (ЕС) 165</w:t>
      </w:r>
      <w:r w:rsidR="00960145"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/2014</w:t>
      </w:r>
      <w:r w:rsid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, както и на изискванията от приложение 1В на Регламент </w:t>
      </w: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(ЕС) 2016/799 от 18.03.</w:t>
      </w:r>
      <w:r w:rsidR="009778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2</w:t>
      </w: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01</w:t>
      </w:r>
      <w:r w:rsidR="00161D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>6</w:t>
      </w:r>
      <w:r w:rsidRPr="009601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bg-BG"/>
        </w:rPr>
        <w:t xml:space="preserve"> г. за прилагане на Регламент (ЕС) № 165/2014.“</w:t>
      </w:r>
    </w:p>
    <w:p w14:paraId="19633E39" w14:textId="77777777" w:rsidR="0094657C" w:rsidRDefault="00D5037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960145">
        <w:rPr>
          <w:rFonts w:ascii="Times New Roman" w:hAnsi="Times New Roman" w:cs="Times New Roman"/>
          <w:sz w:val="24"/>
          <w:szCs w:val="24"/>
        </w:rPr>
        <w:t xml:space="preserve">                   Заключителна разпоредба:</w:t>
      </w:r>
    </w:p>
    <w:p w14:paraId="0F56D053" w14:textId="77777777" w:rsidR="00D50378" w:rsidRDefault="00D50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§3. Разпоредбата на </w:t>
      </w:r>
      <w:r w:rsidR="00DD42A2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4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2 относно чл. 2, ал. 4 влиза в сила от 15.06.2034 г. </w:t>
      </w:r>
    </w:p>
    <w:p w14:paraId="31E40B57" w14:textId="77777777" w:rsidR="00960145" w:rsidRPr="00960145" w:rsidRDefault="00960145">
      <w:pPr>
        <w:rPr>
          <w:rFonts w:ascii="Times New Roman" w:hAnsi="Times New Roman" w:cs="Times New Roman"/>
          <w:sz w:val="24"/>
          <w:szCs w:val="24"/>
        </w:rPr>
      </w:pPr>
    </w:p>
    <w:p w14:paraId="56EFD010" w14:textId="77777777" w:rsidR="00960145" w:rsidRDefault="00960145" w:rsidP="00C64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60145" w:rsidSect="0096014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321F"/>
    <w:multiLevelType w:val="multilevel"/>
    <w:tmpl w:val="1BBE9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CD"/>
    <w:rsid w:val="00161D0C"/>
    <w:rsid w:val="00245CFB"/>
    <w:rsid w:val="006E7E52"/>
    <w:rsid w:val="0094657C"/>
    <w:rsid w:val="00960145"/>
    <w:rsid w:val="00977850"/>
    <w:rsid w:val="009B1DCD"/>
    <w:rsid w:val="009C46EA"/>
    <w:rsid w:val="00C64D30"/>
    <w:rsid w:val="00D50378"/>
    <w:rsid w:val="00DD42A2"/>
    <w:rsid w:val="00EC1B1F"/>
    <w:rsid w:val="00E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510D"/>
  <w15:chartTrackingRefBased/>
  <w15:docId w15:val="{4A3E7BCA-D942-4211-B0C9-35ECAE5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3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8303716015&amp;Type=201" TargetMode="External"/><Relationship Id="rId5" Type="http://schemas.openxmlformats.org/officeDocument/2006/relationships/hyperlink" Target="apis://Base=NORM&amp;DocCode=8303711033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Georgieva</dc:creator>
  <cp:keywords/>
  <dc:description/>
  <cp:lastModifiedBy>Zoia Cvetkova</cp:lastModifiedBy>
  <cp:revision>12</cp:revision>
  <cp:lastPrinted>2019-06-17T08:25:00Z</cp:lastPrinted>
  <dcterms:created xsi:type="dcterms:W3CDTF">2019-06-17T06:56:00Z</dcterms:created>
  <dcterms:modified xsi:type="dcterms:W3CDTF">2019-06-21T12:25:00Z</dcterms:modified>
</cp:coreProperties>
</file>