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55" w:rsidRPr="00503C9F" w:rsidRDefault="009E0F55"/>
    <w:tbl>
      <w:tblPr>
        <w:tblW w:w="9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6218"/>
      </w:tblGrid>
      <w:tr w:rsidR="009E0F55" w:rsidRPr="00503C9F">
        <w:trPr>
          <w:trHeight w:val="1440"/>
        </w:trPr>
        <w:tc>
          <w:tcPr>
            <w:tcW w:w="2409" w:type="dxa"/>
            <w:shd w:val="clear" w:color="auto" w:fill="auto"/>
          </w:tcPr>
          <w:p w:rsidR="009E0F55" w:rsidRPr="00503C9F" w:rsidRDefault="00C3161B">
            <w:pPr>
              <w:pStyle w:val="ZCom"/>
              <w:ind w:right="1105"/>
            </w:pPr>
            <w:r w:rsidRPr="00503C9F">
              <w:rPr>
                <w:noProof/>
                <w:lang w:eastAsia="bg-BG"/>
              </w:rPr>
              <w:drawing>
                <wp:inline distT="0" distB="0" distL="0" distR="9525">
                  <wp:extent cx="136207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shd w:val="clear" w:color="auto" w:fill="auto"/>
          </w:tcPr>
          <w:p w:rsidR="009E0F55" w:rsidRPr="00503C9F" w:rsidRDefault="00C3161B">
            <w:pPr>
              <w:pStyle w:val="ZCom"/>
              <w:spacing w:before="90" w:after="240"/>
            </w:pPr>
            <w:r w:rsidRPr="00503C9F">
              <w:t>ЕВРОПЕЙСКА КОМИСИЯ</w:t>
            </w:r>
          </w:p>
          <w:p w:rsidR="009E0F55" w:rsidRPr="00503C9F" w:rsidRDefault="00C3161B">
            <w:pPr>
              <w:pStyle w:val="ZDGName"/>
            </w:pPr>
            <w:r w:rsidRPr="00503C9F">
              <w:t>Генерална дирекция „Вътрешен пазар, промишленост, предприемачество и МСП“</w:t>
            </w:r>
          </w:p>
          <w:p w:rsidR="009E0F55" w:rsidRPr="00503C9F" w:rsidRDefault="009E0F55">
            <w:pPr>
              <w:pStyle w:val="ZDGName"/>
            </w:pPr>
          </w:p>
          <w:p w:rsidR="009E0F55" w:rsidRPr="00503C9F" w:rsidRDefault="00C3161B">
            <w:pPr>
              <w:pStyle w:val="ZDGName"/>
            </w:pPr>
            <w:r w:rsidRPr="00503C9F">
              <w:t>Дирекция „Иновации и усъвършенствани производствени технологии</w:t>
            </w:r>
          </w:p>
          <w:p w:rsidR="009E0F55" w:rsidRPr="00503C9F" w:rsidRDefault="00C3161B">
            <w:pPr>
              <w:pStyle w:val="ZDGName"/>
              <w:rPr>
                <w:b/>
              </w:rPr>
            </w:pPr>
            <w:r w:rsidRPr="00503C9F">
              <w:rPr>
                <w:b/>
              </w:rPr>
              <w:t>Главни базови технологии, цифрово производство и оперативна съвместимост</w:t>
            </w:r>
          </w:p>
          <w:p w:rsidR="009E0F55" w:rsidRPr="00503C9F" w:rsidRDefault="009E0F55">
            <w:pPr>
              <w:pStyle w:val="ZDGName"/>
            </w:pPr>
          </w:p>
          <w:p w:rsidR="009E0F55" w:rsidRPr="00503C9F" w:rsidRDefault="00C3161B">
            <w:pPr>
              <w:pStyle w:val="ZDGName"/>
            </w:pPr>
            <w:r w:rsidRPr="00503C9F">
              <w:t xml:space="preserve">Генерална дирекция „Съобщителни мрежи, съдържание и технологии“ </w:t>
            </w:r>
          </w:p>
          <w:p w:rsidR="009E0F55" w:rsidRPr="00503C9F" w:rsidRDefault="009E0F55">
            <w:pPr>
              <w:pStyle w:val="ZDGName"/>
            </w:pPr>
          </w:p>
          <w:p w:rsidR="009E0F55" w:rsidRPr="00503C9F" w:rsidRDefault="00C3161B">
            <w:pPr>
              <w:pStyle w:val="ZDGName"/>
            </w:pPr>
            <w:r w:rsidRPr="00503C9F">
              <w:t>Дирекция за цифровия единен пазар</w:t>
            </w:r>
          </w:p>
          <w:p w:rsidR="009E0F55" w:rsidRPr="00503C9F" w:rsidRDefault="00C3161B">
            <w:pPr>
              <w:pStyle w:val="ZDGName"/>
              <w:rPr>
                <w:b/>
              </w:rPr>
            </w:pPr>
            <w:r w:rsidRPr="00503C9F">
              <w:rPr>
                <w:b/>
              </w:rPr>
              <w:t>Новосъздадени предприятия за иновации &amp;</w:t>
            </w:r>
          </w:p>
        </w:tc>
      </w:tr>
    </w:tbl>
    <w:p w:rsidR="009E0F55" w:rsidRPr="00503C9F" w:rsidRDefault="009E0F55">
      <w:pPr>
        <w:pStyle w:val="Date"/>
      </w:pPr>
    </w:p>
    <w:p w:rsidR="009E0F55" w:rsidRPr="00503C9F" w:rsidRDefault="009E0F55">
      <w:pPr>
        <w:pStyle w:val="Date"/>
        <w:rPr>
          <w:highlight w:val="white"/>
        </w:rPr>
      </w:pPr>
    </w:p>
    <w:p w:rsidR="009E0F55" w:rsidRPr="00503C9F" w:rsidRDefault="00C3161B">
      <w:pPr>
        <w:pStyle w:val="Date"/>
        <w:rPr>
          <w:highlight w:val="white"/>
        </w:rPr>
      </w:pPr>
      <w:r w:rsidRPr="00503C9F">
        <w:rPr>
          <w:highlight w:val="white"/>
        </w:rPr>
        <w:t>Брюксел, 2 октомври 2017 г.</w:t>
      </w:r>
    </w:p>
    <w:p w:rsidR="009E0F55" w:rsidRPr="00503C9F" w:rsidRDefault="00D75082">
      <w:pPr>
        <w:pStyle w:val="Title"/>
      </w:pPr>
      <w:r>
        <w:t>Протокол</w:t>
      </w:r>
      <w:r w:rsidR="00C3161B" w:rsidRPr="00503C9F">
        <w:rPr>
          <w:rStyle w:val="FootnoteAnchor"/>
        </w:rPr>
        <w:footnoteReference w:id="1"/>
      </w:r>
    </w:p>
    <w:p w:rsidR="009E0F55" w:rsidRPr="00503C9F" w:rsidRDefault="009E0F55">
      <w:pPr>
        <w:pStyle w:val="Subtitle"/>
      </w:pPr>
    </w:p>
    <w:p w:rsidR="009E0F55" w:rsidRPr="00503C9F" w:rsidRDefault="00C3161B">
      <w:pPr>
        <w:pStyle w:val="Subtitle"/>
      </w:pPr>
      <w:r w:rsidRPr="00503C9F">
        <w:rPr>
          <w:b/>
        </w:rPr>
        <w:t>20-о заседание на Европейската многостранна платформа по въпросите на стандартизацията в областта на ИКТ</w:t>
      </w:r>
      <w:r w:rsidRPr="00503C9F">
        <w:rPr>
          <w:rStyle w:val="FootnoteAnchor"/>
          <w:b/>
        </w:rPr>
        <w:footnoteReference w:id="2"/>
      </w:r>
    </w:p>
    <w:p w:rsidR="009E0F55" w:rsidRPr="00503C9F" w:rsidRDefault="009E0F55">
      <w:pPr>
        <w:pStyle w:val="Subtitle"/>
      </w:pPr>
    </w:p>
    <w:p w:rsidR="009E0F55" w:rsidRPr="00503C9F" w:rsidRDefault="00C3161B">
      <w:pPr>
        <w:pStyle w:val="Subtitle"/>
      </w:pPr>
      <w:r w:rsidRPr="00503C9F">
        <w:t>13 юни 2017 г., Брюксел</w:t>
      </w:r>
    </w:p>
    <w:p w:rsidR="009E0F55" w:rsidRPr="00503C9F" w:rsidRDefault="009E0F55">
      <w:pPr>
        <w:pStyle w:val="Subtitle"/>
      </w:pPr>
    </w:p>
    <w:p w:rsidR="009E0F55" w:rsidRPr="00503C9F" w:rsidRDefault="00C3161B">
      <w:pPr>
        <w:pStyle w:val="Heading1"/>
        <w:numPr>
          <w:ilvl w:val="0"/>
          <w:numId w:val="3"/>
        </w:numPr>
        <w:ind w:left="0"/>
      </w:pPr>
      <w:r w:rsidRPr="00503C9F">
        <w:t>приемане на дневния ред и на протокола от предишното заседание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C3161B">
      <w:pPr>
        <w:pStyle w:val="ListParagraph"/>
        <w:ind w:left="0"/>
        <w:jc w:val="both"/>
      </w:pPr>
      <w:r w:rsidRPr="00503C9F">
        <w:t>Дневният ред (документ ИКТ/</w:t>
      </w:r>
      <w:r w:rsidR="00503C9F" w:rsidRPr="00503C9F">
        <w:t xml:space="preserve"> MSP</w:t>
      </w:r>
      <w:r w:rsidRPr="00503C9F">
        <w:t xml:space="preserve"> (2017)505v2) беше представен от председателя. Тя съобщи, че актуална</w:t>
      </w:r>
      <w:r w:rsidR="00503C9F">
        <w:t>та</w:t>
      </w:r>
      <w:r w:rsidRPr="00503C9F">
        <w:t xml:space="preserve"> информация относно приоритетните области (точка 5.1 от дневния ред) ще се съсредоточи изцяло в областта на </w:t>
      </w:r>
      <w:proofErr w:type="spellStart"/>
      <w:r w:rsidRPr="00503C9F">
        <w:t>киберсигурността</w:t>
      </w:r>
      <w:proofErr w:type="spellEnd"/>
      <w:r w:rsidRPr="00503C9F">
        <w:t xml:space="preserve"> и ще включва и актуализира </w:t>
      </w:r>
      <w:r w:rsidR="00503C9F">
        <w:t xml:space="preserve">от </w:t>
      </w:r>
      <w:r w:rsidR="00503C9F" w:rsidRPr="00503C9F">
        <w:t>CNECT H1</w:t>
      </w:r>
      <w:r w:rsidR="00503C9F">
        <w:t xml:space="preserve"> на дейностите</w:t>
      </w:r>
      <w:r w:rsidRPr="00503C9F">
        <w:t xml:space="preserve">, </w:t>
      </w:r>
      <w:r w:rsidR="00503C9F">
        <w:t>презентация</w:t>
      </w:r>
      <w:r w:rsidRPr="00503C9F">
        <w:t xml:space="preserve"> от CEN-CENELEC </w:t>
      </w:r>
      <w:r w:rsidR="00503C9F">
        <w:t xml:space="preserve">за </w:t>
      </w:r>
      <w:r w:rsidRPr="00503C9F">
        <w:t xml:space="preserve">действие 18.3 </w:t>
      </w:r>
      <w:r w:rsidR="00503C9F">
        <w:t xml:space="preserve">на </w:t>
      </w:r>
      <w:r w:rsidR="00503C9F" w:rsidRPr="00503C9F">
        <w:t xml:space="preserve">MSP </w:t>
      </w:r>
      <w:r w:rsidR="00503C9F">
        <w:t>и презентация</w:t>
      </w:r>
      <w:r w:rsidRPr="00503C9F">
        <w:t xml:space="preserve"> на </w:t>
      </w:r>
      <w:r w:rsidR="00503C9F" w:rsidRPr="00503C9F">
        <w:t>дейности</w:t>
      </w:r>
      <w:r w:rsidR="00503C9F">
        <w:t>те на</w:t>
      </w:r>
      <w:r w:rsidR="00503C9F" w:rsidRPr="00503C9F">
        <w:t xml:space="preserve"> </w:t>
      </w:r>
      <w:r w:rsidRPr="00503C9F">
        <w:t>ECSO. Тя също така предлож</w:t>
      </w:r>
      <w:r w:rsidR="00503C9F">
        <w:t>и</w:t>
      </w:r>
      <w:r w:rsidRPr="00503C9F">
        <w:t xml:space="preserve"> преместване на презентации</w:t>
      </w:r>
      <w:r w:rsidR="00503C9F">
        <w:t>те</w:t>
      </w:r>
      <w:r w:rsidRPr="00503C9F">
        <w:t xml:space="preserve"> относно </w:t>
      </w:r>
      <w:proofErr w:type="spellStart"/>
      <w:r w:rsidR="00503C9F" w:rsidRPr="00503C9F">
        <w:t>Fintech</w:t>
      </w:r>
      <w:proofErr w:type="spellEnd"/>
      <w:r w:rsidR="00503C9F" w:rsidRPr="00503C9F">
        <w:t xml:space="preserve"> </w:t>
      </w:r>
      <w:r w:rsidR="00503C9F">
        <w:t>и</w:t>
      </w:r>
      <w:r w:rsidRPr="00503C9F">
        <w:t xml:space="preserve"> блок-вериги (документи/</w:t>
      </w:r>
      <w:r w:rsidR="00503C9F" w:rsidRPr="00503C9F">
        <w:t xml:space="preserve"> MSP</w:t>
      </w:r>
      <w:r w:rsidRPr="00503C9F">
        <w:t xml:space="preserve"> (2017)500v1 &amp; 516 съответно) </w:t>
      </w:r>
      <w:r w:rsidR="00503C9F">
        <w:t>за</w:t>
      </w:r>
      <w:r w:rsidRPr="00503C9F">
        <w:t xml:space="preserve"> следобед. Дневният ред беше приет с тези изменения.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C3161B">
      <w:pPr>
        <w:pStyle w:val="ListParagraph"/>
        <w:ind w:left="0"/>
        <w:jc w:val="both"/>
        <w:rPr>
          <w:i/>
        </w:rPr>
      </w:pPr>
      <w:r w:rsidRPr="00503C9F">
        <w:t>Протоколът от предходното заседание (документ ICT/MSP(2017)504v1), б</w:t>
      </w:r>
      <w:r w:rsidR="00503C9F">
        <w:t>еше приет</w:t>
      </w:r>
      <w:r w:rsidRPr="00503C9F">
        <w:t>.</w:t>
      </w:r>
    </w:p>
    <w:p w:rsidR="009E0F55" w:rsidRPr="00503C9F" w:rsidRDefault="009E0F55">
      <w:pPr>
        <w:pStyle w:val="ListParagraph"/>
        <w:ind w:left="0"/>
        <w:jc w:val="both"/>
        <w:rPr>
          <w:i/>
        </w:rPr>
      </w:pPr>
    </w:p>
    <w:p w:rsidR="009E0F55" w:rsidRPr="00503C9F" w:rsidRDefault="00503C9F">
      <w:pPr>
        <w:pStyle w:val="ListParagraph"/>
        <w:ind w:left="0"/>
        <w:jc w:val="both"/>
        <w:rPr>
          <w:i/>
        </w:rPr>
      </w:pPr>
      <w:proofErr w:type="spellStart"/>
      <w:r w:rsidRPr="00503C9F">
        <w:rPr>
          <w:i/>
        </w:rPr>
        <w:t>Belén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Martínez</w:t>
      </w:r>
      <w:proofErr w:type="spellEnd"/>
      <w:r w:rsidRPr="00503C9F">
        <w:rPr>
          <w:i/>
        </w:rPr>
        <w:t xml:space="preserve"> </w:t>
      </w:r>
      <w:r w:rsidR="00C3161B" w:rsidRPr="00503C9F">
        <w:rPr>
          <w:i/>
        </w:rPr>
        <w:t>(ГД GROW) се спря на списъка с действия, включени в края на протокола.</w:t>
      </w:r>
      <w:r w:rsidR="00C3161B" w:rsidRPr="00503C9F">
        <w:t xml:space="preserve"> Тя обясни, че действия 19.1, 19.2 19.3 и 19.6 са били </w:t>
      </w:r>
      <w:r>
        <w:t>за</w:t>
      </w:r>
      <w:r w:rsidR="00C3161B" w:rsidRPr="00503C9F">
        <w:t xml:space="preserve">вършени. Действие 19.4 се отлага, докато новата версия </w:t>
      </w:r>
      <w:r>
        <w:t>стан</w:t>
      </w:r>
      <w:r w:rsidR="00C3161B" w:rsidRPr="00503C9F">
        <w:t xml:space="preserve">е достъпна </w:t>
      </w:r>
      <w:r>
        <w:t xml:space="preserve">в </w:t>
      </w:r>
      <w:r w:rsidR="00C3161B" w:rsidRPr="00503C9F">
        <w:t xml:space="preserve">платформата </w:t>
      </w:r>
      <w:proofErr w:type="spellStart"/>
      <w:r w:rsidR="00C3161B" w:rsidRPr="00503C9F">
        <w:t>Joinup</w:t>
      </w:r>
      <w:proofErr w:type="spellEnd"/>
      <w:r w:rsidR="00C3161B" w:rsidRPr="00503C9F">
        <w:t xml:space="preserve">; Действие 19.8 </w:t>
      </w:r>
      <w:r>
        <w:t xml:space="preserve">е </w:t>
      </w:r>
      <w:r w:rsidR="00D75082">
        <w:t>изпълнено</w:t>
      </w:r>
      <w:r w:rsidR="00C3161B" w:rsidRPr="00503C9F">
        <w:t xml:space="preserve"> отчасти, получен </w:t>
      </w:r>
      <w:r w:rsidR="00D75082">
        <w:t xml:space="preserve">е принос </w:t>
      </w:r>
      <w:r w:rsidR="00C3161B" w:rsidRPr="00503C9F">
        <w:t xml:space="preserve">от Гърция; Действие 18.2 от предишното заседание също и 18.3 и 4 ще бъдат обсъдени като част от точка 5.1. </w:t>
      </w:r>
      <w:r>
        <w:t>Н</w:t>
      </w:r>
      <w:r w:rsidR="00C3161B" w:rsidRPr="00503C9F">
        <w:t>акрая, тя обясни, че макар това да не е в списъка с действия, CEN/CENELEC TC 5 „</w:t>
      </w:r>
      <w:r>
        <w:t>К</w:t>
      </w:r>
      <w:r w:rsidR="00C3161B" w:rsidRPr="00503C9F">
        <w:t>осмическо п</w:t>
      </w:r>
      <w:r>
        <w:t>ространство“ е изпратил</w:t>
      </w:r>
      <w:r w:rsidR="00C3161B" w:rsidRPr="00503C9F">
        <w:t xml:space="preserve"> някои отговори на въпроси, зададени от консултантите, в документ ИКТ/MSP(2017) 485v1 след представяне, направено на последното заседание относно проучването </w:t>
      </w:r>
      <w:r>
        <w:t>за</w:t>
      </w:r>
      <w:r w:rsidR="00C3161B" w:rsidRPr="00503C9F">
        <w:t xml:space="preserve"> стандартизацията на ГНСС надолу по веригата и оценка на пропуските и бъдещите </w:t>
      </w:r>
      <w:r w:rsidR="00C3161B" w:rsidRPr="00503C9F">
        <w:lastRenderedPageBreak/>
        <w:t>нужди, за да се улесни интегрирането на ЕГССНП в „Галилео“ и на потребителските приложения.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503C9F">
      <w:pPr>
        <w:pStyle w:val="ListParagraph"/>
        <w:ind w:left="0"/>
        <w:jc w:val="both"/>
      </w:pPr>
      <w:r>
        <w:t xml:space="preserve">Представителят на </w:t>
      </w:r>
      <w:r w:rsidR="00C3161B" w:rsidRPr="00503C9F">
        <w:t>W3C съобщ</w:t>
      </w:r>
      <w:r>
        <w:t>и</w:t>
      </w:r>
      <w:r w:rsidR="00C3161B" w:rsidRPr="00503C9F">
        <w:t xml:space="preserve">, че също </w:t>
      </w:r>
      <w:r>
        <w:t>са</w:t>
      </w:r>
      <w:r w:rsidR="00C3161B" w:rsidRPr="00503C9F">
        <w:t xml:space="preserve"> предоставил</w:t>
      </w:r>
      <w:r>
        <w:t>и</w:t>
      </w:r>
      <w:r w:rsidR="00C3161B" w:rsidRPr="00503C9F">
        <w:t xml:space="preserve"> принос към CEN/CENELEC за действие 18.3. </w:t>
      </w:r>
      <w:r>
        <w:t>Т</w:t>
      </w:r>
      <w:r w:rsidR="00C3161B" w:rsidRPr="00503C9F">
        <w:t xml:space="preserve">ой обясни, че техният принос не е тясно свързан с представянето днес, а по-скоро с действия </w:t>
      </w:r>
      <w:r>
        <w:t>по</w:t>
      </w:r>
      <w:r w:rsidR="00C3161B" w:rsidRPr="00503C9F">
        <w:t xml:space="preserve"> Съобщение</w:t>
      </w:r>
      <w:r>
        <w:t>то</w:t>
      </w:r>
      <w:r w:rsidR="00C3161B" w:rsidRPr="00503C9F">
        <w:t xml:space="preserve"> за приоритетите на стандартизацията в областта на ИКТ. Те отправиха искане това да бъде включено като актуализация на документа ИКТ/MSP(2017) 455 (таблица относно актуалното състояние на действията </w:t>
      </w:r>
      <w:r w:rsidR="00871FC4">
        <w:t>по</w:t>
      </w:r>
      <w:r w:rsidR="00C3161B" w:rsidRPr="00503C9F">
        <w:t xml:space="preserve"> Съобщение</w:t>
      </w:r>
      <w:r w:rsidR="00871FC4">
        <w:t>то</w:t>
      </w:r>
      <w:r w:rsidR="00C3161B" w:rsidRPr="00503C9F">
        <w:t xml:space="preserve"> за приоритетите за стандартизация в областта на ИКТ). Председателят припомни, че </w:t>
      </w:r>
      <w:r w:rsidR="00871FC4" w:rsidRPr="00871FC4">
        <w:t>MSP</w:t>
      </w:r>
      <w:r w:rsidR="00C3161B" w:rsidRPr="00503C9F">
        <w:t xml:space="preserve"> членовете могат да изпращат коментари/принос към таблицата във всеки един момент.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871FC4">
      <w:pPr>
        <w:pStyle w:val="Heading1"/>
        <w:numPr>
          <w:ilvl w:val="0"/>
          <w:numId w:val="3"/>
        </w:numPr>
        <w:ind w:left="0" w:firstLine="0"/>
      </w:pPr>
      <w:r>
        <w:t>Заседание по същество</w:t>
      </w:r>
    </w:p>
    <w:p w:rsidR="009E0F55" w:rsidRPr="00503C9F" w:rsidRDefault="00C3161B">
      <w:pPr>
        <w:spacing w:after="0"/>
      </w:pPr>
      <w:r w:rsidRPr="00503C9F">
        <w:t xml:space="preserve">Заседанието беше </w:t>
      </w:r>
      <w:r w:rsidR="00871FC4">
        <w:t>закрито</w:t>
      </w:r>
      <w:r w:rsidR="00D75082">
        <w:t>. Участници</w:t>
      </w:r>
      <w:r w:rsidRPr="00503C9F">
        <w:t xml:space="preserve"> бяха членове на платформата, длъжностните лица</w:t>
      </w:r>
      <w:r w:rsidR="00871FC4" w:rsidRPr="00871FC4">
        <w:t xml:space="preserve"> </w:t>
      </w:r>
      <w:r w:rsidR="00871FC4">
        <w:t xml:space="preserve">от </w:t>
      </w:r>
      <w:r w:rsidR="00871FC4" w:rsidRPr="00503C9F">
        <w:t>Комисията</w:t>
      </w:r>
      <w:r w:rsidRPr="00503C9F">
        <w:t>, занимаващи се със съответните политики и някои експерти, поканени по конкретни точки в дневния ред (вж. списък на участниците в точка 5).</w:t>
      </w:r>
      <w:r w:rsidRPr="00503C9F">
        <w:rPr>
          <w:rStyle w:val="FootnoteAnchor"/>
        </w:rPr>
        <w:footnoteReference w:id="3"/>
      </w:r>
    </w:p>
    <w:p w:rsidR="009E0F55" w:rsidRPr="00503C9F" w:rsidRDefault="00C3161B">
      <w:pPr>
        <w:pStyle w:val="Heading1"/>
        <w:numPr>
          <w:ilvl w:val="0"/>
          <w:numId w:val="3"/>
        </w:numPr>
        <w:ind w:left="0" w:firstLine="0"/>
      </w:pPr>
      <w:r w:rsidRPr="00503C9F">
        <w:t>Списък на тем</w:t>
      </w:r>
      <w:r w:rsidR="00871FC4">
        <w:t>и за</w:t>
      </w:r>
      <w:r w:rsidRPr="00503C9F">
        <w:t xml:space="preserve"> обсъждан</w:t>
      </w:r>
      <w:r w:rsidR="00871FC4">
        <w:t>е</w:t>
      </w:r>
    </w:p>
    <w:p w:rsidR="009E0F55" w:rsidRPr="00871FC4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  <w:rPr>
          <w:rFonts w:asciiTheme="minorHAnsi" w:hAnsiTheme="minorHAnsi"/>
        </w:rPr>
      </w:pPr>
      <w:r w:rsidRPr="00503C9F">
        <w:rPr>
          <w:rFonts w:ascii="Times New Roman Bold" w:hAnsi="Times New Roman Bold"/>
        </w:rPr>
        <w:t>Откриване на з</w:t>
      </w:r>
      <w:r w:rsidR="00871FC4">
        <w:rPr>
          <w:rFonts w:ascii="Times New Roman Bold" w:hAnsi="Times New Roman Bold"/>
        </w:rPr>
        <w:t>аседанието</w:t>
      </w:r>
    </w:p>
    <w:p w:rsidR="009E0F55" w:rsidRPr="00503C9F" w:rsidRDefault="00C3161B">
      <w:pPr>
        <w:pStyle w:val="ListParagraph"/>
        <w:spacing w:before="120" w:after="240"/>
        <w:ind w:left="0"/>
        <w:jc w:val="both"/>
      </w:pPr>
      <w:proofErr w:type="spellStart"/>
      <w:r w:rsidRPr="00503C9F">
        <w:rPr>
          <w:i/>
        </w:rPr>
        <w:t>Kirsi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Ekroth-Manssila</w:t>
      </w:r>
      <w:proofErr w:type="spellEnd"/>
      <w:r w:rsidRPr="00503C9F">
        <w:rPr>
          <w:i/>
        </w:rPr>
        <w:t>, съпредседател (ГД GROW), откри заседанието.</w:t>
      </w:r>
      <w:r w:rsidRPr="00503C9F">
        <w:t xml:space="preserve"> Тя приветства с „добре дошли“ новите членове: Г-н </w:t>
      </w:r>
      <w:proofErr w:type="spellStart"/>
      <w:r w:rsidRPr="00503C9F">
        <w:t>Anders</w:t>
      </w:r>
      <w:proofErr w:type="spellEnd"/>
      <w:r w:rsidRPr="00503C9F">
        <w:t xml:space="preserve"> </w:t>
      </w:r>
      <w:proofErr w:type="spellStart"/>
      <w:r w:rsidRPr="00503C9F">
        <w:t>Lindberg</w:t>
      </w:r>
      <w:proofErr w:type="spellEnd"/>
      <w:r w:rsidRPr="00503C9F">
        <w:t xml:space="preserve"> от </w:t>
      </w:r>
      <w:proofErr w:type="spellStart"/>
      <w:r w:rsidRPr="00503C9F">
        <w:t>Swedish</w:t>
      </w:r>
      <w:proofErr w:type="spellEnd"/>
      <w:r w:rsidRPr="00503C9F">
        <w:t xml:space="preserve"> </w:t>
      </w:r>
      <w:proofErr w:type="spellStart"/>
      <w:r w:rsidRPr="00503C9F">
        <w:t>Standards</w:t>
      </w:r>
      <w:proofErr w:type="spellEnd"/>
      <w:r w:rsidRPr="00503C9F">
        <w:t xml:space="preserve"> Institute (</w:t>
      </w:r>
      <w:r w:rsidR="00871FC4" w:rsidRPr="00871FC4">
        <w:t>SIS</w:t>
      </w:r>
      <w:r w:rsidRPr="00503C9F">
        <w:t xml:space="preserve">), който ще замени г-жа </w:t>
      </w:r>
      <w:proofErr w:type="spellStart"/>
      <w:r w:rsidRPr="00503C9F">
        <w:t>Susanne</w:t>
      </w:r>
      <w:proofErr w:type="spellEnd"/>
      <w:r w:rsidRPr="00503C9F">
        <w:t xml:space="preserve"> </w:t>
      </w:r>
      <w:proofErr w:type="spellStart"/>
      <w:r w:rsidRPr="00503C9F">
        <w:t>Björkander</w:t>
      </w:r>
      <w:proofErr w:type="spellEnd"/>
      <w:r w:rsidRPr="00503C9F">
        <w:t xml:space="preserve"> заместник-член, и г-н </w:t>
      </w:r>
      <w:proofErr w:type="spellStart"/>
      <w:r w:rsidRPr="00503C9F">
        <w:t>Matthew</w:t>
      </w:r>
      <w:proofErr w:type="spellEnd"/>
      <w:r w:rsidRPr="00503C9F">
        <w:t xml:space="preserve"> Ford, който ще замени г-н </w:t>
      </w:r>
      <w:proofErr w:type="spellStart"/>
      <w:r w:rsidRPr="00503C9F">
        <w:t>Олаф</w:t>
      </w:r>
      <w:proofErr w:type="spellEnd"/>
      <w:r w:rsidRPr="00503C9F">
        <w:t xml:space="preserve"> </w:t>
      </w:r>
      <w:proofErr w:type="spellStart"/>
      <w:r w:rsidRPr="00503C9F">
        <w:t>Kolkman</w:t>
      </w:r>
      <w:proofErr w:type="spellEnd"/>
      <w:r w:rsidRPr="00503C9F">
        <w:t xml:space="preserve"> като IETF представител. Председателят също така обясни, че AGE, понастоящем член на </w:t>
      </w:r>
      <w:r w:rsidR="00871FC4" w:rsidRPr="00871FC4">
        <w:t>MSP</w:t>
      </w:r>
      <w:r w:rsidRPr="00503C9F">
        <w:t xml:space="preserve"> в категорията на организациите на заинтересованите страни, са информирани, че </w:t>
      </w:r>
      <w:r w:rsidR="00120682">
        <w:t>участието им в</w:t>
      </w:r>
      <w:r w:rsidRPr="00503C9F">
        <w:t xml:space="preserve"> </w:t>
      </w:r>
      <w:r w:rsidR="00871FC4" w:rsidRPr="00871FC4">
        <w:t>MSP</w:t>
      </w:r>
      <w:r w:rsidRPr="00503C9F">
        <w:t xml:space="preserve"> </w:t>
      </w:r>
      <w:r w:rsidR="00120682">
        <w:t>поради факта, че разполагат с ограничен персонал.</w:t>
      </w:r>
    </w:p>
    <w:p w:rsidR="009E0F55" w:rsidRPr="00503C9F" w:rsidRDefault="009E0F55">
      <w:pPr>
        <w:pStyle w:val="ListParagraph"/>
        <w:spacing w:before="120" w:after="240"/>
        <w:ind w:left="0"/>
        <w:jc w:val="both"/>
      </w:pPr>
    </w:p>
    <w:p w:rsidR="009E0F55" w:rsidRPr="00503C9F" w:rsidRDefault="00C3161B">
      <w:pPr>
        <w:pStyle w:val="ListParagraph"/>
        <w:spacing w:before="120" w:after="240"/>
        <w:ind w:left="0"/>
        <w:jc w:val="both"/>
      </w:pPr>
      <w:r w:rsidRPr="00503C9F">
        <w:t xml:space="preserve">Тя също така приветства с добре дошли следните експерти, поканени да участват в това заседание: Г-н </w:t>
      </w:r>
      <w:proofErr w:type="spellStart"/>
      <w:r w:rsidRPr="00503C9F">
        <w:t>Luigi</w:t>
      </w:r>
      <w:proofErr w:type="spellEnd"/>
      <w:r w:rsidRPr="00503C9F">
        <w:t xml:space="preserve"> </w:t>
      </w:r>
      <w:proofErr w:type="spellStart"/>
      <w:r w:rsidRPr="00503C9F">
        <w:t>Rebuffi</w:t>
      </w:r>
      <w:proofErr w:type="spellEnd"/>
      <w:r w:rsidRPr="00503C9F">
        <w:t xml:space="preserve">, генерален секретар, и г-н </w:t>
      </w:r>
      <w:proofErr w:type="spellStart"/>
      <w:r w:rsidRPr="00503C9F">
        <w:t>Roberto</w:t>
      </w:r>
      <w:proofErr w:type="spellEnd"/>
      <w:r w:rsidRPr="00503C9F">
        <w:t xml:space="preserve"> CASCELLA, от Европейската организация за </w:t>
      </w:r>
      <w:proofErr w:type="spellStart"/>
      <w:r w:rsidRPr="00503C9F">
        <w:t>киберсигурност</w:t>
      </w:r>
      <w:proofErr w:type="spellEnd"/>
      <w:r w:rsidRPr="00503C9F">
        <w:t xml:space="preserve"> (ECSO); Г-жа Anna </w:t>
      </w:r>
      <w:proofErr w:type="spellStart"/>
      <w:r w:rsidRPr="00503C9F">
        <w:t>Podgórska</w:t>
      </w:r>
      <w:proofErr w:type="spellEnd"/>
      <w:r w:rsidRPr="00503C9F">
        <w:t xml:space="preserve"> от </w:t>
      </w:r>
      <w:r w:rsidR="00120682" w:rsidRPr="00503C9F">
        <w:t xml:space="preserve">секция </w:t>
      </w:r>
      <w:r w:rsidR="00120682">
        <w:t xml:space="preserve">по </w:t>
      </w:r>
      <w:r w:rsidRPr="00503C9F">
        <w:t xml:space="preserve">цифрови въпроси на Постоянното представителство на Полша към ЕС; Г-н Mario </w:t>
      </w:r>
      <w:proofErr w:type="spellStart"/>
      <w:r w:rsidRPr="00503C9F">
        <w:t>Cabello</w:t>
      </w:r>
      <w:proofErr w:type="spellEnd"/>
      <w:r w:rsidRPr="00503C9F">
        <w:t xml:space="preserve">, консултант на </w:t>
      </w:r>
      <w:proofErr w:type="spellStart"/>
      <w:r w:rsidRPr="00503C9F">
        <w:t>Everis</w:t>
      </w:r>
      <w:proofErr w:type="spellEnd"/>
      <w:r w:rsidR="00120682">
        <w:t>,</w:t>
      </w:r>
      <w:r w:rsidRPr="00503C9F">
        <w:t xml:space="preserve"> подкреп</w:t>
      </w:r>
      <w:r w:rsidR="00120682">
        <w:t>ящ</w:t>
      </w:r>
      <w:r w:rsidRPr="00503C9F">
        <w:t xml:space="preserve"> </w:t>
      </w:r>
      <w:r w:rsidR="00120682" w:rsidRPr="00120682">
        <w:t xml:space="preserve">DG DIGIT </w:t>
      </w:r>
      <w:r w:rsidRPr="00503C9F">
        <w:t>в разработването на общ метод за оценка на стандарти и спецификации (CAMSS);</w:t>
      </w:r>
      <w:r w:rsidRPr="00503C9F">
        <w:rPr>
          <w:rStyle w:val="FootnoteAnchor"/>
        </w:rPr>
        <w:footnoteReference w:id="4"/>
      </w:r>
      <w:r w:rsidRPr="00503C9F">
        <w:t xml:space="preserve"> Д-р </w:t>
      </w:r>
      <w:proofErr w:type="spellStart"/>
      <w:r w:rsidRPr="00503C9F">
        <w:t>Simon</w:t>
      </w:r>
      <w:proofErr w:type="spellEnd"/>
      <w:r w:rsidRPr="00503C9F">
        <w:t xml:space="preserve"> </w:t>
      </w:r>
      <w:proofErr w:type="spellStart"/>
      <w:r w:rsidRPr="00503C9F">
        <w:t>Forge</w:t>
      </w:r>
      <w:proofErr w:type="spellEnd"/>
      <w:r w:rsidRPr="00503C9F">
        <w:t xml:space="preserve"> от </w:t>
      </w:r>
      <w:proofErr w:type="spellStart"/>
      <w:r w:rsidRPr="00503C9F">
        <w:t>Stiftelsen</w:t>
      </w:r>
      <w:proofErr w:type="spellEnd"/>
      <w:r w:rsidRPr="00503C9F">
        <w:t xml:space="preserve"> IMIT, Швеция, изпълнител на </w:t>
      </w:r>
      <w:r w:rsidR="00120682" w:rsidRPr="00503C9F">
        <w:t>проучване</w:t>
      </w:r>
      <w:r w:rsidR="00120682">
        <w:t>то</w:t>
      </w:r>
      <w:r w:rsidR="00120682" w:rsidRPr="00503C9F">
        <w:t xml:space="preserve"> </w:t>
      </w:r>
      <w:r w:rsidR="00120682">
        <w:t xml:space="preserve">за Конвергенцията на </w:t>
      </w:r>
      <w:r w:rsidRPr="00503C9F">
        <w:t>фиксиран</w:t>
      </w:r>
      <w:r w:rsidR="00120682">
        <w:t>и</w:t>
      </w:r>
      <w:r w:rsidRPr="00503C9F">
        <w:t xml:space="preserve"> и мобилн</w:t>
      </w:r>
      <w:r w:rsidR="00120682">
        <w:t>и</w:t>
      </w:r>
      <w:r w:rsidRPr="00503C9F">
        <w:t xml:space="preserve"> </w:t>
      </w:r>
      <w:r w:rsidR="00120682">
        <w:t xml:space="preserve">мрежи </w:t>
      </w:r>
      <w:r w:rsidRPr="00503C9F">
        <w:t xml:space="preserve">(SMART 2016/0046) и колегите </w:t>
      </w:r>
      <w:r w:rsidR="004447C0">
        <w:t xml:space="preserve">от </w:t>
      </w:r>
      <w:r w:rsidR="004447C0" w:rsidRPr="004447C0">
        <w:t xml:space="preserve">CNECT, DIGIT </w:t>
      </w:r>
      <w:r w:rsidR="004447C0">
        <w:t>и</w:t>
      </w:r>
      <w:r w:rsidR="004447C0" w:rsidRPr="004447C0">
        <w:t xml:space="preserve"> GROW</w:t>
      </w:r>
      <w:r w:rsidRPr="00503C9F">
        <w:t>, ко</w:t>
      </w:r>
      <w:r w:rsidR="004447C0">
        <w:t>и</w:t>
      </w:r>
      <w:r w:rsidRPr="00503C9F">
        <w:t xml:space="preserve">то ще </w:t>
      </w:r>
      <w:r w:rsidR="004447C0">
        <w:t>подпомагат</w:t>
      </w:r>
      <w:r w:rsidRPr="00503C9F">
        <w:t xml:space="preserve"> актуализира</w:t>
      </w:r>
      <w:r w:rsidR="004447C0">
        <w:t>нето на</w:t>
      </w:r>
      <w:r w:rsidRPr="00503C9F">
        <w:t xml:space="preserve"> </w:t>
      </w:r>
      <w:r w:rsidR="004447C0" w:rsidRPr="004447C0">
        <w:t>MSP</w:t>
      </w:r>
      <w:r w:rsidRPr="00503C9F">
        <w:t xml:space="preserve"> </w:t>
      </w:r>
      <w:r w:rsidR="004447C0">
        <w:t>з</w:t>
      </w:r>
      <w:r w:rsidRPr="00503C9F">
        <w:t>а различни дейности и проекти.</w:t>
      </w:r>
    </w:p>
    <w:p w:rsidR="009E0F55" w:rsidRPr="00503C9F" w:rsidRDefault="009E0F55">
      <w:pPr>
        <w:pStyle w:val="ListParagraph"/>
        <w:spacing w:before="120" w:after="240"/>
        <w:ind w:left="0"/>
        <w:jc w:val="both"/>
      </w:pPr>
    </w:p>
    <w:p w:rsidR="009E0F55" w:rsidRPr="00503C9F" w:rsidRDefault="00C3161B">
      <w:pPr>
        <w:pStyle w:val="ListParagraph"/>
        <w:spacing w:before="120" w:after="240"/>
        <w:ind w:left="0"/>
        <w:jc w:val="both"/>
      </w:pPr>
      <w:r w:rsidRPr="00503C9F">
        <w:t xml:space="preserve">Накрая председателят представи извинения г-н Martin </w:t>
      </w:r>
      <w:proofErr w:type="spellStart"/>
      <w:r w:rsidRPr="00503C9F">
        <w:t>Prager</w:t>
      </w:r>
      <w:proofErr w:type="spellEnd"/>
      <w:r w:rsidRPr="00503C9F">
        <w:t xml:space="preserve">, който представлява Австрия от началото на </w:t>
      </w:r>
      <w:r w:rsidR="004447C0" w:rsidRPr="004447C0">
        <w:t>MSP</w:t>
      </w:r>
      <w:r w:rsidRPr="00503C9F">
        <w:t xml:space="preserve"> и отсъства поради сериозни здравословни проблеми; Г-н </w:t>
      </w:r>
      <w:proofErr w:type="spellStart"/>
      <w:r w:rsidRPr="00503C9F">
        <w:t>Marcellino</w:t>
      </w:r>
      <w:proofErr w:type="spellEnd"/>
      <w:r w:rsidRPr="00503C9F">
        <w:t xml:space="preserve"> </w:t>
      </w:r>
      <w:proofErr w:type="spellStart"/>
      <w:r w:rsidRPr="00503C9F">
        <w:t>Ферара</w:t>
      </w:r>
      <w:proofErr w:type="spellEnd"/>
      <w:r w:rsidRPr="00503C9F">
        <w:t xml:space="preserve">, италиански представител, който е заместен от г-н </w:t>
      </w:r>
      <w:proofErr w:type="spellStart"/>
      <w:r w:rsidRPr="00503C9F">
        <w:t>Andrea</w:t>
      </w:r>
      <w:proofErr w:type="spellEnd"/>
      <w:r w:rsidRPr="00503C9F">
        <w:t xml:space="preserve"> </w:t>
      </w:r>
      <w:proofErr w:type="spellStart"/>
      <w:r w:rsidRPr="00503C9F">
        <w:t>Caccia</w:t>
      </w:r>
      <w:proofErr w:type="spellEnd"/>
      <w:r w:rsidRPr="00503C9F">
        <w:t xml:space="preserve"> в това заседание; Г-жа </w:t>
      </w:r>
      <w:proofErr w:type="spellStart"/>
      <w:r w:rsidRPr="00503C9F">
        <w:t>Gudrun</w:t>
      </w:r>
      <w:proofErr w:type="spellEnd"/>
      <w:r w:rsidRPr="00503C9F">
        <w:t xml:space="preserve"> </w:t>
      </w:r>
      <w:proofErr w:type="spellStart"/>
      <w:r w:rsidRPr="00503C9F">
        <w:t>Rögnvaldardottir</w:t>
      </w:r>
      <w:proofErr w:type="spellEnd"/>
      <w:r w:rsidRPr="00503C9F">
        <w:t xml:space="preserve"> CEN представител и заместник </w:t>
      </w:r>
      <w:r w:rsidRPr="00503C9F">
        <w:lastRenderedPageBreak/>
        <w:t xml:space="preserve">представител г-н </w:t>
      </w:r>
      <w:proofErr w:type="spellStart"/>
      <w:r w:rsidRPr="00503C9F">
        <w:t>Stefan</w:t>
      </w:r>
      <w:proofErr w:type="spellEnd"/>
      <w:r w:rsidRPr="00503C9F">
        <w:t xml:space="preserve"> </w:t>
      </w:r>
      <w:proofErr w:type="spellStart"/>
      <w:r w:rsidRPr="00503C9F">
        <w:t>Weisgerber</w:t>
      </w:r>
      <w:proofErr w:type="spellEnd"/>
      <w:r w:rsidRPr="00503C9F">
        <w:t xml:space="preserve">, които се заменят с г-н </w:t>
      </w:r>
      <w:proofErr w:type="spellStart"/>
      <w:r w:rsidRPr="00503C9F">
        <w:t>Constant</w:t>
      </w:r>
      <w:proofErr w:type="spellEnd"/>
      <w:r w:rsidRPr="00503C9F">
        <w:t xml:space="preserve"> </w:t>
      </w:r>
      <w:proofErr w:type="spellStart"/>
      <w:r w:rsidRPr="00503C9F">
        <w:t>Kohler</w:t>
      </w:r>
      <w:proofErr w:type="spellEnd"/>
      <w:r w:rsidRPr="00503C9F">
        <w:t xml:space="preserve"> в това заседание и г-н </w:t>
      </w:r>
      <w:proofErr w:type="spellStart"/>
      <w:r w:rsidRPr="00503C9F">
        <w:t>Родолфо</w:t>
      </w:r>
      <w:proofErr w:type="spellEnd"/>
      <w:r w:rsidRPr="00503C9F">
        <w:t xml:space="preserve"> </w:t>
      </w:r>
      <w:proofErr w:type="spellStart"/>
      <w:r w:rsidRPr="00503C9F">
        <w:t>Катани</w:t>
      </w:r>
      <w:proofErr w:type="spellEnd"/>
      <w:r w:rsidRPr="00503C9F">
        <w:t xml:space="preserve"> и г-н </w:t>
      </w:r>
      <w:proofErr w:type="spellStart"/>
      <w:r w:rsidRPr="00503C9F">
        <w:t>Алехандро</w:t>
      </w:r>
      <w:proofErr w:type="spellEnd"/>
      <w:r w:rsidRPr="00503C9F">
        <w:t xml:space="preserve"> </w:t>
      </w:r>
      <w:proofErr w:type="spellStart"/>
      <w:r w:rsidRPr="00503C9F">
        <w:t>Моледо</w:t>
      </w:r>
      <w:proofErr w:type="spellEnd"/>
      <w:r w:rsidRPr="00503C9F">
        <w:t xml:space="preserve">, </w:t>
      </w:r>
      <w:r w:rsidR="004447C0" w:rsidRPr="004447C0">
        <w:t>EDF</w:t>
      </w:r>
      <w:r w:rsidRPr="00503C9F">
        <w:t>, представителите, които не могат да присъстват поради п</w:t>
      </w:r>
      <w:r w:rsidR="004447C0">
        <w:t>рипокриващи</w:t>
      </w:r>
      <w:r w:rsidRPr="00503C9F">
        <w:t xml:space="preserve"> с</w:t>
      </w:r>
      <w:r w:rsidR="004447C0">
        <w:t>е</w:t>
      </w:r>
      <w:r w:rsidRPr="00503C9F">
        <w:t xml:space="preserve"> заседания.</w:t>
      </w:r>
    </w:p>
    <w:p w:rsidR="009E0F55" w:rsidRPr="00503C9F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503C9F">
        <w:t xml:space="preserve">Въпроси, свързани с политиката и управлението на </w:t>
      </w:r>
      <w:r w:rsidR="004447C0" w:rsidRPr="004447C0">
        <w:t>MSP</w:t>
      </w:r>
    </w:p>
    <w:p w:rsidR="009E0F55" w:rsidRPr="00503C9F" w:rsidRDefault="00C3161B">
      <w:pPr>
        <w:pStyle w:val="Heading2"/>
      </w:pPr>
      <w:r w:rsidRPr="00503C9F">
        <w:t xml:space="preserve">Стратегически подход към процеса на идентификация — последващи действия от дискусиите относно функционирането на </w:t>
      </w:r>
      <w:r w:rsidR="004447C0" w:rsidRPr="004447C0">
        <w:t>MSP</w:t>
      </w:r>
    </w:p>
    <w:p w:rsidR="009E0F55" w:rsidRPr="00503C9F" w:rsidRDefault="00C3161B">
      <w:pPr>
        <w:pStyle w:val="ListParagraph"/>
        <w:ind w:left="0"/>
        <w:jc w:val="both"/>
        <w:rPr>
          <w:i/>
        </w:rPr>
      </w:pPr>
      <w:proofErr w:type="spellStart"/>
      <w:r w:rsidRPr="00503C9F">
        <w:rPr>
          <w:i/>
        </w:rPr>
        <w:t>Belén</w:t>
      </w:r>
      <w:proofErr w:type="spellEnd"/>
      <w:r w:rsidRPr="00503C9F">
        <w:rPr>
          <w:i/>
        </w:rPr>
        <w:t xml:space="preserve"> </w:t>
      </w:r>
      <w:proofErr w:type="spellStart"/>
      <w:r w:rsidR="004447C0" w:rsidRPr="004447C0">
        <w:rPr>
          <w:i/>
        </w:rPr>
        <w:t>Martínez</w:t>
      </w:r>
      <w:proofErr w:type="spellEnd"/>
      <w:r w:rsidR="004447C0" w:rsidRPr="004447C0">
        <w:rPr>
          <w:i/>
        </w:rPr>
        <w:t xml:space="preserve"> </w:t>
      </w:r>
      <w:r w:rsidRPr="00503C9F">
        <w:rPr>
          <w:i/>
        </w:rPr>
        <w:t xml:space="preserve">(ГД GROW) премина през документи ICT/MSP(2017)506 &amp; 513, припомни предходното обсъждане относно процеса на </w:t>
      </w:r>
      <w:r w:rsidR="006C021C">
        <w:rPr>
          <w:i/>
        </w:rPr>
        <w:t>идентификация</w:t>
      </w:r>
      <w:r w:rsidRPr="00503C9F">
        <w:rPr>
          <w:i/>
        </w:rPr>
        <w:t xml:space="preserve"> на </w:t>
      </w:r>
      <w:r w:rsidR="004447C0" w:rsidRPr="004447C0">
        <w:rPr>
          <w:i/>
        </w:rPr>
        <w:t>MSP</w:t>
      </w:r>
      <w:r w:rsidRPr="00503C9F">
        <w:rPr>
          <w:i/>
        </w:rPr>
        <w:t xml:space="preserve"> и прикани членовете да обсъдят евентуална стратегия за бъдещ</w:t>
      </w:r>
      <w:r w:rsidR="004447C0">
        <w:rPr>
          <w:i/>
        </w:rPr>
        <w:t>о</w:t>
      </w:r>
      <w:r w:rsidRPr="00503C9F">
        <w:rPr>
          <w:i/>
        </w:rPr>
        <w:t xml:space="preserve">то </w:t>
      </w:r>
      <w:r w:rsidR="004447C0">
        <w:rPr>
          <w:i/>
        </w:rPr>
        <w:t xml:space="preserve">представяне </w:t>
      </w:r>
      <w:r w:rsidRPr="00503C9F">
        <w:rPr>
          <w:i/>
        </w:rPr>
        <w:t>на ИКТ технически спецификации за идентификация.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 xml:space="preserve">Председателят прикани членовете на </w:t>
      </w:r>
      <w:r w:rsidR="004447C0" w:rsidRPr="004447C0">
        <w:t>MSP</w:t>
      </w:r>
      <w:r w:rsidRPr="00503C9F">
        <w:t xml:space="preserve"> да проведат дискусия по въпроси, формулирани в документи, които бяха предложени от Испания след заседанието </w:t>
      </w:r>
      <w:r w:rsidR="004447C0" w:rsidRPr="00503C9F">
        <w:t xml:space="preserve">на </w:t>
      </w:r>
      <w:r w:rsidR="004447C0" w:rsidRPr="004447C0">
        <w:t>MSP</w:t>
      </w:r>
      <w:r w:rsidR="004447C0" w:rsidRPr="00503C9F">
        <w:t xml:space="preserve"> </w:t>
      </w:r>
      <w:r w:rsidRPr="00503C9F">
        <w:t>от 8 декември 2016 г. (документ за ИКТ/</w:t>
      </w:r>
      <w:r w:rsidR="004447C0" w:rsidRPr="004447C0">
        <w:t xml:space="preserve"> MSP</w:t>
      </w:r>
      <w:r w:rsidRPr="00503C9F">
        <w:t xml:space="preserve"> (2016) 472), но </w:t>
      </w:r>
      <w:r w:rsidR="004447C0">
        <w:t>такава не се проведе</w:t>
      </w:r>
      <w:r w:rsidRPr="00503C9F">
        <w:t xml:space="preserve"> поради липса на време.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C3161B">
      <w:pPr>
        <w:pStyle w:val="ListParagraph"/>
        <w:ind w:left="0"/>
        <w:jc w:val="both"/>
        <w:rPr>
          <w:i/>
        </w:rPr>
      </w:pPr>
      <w:r w:rsidRPr="00503C9F">
        <w:rPr>
          <w:i/>
        </w:rPr>
        <w:t xml:space="preserve">Въпрос 1: „Има ли </w:t>
      </w:r>
      <w:r w:rsidR="004447C0">
        <w:rPr>
          <w:i/>
        </w:rPr>
        <w:t xml:space="preserve">идентифицирани </w:t>
      </w:r>
      <w:r w:rsidRPr="00503C9F">
        <w:rPr>
          <w:i/>
        </w:rPr>
        <w:t>технически спецификации, които са необходим</w:t>
      </w:r>
      <w:r w:rsidR="004447C0">
        <w:rPr>
          <w:i/>
        </w:rPr>
        <w:t>и</w:t>
      </w:r>
      <w:r w:rsidRPr="00503C9F">
        <w:rPr>
          <w:i/>
        </w:rPr>
        <w:t xml:space="preserve"> на възл</w:t>
      </w:r>
      <w:r w:rsidR="004447C0">
        <w:rPr>
          <w:i/>
        </w:rPr>
        <w:t>ожителите на обществени поръчки</w:t>
      </w:r>
      <w:r w:rsidRPr="00503C9F">
        <w:rPr>
          <w:i/>
        </w:rPr>
        <w:t>? Съществуват ли съответни спецификации</w:t>
      </w:r>
      <w:r w:rsidR="004447C0">
        <w:rPr>
          <w:i/>
        </w:rPr>
        <w:t>, които</w:t>
      </w:r>
      <w:r w:rsidRPr="00503C9F">
        <w:rPr>
          <w:i/>
        </w:rPr>
        <w:t xml:space="preserve"> да бъдат идентифицирани</w:t>
      </w:r>
      <w:r w:rsidR="004447C0">
        <w:rPr>
          <w:i/>
        </w:rPr>
        <w:t>?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>Бяха изразени различни мнения: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Използването на определен стандарт е отговорност на националните възложителите на обществени поръчки, но други най-добри практики биха могли да се използват като референтна стойност. Установените TS осигуряват правна сигурност. Националната система се разглежда като основна система и система</w:t>
      </w:r>
      <w:r w:rsidR="004447C0">
        <w:t>та</w:t>
      </w:r>
      <w:r w:rsidRPr="00503C9F">
        <w:t xml:space="preserve"> на ЕС е </w:t>
      </w:r>
      <w:r w:rsidR="004447C0">
        <w:t>за</w:t>
      </w:r>
      <w:r w:rsidRPr="00503C9F">
        <w:t xml:space="preserve"> второ </w:t>
      </w:r>
      <w:r w:rsidR="004447C0">
        <w:t>позоваване</w:t>
      </w:r>
      <w:r w:rsidRPr="00503C9F">
        <w:t xml:space="preserve">. Процесът е функция от търсенето. Държавите членки трябва да работят с възложителите на обществени поръчки за осигуряване на услуги по подходящ начин. </w:t>
      </w:r>
      <w:r w:rsidR="00F47A6E">
        <w:t>Възложителите</w:t>
      </w:r>
      <w:r w:rsidRPr="00503C9F">
        <w:t xml:space="preserve"> са важни в процеса, но не са основните потребители. Изискванията са определени за първи път. Важно е да се приведат в съответствие с процеса на идентифициране.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 xml:space="preserve">Стандартите са пазарно ориентирани, основани на търсенето, в противен случай те </w:t>
      </w:r>
      <w:r w:rsidR="00F47A6E">
        <w:t xml:space="preserve">няма да </w:t>
      </w:r>
      <w:r w:rsidRPr="00503C9F">
        <w:t xml:space="preserve">се </w:t>
      </w:r>
      <w:r w:rsidR="00F47A6E">
        <w:t>разработват</w:t>
      </w:r>
      <w:r w:rsidRPr="00503C9F">
        <w:t xml:space="preserve">. Процесът на идентифициране не е в това да се намерят </w:t>
      </w:r>
      <w:r w:rsidR="00F47A6E">
        <w:t>някакви</w:t>
      </w:r>
      <w:r w:rsidRPr="00503C9F">
        <w:t xml:space="preserve"> спецификация, а </w:t>
      </w:r>
      <w:r w:rsidR="00F47A6E">
        <w:t>да се разбере от какво се нуждаят възложителите</w:t>
      </w:r>
      <w:r w:rsidRPr="00503C9F">
        <w:t xml:space="preserve">. </w:t>
      </w:r>
      <w:r w:rsidR="00F47A6E">
        <w:t>Те</w:t>
      </w:r>
      <w:r w:rsidRPr="00503C9F">
        <w:t xml:space="preserve"> определя</w:t>
      </w:r>
      <w:r w:rsidR="00F47A6E">
        <w:t>т</w:t>
      </w:r>
      <w:r w:rsidRPr="00503C9F">
        <w:t xml:space="preserve"> нуждите, </w:t>
      </w:r>
      <w:proofErr w:type="spellStart"/>
      <w:r w:rsidR="00F47A6E">
        <w:t>стандартизационните</w:t>
      </w:r>
      <w:proofErr w:type="spellEnd"/>
      <w:r w:rsidR="00F47A6E">
        <w:t xml:space="preserve"> организации</w:t>
      </w:r>
      <w:r w:rsidRPr="00503C9F">
        <w:t xml:space="preserve"> предостав</w:t>
      </w:r>
      <w:r w:rsidR="00F47A6E">
        <w:t>ят</w:t>
      </w:r>
      <w:r w:rsidRPr="00503C9F">
        <w:t xml:space="preserve"> инструменти (TS).</w:t>
      </w:r>
    </w:p>
    <w:p w:rsidR="009E0F55" w:rsidRPr="00503C9F" w:rsidRDefault="00F47A6E" w:rsidP="00F47A6E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>
        <w:t>С</w:t>
      </w:r>
      <w:r w:rsidR="00C3161B" w:rsidRPr="00503C9F">
        <w:t>пецифични</w:t>
      </w:r>
      <w:r>
        <w:t>те</w:t>
      </w:r>
      <w:r w:rsidR="00C3161B" w:rsidRPr="00503C9F">
        <w:t xml:space="preserve"> нужди </w:t>
      </w:r>
      <w:r>
        <w:t xml:space="preserve">на възложителите </w:t>
      </w:r>
      <w:r w:rsidR="00C3161B" w:rsidRPr="00503C9F">
        <w:t xml:space="preserve">не са в центъра на вниманието </w:t>
      </w:r>
      <w:r>
        <w:t>н</w:t>
      </w:r>
      <w:r w:rsidR="00C3161B" w:rsidRPr="00503C9F">
        <w:t xml:space="preserve">а </w:t>
      </w:r>
      <w:proofErr w:type="spellStart"/>
      <w:r w:rsidRPr="00F47A6E">
        <w:t>стандартизационните</w:t>
      </w:r>
      <w:proofErr w:type="spellEnd"/>
      <w:r w:rsidRPr="00F47A6E">
        <w:t xml:space="preserve"> организации</w:t>
      </w:r>
      <w:r w:rsidR="00C3161B" w:rsidRPr="00503C9F">
        <w:t xml:space="preserve"> при разработването на технически спецификации.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 xml:space="preserve">Някои от тези въпроси са били вече обсъждани преди </w:t>
      </w:r>
      <w:r w:rsidR="00F47A6E">
        <w:t>създаването на П</w:t>
      </w:r>
      <w:r w:rsidRPr="00503C9F">
        <w:t>латформа</w:t>
      </w:r>
      <w:r w:rsidR="00F47A6E">
        <w:t>та и</w:t>
      </w:r>
      <w:r w:rsidRPr="00503C9F">
        <w:t xml:space="preserve"> </w:t>
      </w:r>
      <w:r w:rsidR="00F47A6E">
        <w:t>има изненада</w:t>
      </w:r>
      <w:r w:rsidRPr="00503C9F">
        <w:t xml:space="preserve"> </w:t>
      </w:r>
      <w:r w:rsidR="00F47A6E">
        <w:t xml:space="preserve">от започналото отново обсъждане </w:t>
      </w:r>
      <w:r w:rsidRPr="00503C9F">
        <w:t xml:space="preserve">и </w:t>
      </w:r>
      <w:r w:rsidR="00F47A6E">
        <w:t>въпрос</w:t>
      </w:r>
      <w:r w:rsidRPr="00503C9F">
        <w:t xml:space="preserve"> дали не трябва да се преосмисли смисъл</w:t>
      </w:r>
      <w:r w:rsidR="00F47A6E">
        <w:t>а</w:t>
      </w:r>
      <w:r w:rsidRPr="00503C9F">
        <w:t xml:space="preserve"> на процеса.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 xml:space="preserve">Изглежда съществува известно объркване, тъй като това не е задължителна процедура, но дава възможност за публичен достъп до набор от технически спецификации за създателите на политики. </w:t>
      </w:r>
      <w:r w:rsidR="00F47A6E">
        <w:t>Възложителите</w:t>
      </w:r>
      <w:r w:rsidRPr="00503C9F">
        <w:t xml:space="preserve"> не са първият клиент на процеса, тъй като </w:t>
      </w:r>
      <w:r w:rsidR="00F47A6E">
        <w:t>не те</w:t>
      </w:r>
      <w:r w:rsidRPr="00503C9F">
        <w:t xml:space="preserve"> определят какво е необходимо, </w:t>
      </w:r>
      <w:r w:rsidR="00F47A6E">
        <w:t>а</w:t>
      </w:r>
      <w:r w:rsidRPr="00503C9F">
        <w:t xml:space="preserve"> правителствата, които са сред първите партньори, </w:t>
      </w:r>
      <w:r w:rsidR="00F47A6E">
        <w:t>и</w:t>
      </w:r>
      <w:r w:rsidRPr="00503C9F">
        <w:t xml:space="preserve"> които би</w:t>
      </w:r>
      <w:r w:rsidR="00F47A6E">
        <w:t>ха</w:t>
      </w:r>
      <w:r w:rsidRPr="00503C9F">
        <w:t xml:space="preserve"> могл</w:t>
      </w:r>
      <w:r w:rsidR="00F47A6E">
        <w:t>и</w:t>
      </w:r>
      <w:r w:rsidRPr="00503C9F">
        <w:t xml:space="preserve"> да се определ</w:t>
      </w:r>
      <w:r w:rsidR="00F47A6E">
        <w:t>ят</w:t>
      </w:r>
      <w:r w:rsidRPr="00503C9F">
        <w:t xml:space="preserve"> какво е необходимо, например в болници, обществен транспорт и др.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 xml:space="preserve">Не съществува връзка между процеса на идентификация и </w:t>
      </w:r>
      <w:r w:rsidR="002D24C3">
        <w:t>възложителите</w:t>
      </w:r>
      <w:r w:rsidRPr="00503C9F">
        <w:t xml:space="preserve">. </w:t>
      </w:r>
      <w:r w:rsidR="002D24C3">
        <w:t xml:space="preserve">Поддържането на контакт </w:t>
      </w:r>
      <w:r w:rsidRPr="00503C9F">
        <w:t xml:space="preserve">с </w:t>
      </w:r>
      <w:r w:rsidR="002D24C3">
        <w:t>възложителите</w:t>
      </w:r>
      <w:r w:rsidR="002D24C3" w:rsidRPr="002D24C3">
        <w:t xml:space="preserve"> </w:t>
      </w:r>
      <w:r w:rsidR="002D24C3">
        <w:t>се о</w:t>
      </w:r>
      <w:r w:rsidR="002D24C3" w:rsidRPr="00503C9F">
        <w:t>каз</w:t>
      </w:r>
      <w:r w:rsidR="002D24C3">
        <w:t>в</w:t>
      </w:r>
      <w:r w:rsidR="002D24C3" w:rsidRPr="00503C9F">
        <w:t>а трудно</w:t>
      </w:r>
      <w:r w:rsidRPr="00503C9F">
        <w:t>, които не са първи избор, но експертите</w:t>
      </w:r>
      <w:r w:rsidR="002D24C3">
        <w:t xml:space="preserve"> са</w:t>
      </w:r>
      <w:r w:rsidRPr="00503C9F">
        <w:t>. Процесът на идентифициране е по-дъл</w:t>
      </w:r>
      <w:r w:rsidR="002D24C3">
        <w:t>ъг</w:t>
      </w:r>
      <w:r w:rsidRPr="00503C9F">
        <w:t xml:space="preserve"> от очакваното и не е толкова лесно, колкото е изглеждало в началото. Каталогът </w:t>
      </w:r>
      <w:r w:rsidR="002D24C3">
        <w:t>може да</w:t>
      </w:r>
      <w:r w:rsidRPr="00503C9F">
        <w:t xml:space="preserve"> бъде правилният начин за намиране на стратегията. Беше поискано от Европей</w:t>
      </w:r>
      <w:r w:rsidR="002D24C3">
        <w:t>ската комисия да се концентрира</w:t>
      </w:r>
      <w:r w:rsidRPr="00503C9F">
        <w:t xml:space="preserve"> върху каталог като избор, </w:t>
      </w:r>
      <w:r w:rsidR="002D24C3">
        <w:t>чрез който възложителите могат да</w:t>
      </w:r>
      <w:r w:rsidRPr="00503C9F">
        <w:t xml:space="preserve"> намерят своя път.</w:t>
      </w:r>
    </w:p>
    <w:p w:rsidR="002D24C3" w:rsidRPr="00503C9F" w:rsidRDefault="002D24C3" w:rsidP="002D24C3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>
        <w:lastRenderedPageBreak/>
        <w:t>Фокусиране на с</w:t>
      </w:r>
      <w:r w:rsidR="00C3161B" w:rsidRPr="00503C9F">
        <w:t xml:space="preserve">ъздателите на политики </w:t>
      </w:r>
      <w:r>
        <w:t>върху</w:t>
      </w:r>
      <w:r w:rsidR="00C3161B" w:rsidRPr="00503C9F">
        <w:t xml:space="preserve"> оперативната съвместимост и информационна сигурност. </w:t>
      </w:r>
      <w:r>
        <w:t>Д</w:t>
      </w:r>
      <w:r w:rsidRPr="00503C9F">
        <w:t xml:space="preserve">а </w:t>
      </w:r>
      <w:r>
        <w:t xml:space="preserve">се </w:t>
      </w:r>
      <w:r w:rsidRPr="00503C9F">
        <w:t xml:space="preserve">комуникират с гражданите </w:t>
      </w:r>
      <w:r>
        <w:t>управленските нужди от спецификации</w:t>
      </w:r>
      <w:r w:rsidR="00C3161B" w:rsidRPr="00503C9F">
        <w:t>, които ви прав</w:t>
      </w:r>
      <w:r>
        <w:t>ят</w:t>
      </w:r>
      <w:r w:rsidR="00C3161B" w:rsidRPr="00503C9F">
        <w:t xml:space="preserve"> оперативно съвместими</w:t>
      </w:r>
      <w:r>
        <w:t>, едновременно чрез</w:t>
      </w:r>
      <w:r w:rsidR="00C3161B" w:rsidRPr="00503C9F">
        <w:t xml:space="preserve"> стандарти и технически спецификации, които не са </w:t>
      </w:r>
      <w:r>
        <w:t xml:space="preserve">от </w:t>
      </w:r>
      <w:r w:rsidR="00C3161B" w:rsidRPr="00503C9F">
        <w:t>официални органи.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Основни клиенти/партньори следва да бъдат лицата, определящи политиките, в които се определят изискванията, свързани с оперативната съвместимост, сигурността и в полза на потребителите.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Процес</w:t>
      </w:r>
      <w:r w:rsidR="002D24C3">
        <w:t>ът на идентифициране не е бърз и отнема</w:t>
      </w:r>
      <w:r w:rsidRPr="00503C9F">
        <w:t xml:space="preserve"> много ресурси. </w:t>
      </w:r>
      <w:r w:rsidR="002D24C3">
        <w:t>Каталогът</w:t>
      </w:r>
      <w:r w:rsidRPr="00503C9F">
        <w:t xml:space="preserve"> може да бъде правилната посока </w:t>
      </w:r>
      <w:r w:rsidR="002D24C3">
        <w:t>като</w:t>
      </w:r>
      <w:r w:rsidRPr="00503C9F">
        <w:t xml:space="preserve"> доброволен инс</w:t>
      </w:r>
      <w:r w:rsidR="002D24C3">
        <w:t>трумент. Не много спецификации</w:t>
      </w:r>
      <w:r w:rsidRPr="00503C9F">
        <w:t xml:space="preserve"> са </w:t>
      </w:r>
      <w:r w:rsidR="002D24C3">
        <w:t>оценени дори с използването на CAMSS досега.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Добавената стойност на процеса на идентификация в сравнение с други методи, като споделянето на добри практики и използването на случаите следва да бъдат анализирани. Те са разработени в агенции, които имат огледални комитети на националните организации за стандартизация и заинтересованите страни.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 xml:space="preserve">Някои държави членки се позовават на националните каталози и не са заинтересовани </w:t>
      </w:r>
      <w:r w:rsidR="00580C36">
        <w:t>от</w:t>
      </w:r>
      <w:r w:rsidRPr="00503C9F">
        <w:t xml:space="preserve"> процеса на идентификация, докато </w:t>
      </w:r>
      <w:r w:rsidR="00580C36">
        <w:t>възложителите</w:t>
      </w:r>
      <w:r w:rsidRPr="00503C9F">
        <w:t xml:space="preserve"> </w:t>
      </w:r>
      <w:r w:rsidR="00580C36">
        <w:t>имат</w:t>
      </w:r>
      <w:r w:rsidRPr="00503C9F">
        <w:t xml:space="preserve"> оперативната съвместимост като цел.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Някои държави членки използват централни служби</w:t>
      </w:r>
      <w:r w:rsidR="00580C36">
        <w:t xml:space="preserve"> за обществени поръчки</w:t>
      </w:r>
      <w:r w:rsidRPr="00503C9F">
        <w:t xml:space="preserve">, </w:t>
      </w:r>
      <w:r w:rsidR="00580C36">
        <w:t xml:space="preserve">което </w:t>
      </w:r>
      <w:r w:rsidRPr="00503C9F">
        <w:t xml:space="preserve">би могло да бъде </w:t>
      </w:r>
      <w:r w:rsidR="00580C36">
        <w:t>репликирано</w:t>
      </w:r>
      <w:r w:rsidRPr="00503C9F">
        <w:t>, тъй като създава осведоменост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Процесъ</w:t>
      </w:r>
      <w:r w:rsidR="00580C36">
        <w:t>т на идентифициране е необходим</w:t>
      </w:r>
      <w:r w:rsidRPr="00503C9F">
        <w:t xml:space="preserve">, тъй като дава възможност </w:t>
      </w:r>
      <w:r w:rsidR="00580C36" w:rsidRPr="00503C9F">
        <w:t xml:space="preserve">всички </w:t>
      </w:r>
      <w:r w:rsidR="00580C36">
        <w:t>възложители</w:t>
      </w:r>
      <w:r w:rsidR="00580C36" w:rsidRPr="00503C9F">
        <w:t xml:space="preserve"> </w:t>
      </w:r>
      <w:r w:rsidRPr="00503C9F">
        <w:t xml:space="preserve">да използват </w:t>
      </w:r>
      <w:r w:rsidR="00580C36">
        <w:t xml:space="preserve">всички </w:t>
      </w:r>
      <w:r w:rsidR="00580C36" w:rsidRPr="00503C9F">
        <w:t>техническ</w:t>
      </w:r>
      <w:r w:rsidR="00580C36">
        <w:t>и</w:t>
      </w:r>
      <w:r w:rsidR="00580C36" w:rsidRPr="00503C9F">
        <w:t xml:space="preserve"> решени</w:t>
      </w:r>
      <w:r w:rsidR="00580C36">
        <w:t>я, които са</w:t>
      </w:r>
      <w:r w:rsidR="00580C36" w:rsidRPr="00503C9F">
        <w:t xml:space="preserve"> </w:t>
      </w:r>
      <w:r w:rsidRPr="00503C9F">
        <w:t xml:space="preserve">на разположение. Този процес може да бъде продължителен и тежък, тъй като е </w:t>
      </w:r>
      <w:r w:rsidR="00580C36">
        <w:t>описан като такъв</w:t>
      </w:r>
      <w:r w:rsidRPr="00503C9F">
        <w:t xml:space="preserve">, но може да </w:t>
      </w:r>
      <w:r w:rsidR="00580C36">
        <w:t>продължи работата по</w:t>
      </w:r>
      <w:r w:rsidRPr="00503C9F">
        <w:t xml:space="preserve"> усъвършенстване</w:t>
      </w:r>
      <w:r w:rsidR="00580C36">
        <w:t>то му</w:t>
      </w:r>
      <w:r w:rsidRPr="00503C9F">
        <w:t>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Списъкът на съответните налични спецификации в текущо актуализирания план би могъл да бъде отправна точка.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Проучване може да направи оценка на използването на определени технически спецификации.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Публику</w:t>
      </w:r>
      <w:r w:rsidR="00580C36">
        <w:t>ване на докладите за оценка, може</w:t>
      </w:r>
      <w:r w:rsidRPr="00503C9F">
        <w:t xml:space="preserve"> да помогн</w:t>
      </w:r>
      <w:r w:rsidR="00580C36">
        <w:t>е</w:t>
      </w:r>
      <w:r w:rsidRPr="00503C9F">
        <w:t xml:space="preserve"> на възложителите на обществени поръчки.</w:t>
      </w:r>
    </w:p>
    <w:p w:rsidR="009E0F55" w:rsidRPr="00503C9F" w:rsidRDefault="00C3161B">
      <w:pPr>
        <w:pStyle w:val="ListParagraph"/>
        <w:numPr>
          <w:ilvl w:val="0"/>
          <w:numId w:val="9"/>
        </w:numPr>
        <w:tabs>
          <w:tab w:val="left" w:pos="284"/>
        </w:tabs>
        <w:ind w:left="142"/>
        <w:jc w:val="both"/>
      </w:pPr>
      <w:r w:rsidRPr="00503C9F">
        <w:t>Изискванията на регламентите относно обществените поръчки се нужда</w:t>
      </w:r>
      <w:r w:rsidR="00580C36">
        <w:t>ят</w:t>
      </w:r>
      <w:r w:rsidRPr="00503C9F">
        <w:t xml:space="preserve"> от изясняване.</w:t>
      </w:r>
    </w:p>
    <w:p w:rsidR="009E0F55" w:rsidRPr="00503C9F" w:rsidRDefault="009E0F55">
      <w:pPr>
        <w:pStyle w:val="ListParagraph"/>
        <w:ind w:left="0"/>
        <w:jc w:val="both"/>
        <w:rPr>
          <w:color w:val="BFBFBF"/>
        </w:rPr>
      </w:pPr>
    </w:p>
    <w:p w:rsidR="009E0F55" w:rsidRPr="00503C9F" w:rsidRDefault="00C3161B">
      <w:pPr>
        <w:pStyle w:val="ListParagraph"/>
        <w:ind w:left="0"/>
        <w:jc w:val="both"/>
        <w:rPr>
          <w:i/>
        </w:rPr>
      </w:pPr>
      <w:r w:rsidRPr="00503C9F">
        <w:rPr>
          <w:i/>
        </w:rPr>
        <w:t>Въпрос 2 „</w:t>
      </w:r>
      <w:r w:rsidR="00580C36">
        <w:rPr>
          <w:i/>
        </w:rPr>
        <w:t>Трябва ли</w:t>
      </w:r>
      <w:r w:rsidRPr="00503C9F">
        <w:rPr>
          <w:i/>
        </w:rPr>
        <w:t xml:space="preserve"> </w:t>
      </w:r>
      <w:r w:rsidR="00580C36" w:rsidRPr="00580C36">
        <w:rPr>
          <w:i/>
        </w:rPr>
        <w:t>MSP</w:t>
      </w:r>
      <w:r w:rsidRPr="00503C9F">
        <w:rPr>
          <w:i/>
        </w:rPr>
        <w:t xml:space="preserve"> </w:t>
      </w:r>
      <w:r w:rsidR="00580C36">
        <w:rPr>
          <w:i/>
        </w:rPr>
        <w:t>да</w:t>
      </w:r>
      <w:r w:rsidRPr="00503C9F">
        <w:rPr>
          <w:i/>
        </w:rPr>
        <w:t xml:space="preserve"> проучи кои спецификации може да са необходими на възложителите на обществени поръчки и да </w:t>
      </w:r>
      <w:r w:rsidR="00580C36">
        <w:rPr>
          <w:i/>
        </w:rPr>
        <w:t>кандидатстват</w:t>
      </w:r>
      <w:r w:rsidRPr="00503C9F">
        <w:rPr>
          <w:i/>
        </w:rPr>
        <w:t xml:space="preserve"> за процедурата по </w:t>
      </w:r>
      <w:r w:rsidR="00580C36">
        <w:rPr>
          <w:i/>
        </w:rPr>
        <w:t>идентификация</w:t>
      </w:r>
      <w:r w:rsidRPr="00503C9F">
        <w:rPr>
          <w:i/>
        </w:rPr>
        <w:t xml:space="preserve"> и как?“</w:t>
      </w:r>
    </w:p>
    <w:p w:rsidR="009E0F55" w:rsidRPr="00503C9F" w:rsidRDefault="00C3161B" w:rsidP="00F327A9">
      <w:pPr>
        <w:pStyle w:val="ListParagraph"/>
        <w:numPr>
          <w:ilvl w:val="0"/>
          <w:numId w:val="8"/>
        </w:numPr>
        <w:ind w:left="426"/>
        <w:jc w:val="both"/>
      </w:pPr>
      <w:r w:rsidRPr="00503C9F">
        <w:t>Някои предложи</w:t>
      </w:r>
      <w:r w:rsidR="00580C36">
        <w:t>ха</w:t>
      </w:r>
      <w:r w:rsidRPr="00503C9F">
        <w:t xml:space="preserve"> да се направи избор и </w:t>
      </w:r>
      <w:r w:rsidR="00580C36">
        <w:t xml:space="preserve">вниманието </w:t>
      </w:r>
      <w:r w:rsidRPr="00503C9F">
        <w:t>да се съсредоточи само върху нови и новаторски инструменти, докато други предпочитат да се концентрира</w:t>
      </w:r>
      <w:r w:rsidR="00580C36">
        <w:t>т</w:t>
      </w:r>
      <w:r w:rsidRPr="00503C9F">
        <w:t xml:space="preserve"> върху онези от тях, които се използват редовно.</w:t>
      </w:r>
    </w:p>
    <w:p w:rsidR="009E0F55" w:rsidRPr="00503C9F" w:rsidRDefault="00C3161B" w:rsidP="00F327A9">
      <w:pPr>
        <w:pStyle w:val="ListParagraph"/>
        <w:numPr>
          <w:ilvl w:val="0"/>
          <w:numId w:val="8"/>
        </w:numPr>
        <w:ind w:left="426"/>
        <w:jc w:val="both"/>
      </w:pPr>
      <w:r w:rsidRPr="00503C9F">
        <w:t xml:space="preserve">Някои считат, че вместо тежестта </w:t>
      </w:r>
      <w:r w:rsidR="00580C36">
        <w:t xml:space="preserve">да </w:t>
      </w:r>
      <w:r w:rsidRPr="00503C9F">
        <w:t xml:space="preserve">се поставя върху </w:t>
      </w:r>
      <w:r w:rsidR="00580C36" w:rsidRPr="00580C36">
        <w:t>MSP</w:t>
      </w:r>
      <w:r w:rsidRPr="00503C9F">
        <w:t xml:space="preserve">, </w:t>
      </w:r>
      <w:r w:rsidR="00580C36">
        <w:t>К</w:t>
      </w:r>
      <w:r w:rsidRPr="00503C9F">
        <w:t xml:space="preserve">аталогът ще бъде подходящият </w:t>
      </w:r>
      <w:r w:rsidR="00580C36">
        <w:t>инструмент</w:t>
      </w:r>
      <w:r w:rsidRPr="00503C9F">
        <w:t xml:space="preserve"> за в бъдеще.</w:t>
      </w:r>
    </w:p>
    <w:p w:rsidR="009E0F55" w:rsidRPr="00503C9F" w:rsidRDefault="00580C36">
      <w:pPr>
        <w:pStyle w:val="ListParagraph"/>
        <w:numPr>
          <w:ilvl w:val="0"/>
          <w:numId w:val="7"/>
        </w:numPr>
        <w:ind w:left="426"/>
        <w:jc w:val="both"/>
      </w:pPr>
      <w:r>
        <w:t>Като д</w:t>
      </w:r>
      <w:r w:rsidR="00C3161B" w:rsidRPr="00503C9F">
        <w:t xml:space="preserve">руг подход </w:t>
      </w:r>
      <w:r w:rsidRPr="00503C9F">
        <w:t xml:space="preserve">бе </w:t>
      </w:r>
      <w:r w:rsidR="00C3161B" w:rsidRPr="00503C9F">
        <w:t xml:space="preserve">предложено да се проведе консултация с възложители на обществени поръчки, </w:t>
      </w:r>
      <w:r>
        <w:t>за</w:t>
      </w:r>
      <w:r w:rsidR="00C3161B" w:rsidRPr="00503C9F">
        <w:t xml:space="preserve"> областите, в които те ще </w:t>
      </w:r>
      <w:r>
        <w:t>имат нужди</w:t>
      </w:r>
      <w:r w:rsidR="00C3161B" w:rsidRPr="00503C9F">
        <w:t xml:space="preserve"> и да пристъпят към </w:t>
      </w:r>
      <w:r>
        <w:t>идентификация</w:t>
      </w:r>
      <w:r w:rsidR="00C3161B" w:rsidRPr="00503C9F">
        <w:t xml:space="preserve"> в тези области.</w:t>
      </w:r>
    </w:p>
    <w:p w:rsidR="009E0F55" w:rsidRPr="00503C9F" w:rsidRDefault="009E0F55">
      <w:pPr>
        <w:pStyle w:val="ListParagraph"/>
        <w:ind w:left="426"/>
        <w:jc w:val="both"/>
      </w:pPr>
    </w:p>
    <w:p w:rsidR="009E0F55" w:rsidRPr="00503C9F" w:rsidRDefault="00C3161B">
      <w:pPr>
        <w:pStyle w:val="ListParagraph"/>
        <w:ind w:left="0"/>
        <w:jc w:val="both"/>
        <w:rPr>
          <w:i/>
        </w:rPr>
      </w:pPr>
      <w:r w:rsidRPr="00503C9F">
        <w:rPr>
          <w:i/>
        </w:rPr>
        <w:t>Въпрос 3: „Как да се улесни откриването на ТС, чиято необходимост може да бъде доста очевидн</w:t>
      </w:r>
      <w:r w:rsidR="00580C36">
        <w:rPr>
          <w:i/>
        </w:rPr>
        <w:t>а</w:t>
      </w:r>
      <w:r w:rsidRPr="00503C9F">
        <w:rPr>
          <w:i/>
        </w:rPr>
        <w:t>? Достатъчно ли е да се изчак</w:t>
      </w:r>
      <w:r w:rsidR="00F327A9">
        <w:rPr>
          <w:i/>
        </w:rPr>
        <w:t>в</w:t>
      </w:r>
      <w:r w:rsidRPr="00503C9F">
        <w:rPr>
          <w:i/>
        </w:rPr>
        <w:t xml:space="preserve">а </w:t>
      </w:r>
      <w:r w:rsidR="00F327A9">
        <w:rPr>
          <w:i/>
        </w:rPr>
        <w:t>пристигането на за</w:t>
      </w:r>
      <w:r w:rsidRPr="00503C9F">
        <w:rPr>
          <w:i/>
        </w:rPr>
        <w:t>явления?“</w:t>
      </w:r>
    </w:p>
    <w:p w:rsidR="009E0F55" w:rsidRPr="00503C9F" w:rsidRDefault="009E0F55">
      <w:pPr>
        <w:pStyle w:val="ListParagraph"/>
        <w:ind w:left="0"/>
        <w:jc w:val="both"/>
      </w:pPr>
    </w:p>
    <w:p w:rsidR="009E0F55" w:rsidRPr="00503C9F" w:rsidRDefault="00C3161B">
      <w:pPr>
        <w:pStyle w:val="ListParagraph"/>
        <w:numPr>
          <w:ilvl w:val="0"/>
          <w:numId w:val="8"/>
        </w:numPr>
        <w:ind w:left="426"/>
        <w:jc w:val="both"/>
      </w:pPr>
      <w:r w:rsidRPr="00503C9F">
        <w:t>Някои поставиха под въпрос как могат да бъдат определени „очевидни“.</w:t>
      </w:r>
    </w:p>
    <w:p w:rsidR="009E0F55" w:rsidRPr="00503C9F" w:rsidRDefault="00F327A9" w:rsidP="00F327A9">
      <w:pPr>
        <w:pStyle w:val="ListParagraph"/>
        <w:numPr>
          <w:ilvl w:val="0"/>
          <w:numId w:val="8"/>
        </w:numPr>
        <w:ind w:left="426"/>
        <w:jc w:val="both"/>
      </w:pPr>
      <w:r>
        <w:t>Дебатът беше приветстван</w:t>
      </w:r>
      <w:r w:rsidR="00C3161B" w:rsidRPr="00503C9F">
        <w:t>, тъй като т</w:t>
      </w:r>
      <w:r>
        <w:t>ой</w:t>
      </w:r>
      <w:r w:rsidR="00C3161B" w:rsidRPr="00503C9F">
        <w:t xml:space="preserve"> прави промяна, за да </w:t>
      </w:r>
      <w:r>
        <w:t xml:space="preserve">се </w:t>
      </w:r>
      <w:r w:rsidR="00C3161B" w:rsidRPr="00503C9F">
        <w:t>премин</w:t>
      </w:r>
      <w:r>
        <w:t>е</w:t>
      </w:r>
      <w:r w:rsidR="00C3161B" w:rsidRPr="00503C9F">
        <w:t xml:space="preserve"> от подход </w:t>
      </w:r>
      <w:r>
        <w:t>на изчакване и наблюдение към</w:t>
      </w:r>
      <w:r w:rsidR="00C3161B" w:rsidRPr="00503C9F">
        <w:t xml:space="preserve"> активни действия. Това обсъждане следва да позволи на </w:t>
      </w:r>
      <w:r w:rsidRPr="00F327A9">
        <w:t>MSP</w:t>
      </w:r>
      <w:r w:rsidR="00C3161B" w:rsidRPr="00503C9F">
        <w:t xml:space="preserve"> да разгледа ролята на процеса на идентификация, текущо актуализирания план </w:t>
      </w:r>
      <w:r>
        <w:t>з</w:t>
      </w:r>
      <w:r w:rsidR="00C3161B" w:rsidRPr="00503C9F">
        <w:t xml:space="preserve">а </w:t>
      </w:r>
      <w:r>
        <w:t>К</w:t>
      </w:r>
      <w:r w:rsidR="00C3161B" w:rsidRPr="00503C9F">
        <w:t>аталог</w:t>
      </w:r>
      <w:r>
        <w:t>а</w:t>
      </w:r>
      <w:r w:rsidR="00C3161B" w:rsidRPr="00503C9F">
        <w:t>, и да се изгради по-силна връзка между различните инструменти.</w:t>
      </w:r>
    </w:p>
    <w:p w:rsidR="009E0F55" w:rsidRPr="00503C9F" w:rsidRDefault="00C3161B" w:rsidP="00F327A9">
      <w:pPr>
        <w:pStyle w:val="ListParagraph"/>
        <w:numPr>
          <w:ilvl w:val="0"/>
          <w:numId w:val="8"/>
        </w:numPr>
        <w:ind w:left="426"/>
        <w:jc w:val="both"/>
      </w:pPr>
      <w:r w:rsidRPr="00503C9F">
        <w:lastRenderedPageBreak/>
        <w:t xml:space="preserve">Относно въпрос, Испания поясни какво разбира под „очевидно“ </w:t>
      </w:r>
      <w:r w:rsidR="00F327A9">
        <w:t>-</w:t>
      </w:r>
      <w:r w:rsidRPr="00503C9F">
        <w:t xml:space="preserve"> тези спецификации</w:t>
      </w:r>
      <w:r w:rsidR="00F327A9">
        <w:t>, разработени</w:t>
      </w:r>
      <w:r w:rsidRPr="00503C9F">
        <w:t xml:space="preserve"> от форуми &amp; консорциуми, които използваме ежедневно хиляди пъти при използване на нашата поща, браузър, платформа и т.н. </w:t>
      </w:r>
      <w:r w:rsidR="00F327A9">
        <w:t>трябва ли да</w:t>
      </w:r>
      <w:r w:rsidRPr="00503C9F">
        <w:t xml:space="preserve"> правим нещо за това? Ако се съсредоточим </w:t>
      </w:r>
      <w:r w:rsidR="00F327A9">
        <w:t xml:space="preserve">само </w:t>
      </w:r>
      <w:r w:rsidRPr="00503C9F">
        <w:t>върху нов</w:t>
      </w:r>
      <w:r w:rsidR="00F327A9">
        <w:t>остите (</w:t>
      </w:r>
      <w:proofErr w:type="spellStart"/>
      <w:r w:rsidR="00F327A9">
        <w:t>new</w:t>
      </w:r>
      <w:proofErr w:type="spellEnd"/>
      <w:r w:rsidR="00F327A9">
        <w:t xml:space="preserve"> &amp; </w:t>
      </w:r>
      <w:proofErr w:type="spellStart"/>
      <w:r w:rsidR="00F327A9">
        <w:t>novel</w:t>
      </w:r>
      <w:proofErr w:type="spellEnd"/>
      <w:r w:rsidR="00F327A9">
        <w:t xml:space="preserve">), </w:t>
      </w:r>
      <w:r w:rsidRPr="00503C9F">
        <w:t>какво би се случило с тези, коит</w:t>
      </w:r>
      <w:r w:rsidR="00F327A9">
        <w:t xml:space="preserve">о ползваме всеки ден? Трудно може </w:t>
      </w:r>
      <w:r w:rsidRPr="00503C9F">
        <w:t xml:space="preserve">да се </w:t>
      </w:r>
      <w:r w:rsidR="00F327A9">
        <w:t>постигне</w:t>
      </w:r>
      <w:r w:rsidRPr="00503C9F">
        <w:t xml:space="preserve"> обективност.</w:t>
      </w:r>
    </w:p>
    <w:p w:rsidR="009E0F55" w:rsidRPr="00503C9F" w:rsidRDefault="00C3161B" w:rsidP="00F327A9">
      <w:pPr>
        <w:pStyle w:val="ListParagraph"/>
        <w:numPr>
          <w:ilvl w:val="0"/>
          <w:numId w:val="8"/>
        </w:numPr>
        <w:ind w:left="426"/>
        <w:jc w:val="both"/>
      </w:pPr>
      <w:r w:rsidRPr="00503C9F">
        <w:t xml:space="preserve">Докато някои считаха, че </w:t>
      </w:r>
      <w:r w:rsidR="00F327A9" w:rsidRPr="00503C9F">
        <w:t xml:space="preserve">членовете </w:t>
      </w:r>
      <w:r w:rsidR="00F327A9">
        <w:t xml:space="preserve">на </w:t>
      </w:r>
      <w:r w:rsidR="00F327A9" w:rsidRPr="00F327A9">
        <w:t>MSP</w:t>
      </w:r>
      <w:r w:rsidRPr="00503C9F">
        <w:t xml:space="preserve"> би</w:t>
      </w:r>
      <w:r w:rsidR="00F327A9">
        <w:t>ха</w:t>
      </w:r>
      <w:r w:rsidRPr="00503C9F">
        <w:t xml:space="preserve"> могл</w:t>
      </w:r>
      <w:r w:rsidR="00F327A9">
        <w:t>и</w:t>
      </w:r>
      <w:r w:rsidRPr="00503C9F">
        <w:t xml:space="preserve"> да предлож</w:t>
      </w:r>
      <w:r w:rsidR="00F327A9">
        <w:t>ат</w:t>
      </w:r>
      <w:r w:rsidRPr="00503C9F">
        <w:t xml:space="preserve"> по-проактивен начин </w:t>
      </w:r>
      <w:r w:rsidR="00F327A9">
        <w:t>нови</w:t>
      </w:r>
      <w:r w:rsidRPr="00503C9F">
        <w:t xml:space="preserve"> елементи за идентификация, други делегации считат, че тежестта на процеса на идентификация, е твърде висока в сравнение с добавената стойност за възложителите на обществени поръчки.</w:t>
      </w:r>
    </w:p>
    <w:p w:rsidR="009E0F55" w:rsidRPr="00503C9F" w:rsidRDefault="00C3161B">
      <w:pPr>
        <w:pStyle w:val="ListParagraph"/>
        <w:numPr>
          <w:ilvl w:val="0"/>
          <w:numId w:val="8"/>
        </w:numPr>
        <w:ind w:left="426"/>
        <w:jc w:val="both"/>
      </w:pPr>
      <w:r w:rsidRPr="00503C9F">
        <w:t>Публично-частните партньорства (ПЧП) в приоритетни области, също така биха могли да предоставят входящи данни.</w:t>
      </w:r>
    </w:p>
    <w:p w:rsidR="009E0F55" w:rsidRPr="00503C9F" w:rsidRDefault="009E0F55"/>
    <w:p w:rsidR="009E0F55" w:rsidRPr="00503C9F" w:rsidRDefault="00F327A9">
      <w:pPr>
        <w:rPr>
          <w:vertAlign w:val="superscript"/>
        </w:rPr>
      </w:pPr>
      <w:r>
        <w:t>В</w:t>
      </w:r>
      <w:r w:rsidR="00C3161B" w:rsidRPr="00503C9F">
        <w:t>ъпроси 4 и 5 не бяха обсъден</w:t>
      </w:r>
      <w:r>
        <w:t>и</w:t>
      </w:r>
      <w:r w:rsidR="00C3161B" w:rsidRPr="00503C9F">
        <w:t xml:space="preserve"> поради недостиг на време. </w:t>
      </w:r>
      <w:r>
        <w:t>Ч</w:t>
      </w:r>
      <w:r w:rsidRPr="00503C9F">
        <w:t>ленове</w:t>
      </w:r>
      <w:r>
        <w:t>те на</w:t>
      </w:r>
      <w:r w:rsidRPr="00F327A9">
        <w:t xml:space="preserve"> MSP</w:t>
      </w:r>
      <w:r w:rsidR="00C3161B" w:rsidRPr="00503C9F">
        <w:t xml:space="preserve"> са </w:t>
      </w:r>
      <w:r>
        <w:t>приканени</w:t>
      </w:r>
      <w:r w:rsidR="00C3161B" w:rsidRPr="00503C9F">
        <w:t xml:space="preserve"> да представят писмени становища и материали до 30 юни, и секретариатът ще предостави обобщение за следващ</w:t>
      </w:r>
      <w:r>
        <w:t>ото заседание на</w:t>
      </w:r>
      <w:r w:rsidR="00C3161B" w:rsidRPr="00503C9F">
        <w:t xml:space="preserve"> </w:t>
      </w:r>
      <w:r w:rsidRPr="00F327A9">
        <w:t>MSP</w:t>
      </w:r>
      <w:r w:rsidR="00C3161B" w:rsidRPr="00503C9F">
        <w:t>.</w:t>
      </w:r>
    </w:p>
    <w:p w:rsidR="009E0F55" w:rsidRPr="00503C9F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503C9F">
        <w:t>Приоритети по отношение на политиката</w:t>
      </w:r>
    </w:p>
    <w:p w:rsidR="009E0F55" w:rsidRPr="00503C9F" w:rsidRDefault="00C3161B">
      <w:pPr>
        <w:pStyle w:val="Heading2"/>
        <w:rPr>
          <w:szCs w:val="24"/>
          <w:u w:val="single"/>
        </w:rPr>
      </w:pPr>
      <w:r w:rsidRPr="00503C9F">
        <w:rPr>
          <w:szCs w:val="24"/>
          <w:u w:val="single"/>
        </w:rPr>
        <w:t>Съобщението „Приоритети за стандартизацията в областта на ИКТ</w:t>
      </w:r>
    </w:p>
    <w:p w:rsidR="009E0F55" w:rsidRPr="00503C9F" w:rsidRDefault="00C3161B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/>
          <w:b/>
          <w:i/>
          <w:szCs w:val="24"/>
        </w:rPr>
      </w:pPr>
      <w:r w:rsidRPr="00503C9F">
        <w:rPr>
          <w:rFonts w:eastAsia="Calibri"/>
          <w:b/>
          <w:i/>
          <w:szCs w:val="24"/>
        </w:rPr>
        <w:t xml:space="preserve">Актуална информация относно приоритетни области: </w:t>
      </w:r>
      <w:proofErr w:type="spellStart"/>
      <w:r w:rsidRPr="00503C9F">
        <w:rPr>
          <w:rFonts w:eastAsia="Calibri"/>
          <w:b/>
          <w:i/>
          <w:szCs w:val="24"/>
        </w:rPr>
        <w:t>киберсигурност</w:t>
      </w:r>
      <w:proofErr w:type="spellEnd"/>
    </w:p>
    <w:p w:rsidR="009E0F55" w:rsidRPr="00503C9F" w:rsidRDefault="009E0F55">
      <w:pPr>
        <w:spacing w:after="0" w:line="276" w:lineRule="auto"/>
        <w:ind w:left="426"/>
        <w:jc w:val="left"/>
        <w:rPr>
          <w:szCs w:val="24"/>
        </w:rPr>
      </w:pPr>
    </w:p>
    <w:p w:rsidR="009E0F55" w:rsidRPr="00503C9F" w:rsidRDefault="00C3161B">
      <w:pPr>
        <w:pStyle w:val="ListParagraph"/>
        <w:numPr>
          <w:ilvl w:val="0"/>
          <w:numId w:val="11"/>
        </w:numPr>
        <w:spacing w:line="276" w:lineRule="auto"/>
        <w:rPr>
          <w:i/>
        </w:rPr>
      </w:pPr>
      <w:r w:rsidRPr="00503C9F">
        <w:rPr>
          <w:i/>
        </w:rPr>
        <w:t>ECSO дейности по стандартизация, сертифициране, етикетиране и веригата на доставки</w:t>
      </w:r>
    </w:p>
    <w:p w:rsidR="009E0F55" w:rsidRPr="00503C9F" w:rsidRDefault="009E0F55">
      <w:pPr>
        <w:spacing w:after="0" w:line="276" w:lineRule="auto"/>
        <w:rPr>
          <w:szCs w:val="24"/>
        </w:rPr>
      </w:pPr>
    </w:p>
    <w:p w:rsidR="009E0F55" w:rsidRPr="00503C9F" w:rsidRDefault="00C3161B">
      <w:pPr>
        <w:spacing w:after="0" w:line="276" w:lineRule="auto"/>
      </w:pPr>
      <w:proofErr w:type="spellStart"/>
      <w:r w:rsidRPr="00503C9F">
        <w:rPr>
          <w:i/>
          <w:szCs w:val="24"/>
        </w:rPr>
        <w:t>Luigi</w:t>
      </w:r>
      <w:proofErr w:type="spellEnd"/>
      <w:r w:rsidRPr="00503C9F">
        <w:rPr>
          <w:i/>
          <w:szCs w:val="24"/>
        </w:rPr>
        <w:t xml:space="preserve"> </w:t>
      </w:r>
      <w:proofErr w:type="spellStart"/>
      <w:r w:rsidRPr="00503C9F">
        <w:rPr>
          <w:i/>
          <w:szCs w:val="24"/>
        </w:rPr>
        <w:t>Rebuffi</w:t>
      </w:r>
      <w:proofErr w:type="spellEnd"/>
      <w:r w:rsidRPr="00503C9F">
        <w:rPr>
          <w:i/>
          <w:szCs w:val="24"/>
        </w:rPr>
        <w:t xml:space="preserve">, Европейската организация за </w:t>
      </w:r>
      <w:proofErr w:type="spellStart"/>
      <w:r w:rsidRPr="00503C9F">
        <w:rPr>
          <w:i/>
          <w:szCs w:val="24"/>
        </w:rPr>
        <w:t>киберсигурност</w:t>
      </w:r>
      <w:proofErr w:type="spellEnd"/>
      <w:r w:rsidRPr="00503C9F">
        <w:rPr>
          <w:i/>
          <w:szCs w:val="24"/>
        </w:rPr>
        <w:t xml:space="preserve"> (ECSO), генерален секретар (документ ИКТ/</w:t>
      </w:r>
      <w:r w:rsidR="006C021C" w:rsidRPr="006C021C">
        <w:t xml:space="preserve"> </w:t>
      </w:r>
      <w:r w:rsidR="006C021C" w:rsidRPr="006C021C">
        <w:rPr>
          <w:i/>
          <w:szCs w:val="24"/>
        </w:rPr>
        <w:t xml:space="preserve">MSP </w:t>
      </w:r>
      <w:r w:rsidRPr="00503C9F">
        <w:rPr>
          <w:i/>
          <w:szCs w:val="24"/>
        </w:rPr>
        <w:t xml:space="preserve">(2017/509) </w:t>
      </w:r>
      <w:r w:rsidR="006C021C">
        <w:rPr>
          <w:i/>
          <w:szCs w:val="24"/>
        </w:rPr>
        <w:t>представи</w:t>
      </w:r>
      <w:r w:rsidRPr="00503C9F">
        <w:rPr>
          <w:i/>
          <w:szCs w:val="24"/>
        </w:rPr>
        <w:t xml:space="preserve"> ECSO и дейностите, които те извършват във връзка със стандартизация, сертифициране, етикетиране и веригата на доставки в рамките на РГ1, чиято цел е да се предостави препоръка </w:t>
      </w:r>
      <w:r w:rsidR="006C021C">
        <w:rPr>
          <w:i/>
          <w:szCs w:val="24"/>
        </w:rPr>
        <w:t>за</w:t>
      </w:r>
      <w:r w:rsidRPr="00503C9F">
        <w:rPr>
          <w:i/>
          <w:szCs w:val="24"/>
        </w:rPr>
        <w:t xml:space="preserve"> европейска рамка за серт</w:t>
      </w:r>
      <w:r w:rsidR="006C021C">
        <w:rPr>
          <w:i/>
          <w:szCs w:val="24"/>
        </w:rPr>
        <w:t>ифициране на сигурността на ИКТ;</w:t>
      </w:r>
      <w:r w:rsidRPr="00503C9F">
        <w:rPr>
          <w:i/>
          <w:szCs w:val="24"/>
        </w:rPr>
        <w:t xml:space="preserve"> предлага</w:t>
      </w:r>
      <w:r w:rsidR="006C021C">
        <w:rPr>
          <w:i/>
          <w:szCs w:val="24"/>
        </w:rPr>
        <w:t>т</w:t>
      </w:r>
      <w:r w:rsidRPr="00503C9F">
        <w:rPr>
          <w:i/>
          <w:szCs w:val="24"/>
        </w:rPr>
        <w:t xml:space="preserve"> </w:t>
      </w:r>
      <w:r w:rsidR="006C021C" w:rsidRPr="00503C9F">
        <w:rPr>
          <w:i/>
          <w:szCs w:val="24"/>
        </w:rPr>
        <w:t xml:space="preserve">на ЕС </w:t>
      </w:r>
      <w:r w:rsidRPr="00503C9F">
        <w:rPr>
          <w:i/>
          <w:szCs w:val="24"/>
        </w:rPr>
        <w:t xml:space="preserve">стандарти за оперативна съвместимост, етикетиране на </w:t>
      </w:r>
      <w:proofErr w:type="spellStart"/>
      <w:r w:rsidRPr="00503C9F">
        <w:rPr>
          <w:i/>
          <w:szCs w:val="24"/>
        </w:rPr>
        <w:t>киберсигурността</w:t>
      </w:r>
      <w:proofErr w:type="spellEnd"/>
      <w:r w:rsidRPr="00503C9F">
        <w:rPr>
          <w:i/>
          <w:szCs w:val="24"/>
        </w:rPr>
        <w:t xml:space="preserve">, повишената цифрова автономия и изпитването &amp; валидиране на </w:t>
      </w:r>
      <w:r w:rsidR="006C021C" w:rsidRPr="00503C9F">
        <w:rPr>
          <w:i/>
          <w:szCs w:val="24"/>
        </w:rPr>
        <w:t>верига</w:t>
      </w:r>
      <w:r w:rsidR="006C021C">
        <w:rPr>
          <w:i/>
          <w:szCs w:val="24"/>
        </w:rPr>
        <w:t>та на</w:t>
      </w:r>
      <w:r w:rsidR="006C021C" w:rsidRPr="00503C9F">
        <w:rPr>
          <w:i/>
          <w:szCs w:val="24"/>
        </w:rPr>
        <w:t xml:space="preserve"> </w:t>
      </w:r>
      <w:r w:rsidR="006C021C">
        <w:rPr>
          <w:i/>
          <w:szCs w:val="24"/>
        </w:rPr>
        <w:t>доставките</w:t>
      </w:r>
      <w:r w:rsidRPr="00503C9F">
        <w:rPr>
          <w:i/>
          <w:szCs w:val="24"/>
        </w:rPr>
        <w:t xml:space="preserve"> за създаване на стойност в Европа.</w:t>
      </w:r>
      <w:r w:rsidRPr="00503C9F">
        <w:rPr>
          <w:szCs w:val="24"/>
        </w:rPr>
        <w:t xml:space="preserve"> Те имат постоянно сътрудничество </w:t>
      </w:r>
      <w:r w:rsidR="006C021C">
        <w:rPr>
          <w:szCs w:val="24"/>
        </w:rPr>
        <w:t>в</w:t>
      </w:r>
      <w:r w:rsidR="006C021C" w:rsidRPr="00503C9F">
        <w:rPr>
          <w:szCs w:val="24"/>
        </w:rPr>
        <w:t xml:space="preserve"> планиран</w:t>
      </w:r>
      <w:r w:rsidR="006C021C">
        <w:rPr>
          <w:szCs w:val="24"/>
        </w:rPr>
        <w:t>е</w:t>
      </w:r>
      <w:r w:rsidR="006C021C" w:rsidRPr="00503C9F">
        <w:rPr>
          <w:szCs w:val="24"/>
        </w:rPr>
        <w:t xml:space="preserve">то </w:t>
      </w:r>
      <w:r w:rsidRPr="00503C9F">
        <w:rPr>
          <w:szCs w:val="24"/>
        </w:rPr>
        <w:t>с</w:t>
      </w:r>
      <w:r w:rsidR="006C021C">
        <w:rPr>
          <w:szCs w:val="24"/>
        </w:rPr>
        <w:t>ъс</w:t>
      </w:r>
      <w:r w:rsidRPr="00503C9F">
        <w:rPr>
          <w:szCs w:val="24"/>
        </w:rPr>
        <w:t xml:space="preserve"> CEN/CENELEC и ETSI</w:t>
      </w:r>
      <w:r w:rsidR="006C021C">
        <w:rPr>
          <w:szCs w:val="24"/>
        </w:rPr>
        <w:t xml:space="preserve">. </w:t>
      </w:r>
      <w:proofErr w:type="spellStart"/>
      <w:r w:rsidR="006C021C" w:rsidRPr="006C021C">
        <w:rPr>
          <w:szCs w:val="24"/>
        </w:rPr>
        <w:t>Luigi</w:t>
      </w:r>
      <w:proofErr w:type="spellEnd"/>
      <w:r w:rsidR="006C021C" w:rsidRPr="006C021C">
        <w:rPr>
          <w:szCs w:val="24"/>
        </w:rPr>
        <w:t xml:space="preserve"> </w:t>
      </w:r>
      <w:proofErr w:type="spellStart"/>
      <w:r w:rsidR="006C021C" w:rsidRPr="006C021C">
        <w:rPr>
          <w:szCs w:val="24"/>
        </w:rPr>
        <w:t>Rebuffi</w:t>
      </w:r>
      <w:proofErr w:type="spellEnd"/>
      <w:r w:rsidR="006C021C" w:rsidRPr="006C021C">
        <w:rPr>
          <w:szCs w:val="24"/>
        </w:rPr>
        <w:t xml:space="preserve"> </w:t>
      </w:r>
      <w:r w:rsidRPr="00503C9F">
        <w:rPr>
          <w:szCs w:val="24"/>
        </w:rPr>
        <w:t>спомена значението на участието на експерти от националните администрации на държавите членки.</w:t>
      </w:r>
    </w:p>
    <w:p w:rsidR="009E0F55" w:rsidRPr="00503C9F" w:rsidRDefault="006C021C">
      <w:pPr>
        <w:spacing w:after="0" w:line="276" w:lineRule="auto"/>
        <w:rPr>
          <w:szCs w:val="24"/>
        </w:rPr>
      </w:pPr>
      <w:r>
        <w:rPr>
          <w:szCs w:val="24"/>
        </w:rPr>
        <w:t xml:space="preserve">Като </w:t>
      </w:r>
      <w:r w:rsidRPr="00503C9F">
        <w:rPr>
          <w:szCs w:val="24"/>
        </w:rPr>
        <w:t xml:space="preserve">принос за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 </w:t>
      </w:r>
      <w:r w:rsidR="002B3A67">
        <w:rPr>
          <w:szCs w:val="24"/>
        </w:rPr>
        <w:t xml:space="preserve">с участието на </w:t>
      </w:r>
      <w:r w:rsidR="002B3A67" w:rsidRPr="00503C9F">
        <w:rPr>
          <w:szCs w:val="24"/>
        </w:rPr>
        <w:t xml:space="preserve">членове </w:t>
      </w:r>
      <w:r w:rsidRPr="00503C9F">
        <w:rPr>
          <w:szCs w:val="24"/>
        </w:rPr>
        <w:t xml:space="preserve">е изготвен </w:t>
      </w:r>
      <w:r w:rsidR="00C3161B" w:rsidRPr="00503C9F">
        <w:rPr>
          <w:szCs w:val="24"/>
        </w:rPr>
        <w:t>Списък със съществуващите изисквания, стандарти</w:t>
      </w:r>
      <w:r w:rsidR="002B3A67">
        <w:rPr>
          <w:szCs w:val="24"/>
        </w:rPr>
        <w:t>,</w:t>
      </w:r>
      <w:r w:rsidR="00C3161B" w:rsidRPr="00503C9F">
        <w:rPr>
          <w:szCs w:val="24"/>
        </w:rPr>
        <w:t xml:space="preserve"> органи (</w:t>
      </w:r>
      <w:proofErr w:type="spellStart"/>
      <w:r w:rsidR="00C3161B" w:rsidRPr="00503C9F">
        <w:rPr>
          <w:szCs w:val="24"/>
        </w:rPr>
        <w:t>e.g.SOG</w:t>
      </w:r>
      <w:proofErr w:type="spellEnd"/>
      <w:r w:rsidR="00C3161B" w:rsidRPr="00503C9F">
        <w:rPr>
          <w:szCs w:val="24"/>
        </w:rPr>
        <w:t>-IS ECSO</w:t>
      </w:r>
      <w:r w:rsidR="002B3A67">
        <w:rPr>
          <w:szCs w:val="24"/>
        </w:rPr>
        <w:t>)</w:t>
      </w:r>
      <w:r w:rsidR="00C3161B" w:rsidRPr="00503C9F">
        <w:rPr>
          <w:szCs w:val="24"/>
        </w:rPr>
        <w:t xml:space="preserve"> и схеми за сертифициране, но </w:t>
      </w:r>
      <w:r w:rsidR="002B3A67">
        <w:rPr>
          <w:szCs w:val="24"/>
        </w:rPr>
        <w:t xml:space="preserve">той </w:t>
      </w:r>
      <w:r w:rsidR="00C3161B" w:rsidRPr="00503C9F">
        <w:rPr>
          <w:szCs w:val="24"/>
        </w:rPr>
        <w:t xml:space="preserve">се нуждае от задълбочено преразглеждане. Г-н </w:t>
      </w:r>
      <w:proofErr w:type="spellStart"/>
      <w:r w:rsidR="00C3161B" w:rsidRPr="00503C9F">
        <w:rPr>
          <w:szCs w:val="24"/>
        </w:rPr>
        <w:t>Rebuffi</w:t>
      </w:r>
      <w:proofErr w:type="spellEnd"/>
      <w:r w:rsidR="00C3161B" w:rsidRPr="00503C9F">
        <w:rPr>
          <w:szCs w:val="24"/>
        </w:rPr>
        <w:t xml:space="preserve"> обясни, че </w:t>
      </w:r>
      <w:r w:rsidR="002B3A67">
        <w:rPr>
          <w:szCs w:val="24"/>
        </w:rPr>
        <w:t>С</w:t>
      </w:r>
      <w:r w:rsidR="00C3161B" w:rsidRPr="00503C9F">
        <w:rPr>
          <w:szCs w:val="24"/>
        </w:rPr>
        <w:t>писъкът е един непрекъснато развиващ се документ, който ще бъде актуализиран на всеки 2 месеца</w:t>
      </w:r>
      <w:r w:rsidR="002B3A67">
        <w:rPr>
          <w:szCs w:val="24"/>
        </w:rPr>
        <w:t>,</w:t>
      </w:r>
      <w:r w:rsidR="00C3161B" w:rsidRPr="00503C9F">
        <w:rPr>
          <w:szCs w:val="24"/>
        </w:rPr>
        <w:t xml:space="preserve"> </w:t>
      </w:r>
      <w:r w:rsidR="002B3A67">
        <w:rPr>
          <w:szCs w:val="24"/>
        </w:rPr>
        <w:t>а</w:t>
      </w:r>
      <w:r w:rsidR="00C3161B" w:rsidRPr="00503C9F">
        <w:rPr>
          <w:szCs w:val="24"/>
        </w:rPr>
        <w:t xml:space="preserve"> официална процедура за одобрение </w:t>
      </w:r>
      <w:r w:rsidR="002B3A67">
        <w:rPr>
          <w:szCs w:val="24"/>
        </w:rPr>
        <w:t>- на</w:t>
      </w:r>
      <w:r w:rsidR="00C3161B" w:rsidRPr="00503C9F">
        <w:rPr>
          <w:szCs w:val="24"/>
        </w:rPr>
        <w:t xml:space="preserve"> 6 </w:t>
      </w:r>
      <w:r w:rsidR="002B3A67">
        <w:rPr>
          <w:szCs w:val="24"/>
        </w:rPr>
        <w:t>месеца</w:t>
      </w:r>
      <w:r w:rsidR="00C3161B" w:rsidRPr="00503C9F">
        <w:rPr>
          <w:szCs w:val="24"/>
        </w:rPr>
        <w:t>.</w:t>
      </w:r>
      <w:r w:rsidR="002B3A67">
        <w:rPr>
          <w:szCs w:val="24"/>
        </w:rPr>
        <w:t xml:space="preserve"> След</w:t>
      </w:r>
      <w:r w:rsidR="00C3161B" w:rsidRPr="00503C9F">
        <w:rPr>
          <w:szCs w:val="24"/>
        </w:rPr>
        <w:t xml:space="preserve"> искане на </w:t>
      </w:r>
      <w:r w:rsidR="002B3A67" w:rsidRPr="00503C9F">
        <w:rPr>
          <w:szCs w:val="24"/>
        </w:rPr>
        <w:t>членове</w:t>
      </w:r>
      <w:r w:rsidR="002B3A67">
        <w:rPr>
          <w:szCs w:val="24"/>
        </w:rPr>
        <w:t xml:space="preserve"> на </w:t>
      </w:r>
      <w:r w:rsidR="002B3A67" w:rsidRPr="002B3A67">
        <w:rPr>
          <w:szCs w:val="24"/>
        </w:rPr>
        <w:t>MSP</w:t>
      </w:r>
      <w:r w:rsidR="00C3161B" w:rsidRPr="00503C9F">
        <w:rPr>
          <w:szCs w:val="24"/>
        </w:rPr>
        <w:t xml:space="preserve"> ECSO ще предоставят </w:t>
      </w:r>
      <w:r w:rsidR="002B3A67">
        <w:rPr>
          <w:szCs w:val="24"/>
        </w:rPr>
        <w:t>С</w:t>
      </w:r>
      <w:r w:rsidR="00C3161B" w:rsidRPr="00503C9F">
        <w:rPr>
          <w:szCs w:val="24"/>
        </w:rPr>
        <w:t>писъка на секретариат</w:t>
      </w:r>
      <w:r w:rsidR="002B3A67">
        <w:rPr>
          <w:szCs w:val="24"/>
        </w:rPr>
        <w:t>а</w:t>
      </w:r>
      <w:r w:rsidR="00C3161B" w:rsidRPr="00503C9F">
        <w:rPr>
          <w:szCs w:val="24"/>
        </w:rPr>
        <w:t xml:space="preserve"> за разпространяване до членовете за </w:t>
      </w:r>
      <w:r w:rsidR="002B3A67">
        <w:rPr>
          <w:szCs w:val="24"/>
        </w:rPr>
        <w:t>Платформата</w:t>
      </w:r>
      <w:r w:rsidR="00C3161B" w:rsidRPr="00503C9F">
        <w:rPr>
          <w:szCs w:val="24"/>
        </w:rPr>
        <w:t>, с оглед да получи информация</w:t>
      </w:r>
      <w:r w:rsidR="002B3A67">
        <w:rPr>
          <w:szCs w:val="24"/>
        </w:rPr>
        <w:t>та</w:t>
      </w:r>
      <w:r w:rsidR="00C3161B" w:rsidRPr="00503C9F">
        <w:rPr>
          <w:szCs w:val="24"/>
        </w:rPr>
        <w:t xml:space="preserve"> и </w:t>
      </w:r>
      <w:r w:rsidR="002B3A67">
        <w:rPr>
          <w:szCs w:val="24"/>
        </w:rPr>
        <w:t xml:space="preserve">да </w:t>
      </w:r>
      <w:r w:rsidR="00C3161B" w:rsidRPr="00503C9F">
        <w:rPr>
          <w:szCs w:val="24"/>
        </w:rPr>
        <w:t>я актуализира.</w:t>
      </w:r>
    </w:p>
    <w:p w:rsidR="009E0F55" w:rsidRPr="00503C9F" w:rsidRDefault="002B3A67">
      <w:pPr>
        <w:spacing w:after="0" w:line="276" w:lineRule="auto"/>
        <w:rPr>
          <w:szCs w:val="24"/>
        </w:rPr>
      </w:pPr>
      <w:r>
        <w:rPr>
          <w:szCs w:val="24"/>
        </w:rPr>
        <w:t>Б</w:t>
      </w:r>
      <w:r w:rsidRPr="00503C9F">
        <w:rPr>
          <w:szCs w:val="24"/>
        </w:rPr>
        <w:t xml:space="preserve">еше повдигнат </w:t>
      </w:r>
      <w:r>
        <w:rPr>
          <w:szCs w:val="24"/>
        </w:rPr>
        <w:t>въпроса за д</w:t>
      </w:r>
      <w:r w:rsidR="00C3161B" w:rsidRPr="00503C9F">
        <w:rPr>
          <w:szCs w:val="24"/>
        </w:rPr>
        <w:t>ефрагментирането на пазара</w:t>
      </w:r>
      <w:r>
        <w:rPr>
          <w:szCs w:val="24"/>
        </w:rPr>
        <w:t>, което трябва да се</w:t>
      </w:r>
      <w:r w:rsidR="00C3161B" w:rsidRPr="00503C9F">
        <w:rPr>
          <w:szCs w:val="24"/>
        </w:rPr>
        <w:t xml:space="preserve"> разбира в по-широк контекст извън рамките на цифровия пазар. Г-н </w:t>
      </w:r>
      <w:proofErr w:type="spellStart"/>
      <w:r w:rsidR="00C3161B" w:rsidRPr="00503C9F">
        <w:rPr>
          <w:szCs w:val="24"/>
        </w:rPr>
        <w:t>Rebuffi</w:t>
      </w:r>
      <w:proofErr w:type="spellEnd"/>
      <w:r w:rsidR="00C3161B" w:rsidRPr="00503C9F">
        <w:rPr>
          <w:szCs w:val="24"/>
        </w:rPr>
        <w:t xml:space="preserve"> обясни, че различни държави използват различни правила, стандарти и процедури за сертифициране, ко</w:t>
      </w:r>
      <w:r>
        <w:rPr>
          <w:szCs w:val="24"/>
        </w:rPr>
        <w:t>е</w:t>
      </w:r>
      <w:r w:rsidR="00C3161B" w:rsidRPr="00503C9F">
        <w:rPr>
          <w:szCs w:val="24"/>
        </w:rPr>
        <w:t xml:space="preserve">то </w:t>
      </w:r>
      <w:r>
        <w:rPr>
          <w:szCs w:val="24"/>
        </w:rPr>
        <w:t xml:space="preserve">води до известна разпокъсаност. </w:t>
      </w:r>
      <w:r w:rsidRPr="002B3A67">
        <w:rPr>
          <w:szCs w:val="24"/>
        </w:rPr>
        <w:t xml:space="preserve">ECSO </w:t>
      </w:r>
      <w:r w:rsidR="00C3161B" w:rsidRPr="00503C9F">
        <w:rPr>
          <w:szCs w:val="24"/>
        </w:rPr>
        <w:t>пледират за хармонизация на някои изисквания за сертифициране и за всеки сектор, както и предлага</w:t>
      </w:r>
      <w:r>
        <w:rPr>
          <w:szCs w:val="24"/>
        </w:rPr>
        <w:t>т</w:t>
      </w:r>
      <w:r w:rsidR="00C3161B" w:rsidRPr="00503C9F">
        <w:rPr>
          <w:szCs w:val="24"/>
        </w:rPr>
        <w:t xml:space="preserve"> взаимно признаване. Етикети</w:t>
      </w:r>
      <w:r>
        <w:rPr>
          <w:szCs w:val="24"/>
        </w:rPr>
        <w:t>те</w:t>
      </w:r>
      <w:r w:rsidR="00C3161B" w:rsidRPr="00503C9F">
        <w:rPr>
          <w:szCs w:val="24"/>
        </w:rPr>
        <w:t xml:space="preserve"> на </w:t>
      </w:r>
      <w:r w:rsidR="00C3161B" w:rsidRPr="00503C9F">
        <w:rPr>
          <w:szCs w:val="24"/>
        </w:rPr>
        <w:lastRenderedPageBreak/>
        <w:t>базата на сертифициран</w:t>
      </w:r>
      <w:r>
        <w:rPr>
          <w:szCs w:val="24"/>
        </w:rPr>
        <w:t>ето бяха критикувани като стар</w:t>
      </w:r>
      <w:r w:rsidR="00C3161B" w:rsidRPr="00503C9F">
        <w:rPr>
          <w:szCs w:val="24"/>
        </w:rPr>
        <w:t xml:space="preserve"> механизъм, когато в Европа съществува друг механизъм за налагане на изискването за сигурност. Един риск за единен сертифициращ етикет е, че дружеството може да </w:t>
      </w:r>
      <w:r>
        <w:rPr>
          <w:szCs w:val="24"/>
        </w:rPr>
        <w:t>намали ангажираността си</w:t>
      </w:r>
      <w:r w:rsidR="00C3161B" w:rsidRPr="00503C9F">
        <w:rPr>
          <w:szCs w:val="24"/>
        </w:rPr>
        <w:t xml:space="preserve"> относно защита на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 xml:space="preserve">. Проучване на Университета в </w:t>
      </w:r>
      <w:proofErr w:type="spellStart"/>
      <w:r w:rsidR="00C3161B" w:rsidRPr="00503C9F">
        <w:rPr>
          <w:szCs w:val="24"/>
        </w:rPr>
        <w:t>Leuven</w:t>
      </w:r>
      <w:proofErr w:type="spellEnd"/>
      <w:r w:rsidR="00C3161B" w:rsidRPr="00503C9F">
        <w:rPr>
          <w:szCs w:val="24"/>
        </w:rPr>
        <w:t xml:space="preserve"> изтък</w:t>
      </w:r>
      <w:r>
        <w:rPr>
          <w:szCs w:val="24"/>
        </w:rPr>
        <w:t>в</w:t>
      </w:r>
      <w:r w:rsidR="00C3161B" w:rsidRPr="00503C9F">
        <w:rPr>
          <w:szCs w:val="24"/>
        </w:rPr>
        <w:t>а потенциалните вредни риск</w:t>
      </w:r>
      <w:r>
        <w:rPr>
          <w:szCs w:val="24"/>
        </w:rPr>
        <w:t>ове</w:t>
      </w:r>
      <w:r w:rsidR="00C3161B" w:rsidRPr="00503C9F">
        <w:rPr>
          <w:szCs w:val="24"/>
        </w:rPr>
        <w:t xml:space="preserve"> на етикетирането и сертифицирането за сигурност. Г-н </w:t>
      </w:r>
      <w:proofErr w:type="spellStart"/>
      <w:r w:rsidR="00C3161B" w:rsidRPr="00503C9F">
        <w:rPr>
          <w:szCs w:val="24"/>
        </w:rPr>
        <w:t>Rebuffi</w:t>
      </w:r>
      <w:proofErr w:type="spellEnd"/>
      <w:r w:rsidR="00C3161B" w:rsidRPr="00503C9F">
        <w:rPr>
          <w:szCs w:val="24"/>
        </w:rPr>
        <w:t xml:space="preserve"> обясни, че те също така работят с вертикални пазарни приложения (WG3) за разбиране на необходимостта от различни сектори, като се отчитат различните бизнес модели, както и връзката с различни нива на сертифициране. Решения</w:t>
      </w:r>
      <w:r>
        <w:rPr>
          <w:szCs w:val="24"/>
        </w:rPr>
        <w:t>та</w:t>
      </w:r>
      <w:r w:rsidR="00C3161B" w:rsidRPr="00503C9F">
        <w:rPr>
          <w:szCs w:val="24"/>
        </w:rPr>
        <w:t xml:space="preserve"> за управление на риска са подкрепени в най-голяма степен.</w:t>
      </w:r>
    </w:p>
    <w:p w:rsidR="009E0F55" w:rsidRPr="00503C9F" w:rsidRDefault="002B3A67">
      <w:pPr>
        <w:spacing w:after="0" w:line="276" w:lineRule="auto"/>
        <w:rPr>
          <w:szCs w:val="24"/>
        </w:rPr>
      </w:pPr>
      <w:r>
        <w:rPr>
          <w:szCs w:val="24"/>
        </w:rPr>
        <w:t>Б</w:t>
      </w:r>
      <w:r w:rsidRPr="00503C9F">
        <w:rPr>
          <w:szCs w:val="24"/>
        </w:rPr>
        <w:t xml:space="preserve">еше поставена под въпрос </w:t>
      </w:r>
      <w:r>
        <w:rPr>
          <w:szCs w:val="24"/>
        </w:rPr>
        <w:t>в</w:t>
      </w:r>
      <w:r w:rsidR="00C3161B" w:rsidRPr="00503C9F">
        <w:rPr>
          <w:szCs w:val="24"/>
        </w:rPr>
        <w:t xml:space="preserve">ръзката със съществуващите дейности </w:t>
      </w:r>
      <w:r>
        <w:rPr>
          <w:szCs w:val="24"/>
        </w:rPr>
        <w:t>на</w:t>
      </w:r>
      <w:r w:rsidR="00C3161B" w:rsidRPr="00503C9F">
        <w:rPr>
          <w:szCs w:val="24"/>
        </w:rPr>
        <w:t xml:space="preserve"> ETSI (TC CYBER</w:t>
      </w:r>
      <w:r>
        <w:rPr>
          <w:szCs w:val="24"/>
        </w:rPr>
        <w:t>)</w:t>
      </w:r>
      <w:r w:rsidR="00C3161B" w:rsidRPr="00503C9F">
        <w:rPr>
          <w:szCs w:val="24"/>
        </w:rPr>
        <w:t xml:space="preserve">, ENISA. Г-н </w:t>
      </w:r>
      <w:proofErr w:type="spellStart"/>
      <w:r w:rsidR="00C3161B" w:rsidRPr="00503C9F">
        <w:rPr>
          <w:szCs w:val="24"/>
        </w:rPr>
        <w:t>Rebuffi</w:t>
      </w:r>
      <w:proofErr w:type="spellEnd"/>
      <w:r w:rsidR="00C3161B" w:rsidRPr="00503C9F">
        <w:rPr>
          <w:szCs w:val="24"/>
        </w:rPr>
        <w:t xml:space="preserve"> обясни, че си сътруднич</w:t>
      </w:r>
      <w:r>
        <w:rPr>
          <w:szCs w:val="24"/>
        </w:rPr>
        <w:t>ат</w:t>
      </w:r>
      <w:r w:rsidR="00C3161B" w:rsidRPr="00503C9F">
        <w:rPr>
          <w:szCs w:val="24"/>
        </w:rPr>
        <w:t xml:space="preserve"> с ENISA, к</w:t>
      </w:r>
      <w:r>
        <w:rPr>
          <w:szCs w:val="24"/>
        </w:rPr>
        <w:t>а</w:t>
      </w:r>
      <w:r w:rsidR="00C3161B" w:rsidRPr="00503C9F">
        <w:rPr>
          <w:szCs w:val="24"/>
        </w:rPr>
        <w:t xml:space="preserve">то </w:t>
      </w:r>
      <w:r>
        <w:rPr>
          <w:szCs w:val="24"/>
        </w:rPr>
        <w:t xml:space="preserve">така </w:t>
      </w:r>
      <w:r w:rsidR="00C3161B" w:rsidRPr="00503C9F">
        <w:rPr>
          <w:szCs w:val="24"/>
        </w:rPr>
        <w:t xml:space="preserve">се запълва празнотата, когато частният сектор не е налице (напр. регионално равнище). Допълнително те свързват частния и публичния сектор. Беше предложено да се използва съществуващата екосистема и стандартизацията, като се избягва дублиране на усилия (включително сътрудничество с ЕОС, други ОРС). CEN/CLC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 xml:space="preserve"> координационната група биха могли да спомогнат за </w:t>
      </w:r>
      <w:r>
        <w:rPr>
          <w:szCs w:val="24"/>
        </w:rPr>
        <w:t xml:space="preserve">това </w:t>
      </w:r>
      <w:r w:rsidR="00C3161B" w:rsidRPr="00503C9F">
        <w:rPr>
          <w:szCs w:val="24"/>
        </w:rPr>
        <w:t>координиране.</w:t>
      </w:r>
    </w:p>
    <w:p w:rsidR="009E0F55" w:rsidRPr="00503C9F" w:rsidRDefault="002B3A67">
      <w:pPr>
        <w:spacing w:after="0" w:line="276" w:lineRule="auto"/>
        <w:rPr>
          <w:szCs w:val="24"/>
        </w:rPr>
      </w:pPr>
      <w:r>
        <w:rPr>
          <w:szCs w:val="24"/>
        </w:rPr>
        <w:t>Б</w:t>
      </w:r>
      <w:r w:rsidR="00C3161B" w:rsidRPr="00503C9F">
        <w:rPr>
          <w:szCs w:val="24"/>
        </w:rPr>
        <w:t xml:space="preserve">е </w:t>
      </w:r>
      <w:r>
        <w:rPr>
          <w:szCs w:val="24"/>
        </w:rPr>
        <w:t xml:space="preserve">обърнато внимание, че </w:t>
      </w:r>
      <w:r w:rsidRPr="002B3A67">
        <w:rPr>
          <w:szCs w:val="24"/>
        </w:rPr>
        <w:t>MSP</w:t>
      </w:r>
      <w:r>
        <w:rPr>
          <w:szCs w:val="24"/>
        </w:rPr>
        <w:t>,</w:t>
      </w:r>
      <w:r w:rsidR="00C3161B" w:rsidRPr="00503C9F">
        <w:rPr>
          <w:szCs w:val="24"/>
        </w:rPr>
        <w:t xml:space="preserve"> например, се нужда</w:t>
      </w:r>
      <w:r>
        <w:rPr>
          <w:szCs w:val="24"/>
        </w:rPr>
        <w:t>е</w:t>
      </w:r>
      <w:r w:rsidR="00C3161B" w:rsidRPr="00503C9F">
        <w:rPr>
          <w:szCs w:val="24"/>
        </w:rPr>
        <w:t xml:space="preserve"> от насоки за прилагането на изискванията за</w:t>
      </w:r>
      <w:r>
        <w:rPr>
          <w:szCs w:val="24"/>
        </w:rPr>
        <w:t xml:space="preserve"> сигурност. Г-н </w:t>
      </w:r>
      <w:proofErr w:type="spellStart"/>
      <w:r>
        <w:rPr>
          <w:szCs w:val="24"/>
        </w:rPr>
        <w:t>Rebuffi</w:t>
      </w:r>
      <w:proofErr w:type="spellEnd"/>
      <w:r>
        <w:rPr>
          <w:szCs w:val="24"/>
        </w:rPr>
        <w:t xml:space="preserve"> посочи</w:t>
      </w:r>
      <w:r w:rsidR="00C3161B" w:rsidRPr="00503C9F">
        <w:rPr>
          <w:szCs w:val="24"/>
        </w:rPr>
        <w:t xml:space="preserve">, че искат да </w:t>
      </w:r>
      <w:r>
        <w:rPr>
          <w:szCs w:val="24"/>
        </w:rPr>
        <w:t>предоставят</w:t>
      </w:r>
      <w:r w:rsidR="00C3161B" w:rsidRPr="00503C9F">
        <w:rPr>
          <w:szCs w:val="24"/>
        </w:rPr>
        <w:t xml:space="preserve"> експерт</w:t>
      </w:r>
      <w:r>
        <w:rPr>
          <w:szCs w:val="24"/>
        </w:rPr>
        <w:t>ния</w:t>
      </w:r>
      <w:r w:rsidR="00C3161B" w:rsidRPr="00503C9F">
        <w:rPr>
          <w:szCs w:val="24"/>
        </w:rPr>
        <w:t xml:space="preserve"> опит на своите членове за насърчаване на тяхната схема </w:t>
      </w:r>
      <w:r>
        <w:rPr>
          <w:szCs w:val="24"/>
        </w:rPr>
        <w:t>като цяло</w:t>
      </w:r>
      <w:r w:rsidR="00C3161B" w:rsidRPr="00503C9F">
        <w:rPr>
          <w:szCs w:val="24"/>
        </w:rPr>
        <w:t xml:space="preserve">. </w:t>
      </w:r>
      <w:r>
        <w:rPr>
          <w:szCs w:val="24"/>
        </w:rPr>
        <w:t>С</w:t>
      </w:r>
      <w:r w:rsidR="00C3161B" w:rsidRPr="00503C9F">
        <w:rPr>
          <w:szCs w:val="24"/>
        </w:rPr>
        <w:t>ледва да бъд</w:t>
      </w:r>
      <w:r>
        <w:rPr>
          <w:szCs w:val="24"/>
        </w:rPr>
        <w:t>ат</w:t>
      </w:r>
      <w:r w:rsidR="00C3161B" w:rsidRPr="00503C9F">
        <w:rPr>
          <w:szCs w:val="24"/>
        </w:rPr>
        <w:t xml:space="preserve"> поддържан</w:t>
      </w:r>
      <w:r>
        <w:rPr>
          <w:szCs w:val="24"/>
        </w:rPr>
        <w:t>и</w:t>
      </w:r>
      <w:r w:rsidRPr="002B3A67">
        <w:rPr>
          <w:szCs w:val="24"/>
        </w:rPr>
        <w:t xml:space="preserve"> </w:t>
      </w:r>
      <w:r>
        <w:rPr>
          <w:szCs w:val="24"/>
        </w:rPr>
        <w:t>о</w:t>
      </w:r>
      <w:r w:rsidRPr="00503C9F">
        <w:rPr>
          <w:szCs w:val="24"/>
        </w:rPr>
        <w:t>творени стандарти</w:t>
      </w:r>
      <w:r w:rsidR="00C3161B" w:rsidRPr="00503C9F">
        <w:rPr>
          <w:szCs w:val="24"/>
        </w:rPr>
        <w:t>. Етикетиране</w:t>
      </w:r>
      <w:r>
        <w:rPr>
          <w:szCs w:val="24"/>
        </w:rPr>
        <w:t>то</w:t>
      </w:r>
      <w:r w:rsidR="00C3161B" w:rsidRPr="00503C9F">
        <w:rPr>
          <w:szCs w:val="24"/>
        </w:rPr>
        <w:t xml:space="preserve"> на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 xml:space="preserve"> може да ви </w:t>
      </w:r>
      <w:r>
        <w:rPr>
          <w:szCs w:val="24"/>
        </w:rPr>
        <w:t xml:space="preserve">направи цел за </w:t>
      </w:r>
      <w:proofErr w:type="spellStart"/>
      <w:r>
        <w:rPr>
          <w:szCs w:val="24"/>
        </w:rPr>
        <w:t>кибератаки</w:t>
      </w:r>
      <w:proofErr w:type="spellEnd"/>
      <w:r w:rsidR="00C3161B" w:rsidRPr="00503C9F">
        <w:rPr>
          <w:szCs w:val="24"/>
        </w:rPr>
        <w:t>.</w:t>
      </w:r>
    </w:p>
    <w:p w:rsidR="009E0F55" w:rsidRPr="00503C9F" w:rsidRDefault="002B3A67">
      <w:pPr>
        <w:spacing w:after="0" w:line="276" w:lineRule="auto"/>
        <w:rPr>
          <w:szCs w:val="24"/>
        </w:rPr>
      </w:pPr>
      <w:r>
        <w:rPr>
          <w:szCs w:val="24"/>
        </w:rPr>
        <w:t>Д</w:t>
      </w:r>
      <w:r w:rsidR="00C3161B" w:rsidRPr="00503C9F">
        <w:rPr>
          <w:szCs w:val="24"/>
        </w:rPr>
        <w:t xml:space="preserve">оговорното публично-частно партньорство в областта на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 xml:space="preserve"> е част от рамка</w:t>
      </w:r>
      <w:r>
        <w:rPr>
          <w:szCs w:val="24"/>
        </w:rPr>
        <w:t>та</w:t>
      </w:r>
      <w:r w:rsidR="00C3161B" w:rsidRPr="00503C9F">
        <w:rPr>
          <w:szCs w:val="24"/>
        </w:rPr>
        <w:t xml:space="preserve"> за научни изсле</w:t>
      </w:r>
      <w:r>
        <w:rPr>
          <w:szCs w:val="24"/>
        </w:rPr>
        <w:t>двания и иновации</w:t>
      </w:r>
      <w:r w:rsidR="00C3161B" w:rsidRPr="00503C9F">
        <w:rPr>
          <w:szCs w:val="24"/>
        </w:rPr>
        <w:t xml:space="preserve"> </w:t>
      </w:r>
      <w:r>
        <w:rPr>
          <w:szCs w:val="24"/>
        </w:rPr>
        <w:t>и</w:t>
      </w:r>
      <w:r w:rsidR="00C3161B" w:rsidRPr="00503C9F">
        <w:rPr>
          <w:szCs w:val="24"/>
        </w:rPr>
        <w:t xml:space="preserve"> разработване</w:t>
      </w:r>
      <w:r>
        <w:rPr>
          <w:szCs w:val="24"/>
        </w:rPr>
        <w:t>то</w:t>
      </w:r>
      <w:r w:rsidR="00C3161B" w:rsidRPr="00503C9F">
        <w:rPr>
          <w:szCs w:val="24"/>
        </w:rPr>
        <w:t xml:space="preserve"> на програма за стратегически научни изследвания (ПСНИ) е от ключово значение. Ролята на публичните администрации </w:t>
      </w:r>
      <w:r w:rsidR="00F85A3D">
        <w:rPr>
          <w:szCs w:val="24"/>
        </w:rPr>
        <w:t xml:space="preserve">от </w:t>
      </w:r>
      <w:r w:rsidR="00F85A3D" w:rsidRPr="00503C9F">
        <w:rPr>
          <w:szCs w:val="24"/>
        </w:rPr>
        <w:t xml:space="preserve">Източна Европа </w:t>
      </w:r>
      <w:r w:rsidR="00C3161B" w:rsidRPr="00503C9F">
        <w:rPr>
          <w:szCs w:val="24"/>
        </w:rPr>
        <w:t xml:space="preserve">в това публично-частно партньорство и </w:t>
      </w:r>
      <w:r w:rsidR="00F85A3D">
        <w:rPr>
          <w:szCs w:val="24"/>
        </w:rPr>
        <w:t xml:space="preserve">тези </w:t>
      </w:r>
      <w:r w:rsidR="00C3161B" w:rsidRPr="00503C9F">
        <w:rPr>
          <w:szCs w:val="24"/>
        </w:rPr>
        <w:t xml:space="preserve">цели беше поставена под въпрос. Г-н </w:t>
      </w:r>
      <w:proofErr w:type="spellStart"/>
      <w:r w:rsidR="00C3161B" w:rsidRPr="00503C9F">
        <w:rPr>
          <w:szCs w:val="24"/>
        </w:rPr>
        <w:t>Rebuffi</w:t>
      </w:r>
      <w:proofErr w:type="spellEnd"/>
      <w:r w:rsidR="00C3161B" w:rsidRPr="00503C9F">
        <w:rPr>
          <w:szCs w:val="24"/>
        </w:rPr>
        <w:t xml:space="preserve"> потвърд</w:t>
      </w:r>
      <w:r w:rsidR="00F85A3D">
        <w:rPr>
          <w:szCs w:val="24"/>
        </w:rPr>
        <w:t>и</w:t>
      </w:r>
      <w:r w:rsidR="00C3161B" w:rsidRPr="00503C9F">
        <w:rPr>
          <w:szCs w:val="24"/>
        </w:rPr>
        <w:t xml:space="preserve">, представители на различни </w:t>
      </w:r>
      <w:r w:rsidR="00F85A3D">
        <w:rPr>
          <w:szCs w:val="24"/>
        </w:rPr>
        <w:t>институции от тези страни</w:t>
      </w:r>
      <w:r w:rsidR="00C3161B" w:rsidRPr="00503C9F">
        <w:rPr>
          <w:szCs w:val="24"/>
        </w:rPr>
        <w:t xml:space="preserve"> допринасят за пътни</w:t>
      </w:r>
      <w:r w:rsidR="00F85A3D">
        <w:rPr>
          <w:szCs w:val="24"/>
        </w:rPr>
        <w:t>те</w:t>
      </w:r>
      <w:r w:rsidR="00C3161B" w:rsidRPr="00503C9F">
        <w:rPr>
          <w:szCs w:val="24"/>
        </w:rPr>
        <w:t xml:space="preserve"> карти в областта на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 xml:space="preserve"> и индустриалната политика. </w:t>
      </w:r>
      <w:r w:rsidR="00F85A3D">
        <w:rPr>
          <w:szCs w:val="24"/>
        </w:rPr>
        <w:t xml:space="preserve">Разминаванията идват от </w:t>
      </w:r>
      <w:r w:rsidR="00F85A3D" w:rsidRPr="00503C9F">
        <w:rPr>
          <w:szCs w:val="24"/>
        </w:rPr>
        <w:t xml:space="preserve">различните предизвикателства, изисквания и статут </w:t>
      </w:r>
      <w:r w:rsidR="00F85A3D">
        <w:rPr>
          <w:szCs w:val="24"/>
        </w:rPr>
        <w:t xml:space="preserve">в </w:t>
      </w:r>
      <w:r w:rsidR="00C3161B" w:rsidRPr="00503C9F">
        <w:rPr>
          <w:szCs w:val="24"/>
        </w:rPr>
        <w:t>Източна Европа.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t xml:space="preserve">Председателят прикани членовете да изпратят конкретни искания, </w:t>
      </w:r>
      <w:r w:rsidR="00F85A3D">
        <w:rPr>
          <w:szCs w:val="24"/>
        </w:rPr>
        <w:t>предложения</w:t>
      </w:r>
      <w:r w:rsidRPr="00503C9F">
        <w:rPr>
          <w:szCs w:val="24"/>
        </w:rPr>
        <w:t xml:space="preserve"> и др., които </w:t>
      </w:r>
      <w:r w:rsidR="00F85A3D" w:rsidRPr="00F85A3D">
        <w:rPr>
          <w:szCs w:val="24"/>
        </w:rPr>
        <w:t>MSP</w:t>
      </w:r>
      <w:r w:rsidRPr="00503C9F">
        <w:rPr>
          <w:szCs w:val="24"/>
        </w:rPr>
        <w:t xml:space="preserve"> секретариат</w:t>
      </w:r>
      <w:r w:rsidR="00F85A3D">
        <w:rPr>
          <w:szCs w:val="24"/>
        </w:rPr>
        <w:t>ът</w:t>
      </w:r>
      <w:r w:rsidRPr="00503C9F">
        <w:rPr>
          <w:szCs w:val="24"/>
        </w:rPr>
        <w:t xml:space="preserve"> ще </w:t>
      </w:r>
      <w:r w:rsidR="00F85A3D">
        <w:rPr>
          <w:szCs w:val="24"/>
        </w:rPr>
        <w:t xml:space="preserve">ги </w:t>
      </w:r>
      <w:r w:rsidRPr="00503C9F">
        <w:rPr>
          <w:szCs w:val="24"/>
        </w:rPr>
        <w:t>съб</w:t>
      </w:r>
      <w:r w:rsidR="00F85A3D">
        <w:rPr>
          <w:szCs w:val="24"/>
        </w:rPr>
        <w:t>ере</w:t>
      </w:r>
      <w:r w:rsidRPr="00503C9F">
        <w:rPr>
          <w:szCs w:val="24"/>
        </w:rPr>
        <w:t xml:space="preserve"> и предлож</w:t>
      </w:r>
      <w:r w:rsidR="00F85A3D">
        <w:rPr>
          <w:szCs w:val="24"/>
        </w:rPr>
        <w:t>и</w:t>
      </w:r>
      <w:r w:rsidRPr="00503C9F">
        <w:rPr>
          <w:szCs w:val="24"/>
        </w:rPr>
        <w:t xml:space="preserve"> </w:t>
      </w:r>
      <w:r w:rsidR="00F85A3D">
        <w:rPr>
          <w:szCs w:val="24"/>
        </w:rPr>
        <w:t xml:space="preserve">на </w:t>
      </w:r>
      <w:r w:rsidRPr="00503C9F">
        <w:rPr>
          <w:szCs w:val="24"/>
        </w:rPr>
        <w:t>ECSO за по-нататъшни обсъждания.</w:t>
      </w:r>
    </w:p>
    <w:p w:rsidR="009E0F55" w:rsidRPr="00503C9F" w:rsidRDefault="009E0F55">
      <w:pPr>
        <w:spacing w:after="0" w:line="276" w:lineRule="auto"/>
        <w:jc w:val="left"/>
        <w:rPr>
          <w:szCs w:val="24"/>
        </w:rPr>
      </w:pPr>
    </w:p>
    <w:p w:rsidR="009E0F55" w:rsidRPr="00503C9F" w:rsidRDefault="00C3161B">
      <w:pPr>
        <w:pStyle w:val="ListParagraph"/>
        <w:numPr>
          <w:ilvl w:val="0"/>
          <w:numId w:val="10"/>
        </w:numPr>
        <w:spacing w:line="276" w:lineRule="auto"/>
        <w:rPr>
          <w:i/>
        </w:rPr>
      </w:pPr>
      <w:r w:rsidRPr="00503C9F">
        <w:rPr>
          <w:i/>
        </w:rPr>
        <w:t xml:space="preserve">Общ преглед на случващото се по отношение на </w:t>
      </w:r>
      <w:proofErr w:type="spellStart"/>
      <w:r w:rsidRPr="00503C9F">
        <w:rPr>
          <w:i/>
        </w:rPr>
        <w:t>киберсигурността</w:t>
      </w:r>
      <w:proofErr w:type="spellEnd"/>
    </w:p>
    <w:p w:rsidR="009E0F55" w:rsidRPr="00503C9F" w:rsidRDefault="009E0F55">
      <w:pPr>
        <w:spacing w:after="0" w:line="276" w:lineRule="auto"/>
        <w:rPr>
          <w:i/>
          <w:szCs w:val="24"/>
        </w:rPr>
      </w:pPr>
    </w:p>
    <w:p w:rsidR="009E0F55" w:rsidRPr="00503C9F" w:rsidRDefault="00C3161B">
      <w:pPr>
        <w:spacing w:after="0" w:line="276" w:lineRule="auto"/>
      </w:pPr>
      <w:proofErr w:type="spellStart"/>
      <w:r w:rsidRPr="00503C9F">
        <w:rPr>
          <w:i/>
          <w:szCs w:val="24"/>
        </w:rPr>
        <w:t>Aris</w:t>
      </w:r>
      <w:proofErr w:type="spellEnd"/>
      <w:r w:rsidRPr="00503C9F">
        <w:rPr>
          <w:i/>
          <w:szCs w:val="24"/>
        </w:rPr>
        <w:t xml:space="preserve"> </w:t>
      </w:r>
      <w:proofErr w:type="spellStart"/>
      <w:r w:rsidRPr="00503C9F">
        <w:rPr>
          <w:i/>
          <w:szCs w:val="24"/>
        </w:rPr>
        <w:t>Tzafalias</w:t>
      </w:r>
      <w:proofErr w:type="spellEnd"/>
      <w:r w:rsidRPr="00503C9F">
        <w:rPr>
          <w:i/>
          <w:szCs w:val="24"/>
        </w:rPr>
        <w:t xml:space="preserve"> (CNECT) представ</w:t>
      </w:r>
      <w:r w:rsidR="00F85A3D">
        <w:rPr>
          <w:i/>
          <w:szCs w:val="24"/>
        </w:rPr>
        <w:t>и</w:t>
      </w:r>
      <w:r w:rsidRPr="00503C9F">
        <w:rPr>
          <w:i/>
          <w:szCs w:val="24"/>
        </w:rPr>
        <w:t xml:space="preserve"> общ преглед на текущото състояние в областта на </w:t>
      </w:r>
      <w:proofErr w:type="spellStart"/>
      <w:r w:rsidRPr="00503C9F">
        <w:rPr>
          <w:i/>
          <w:szCs w:val="24"/>
        </w:rPr>
        <w:t>киберсигурността</w:t>
      </w:r>
      <w:proofErr w:type="spellEnd"/>
      <w:r w:rsidRPr="00503C9F">
        <w:rPr>
          <w:i/>
          <w:szCs w:val="24"/>
        </w:rPr>
        <w:t>.</w:t>
      </w:r>
      <w:r w:rsidRPr="00503C9F">
        <w:rPr>
          <w:szCs w:val="24"/>
        </w:rPr>
        <w:t xml:space="preserve"> </w:t>
      </w:r>
      <w:r w:rsidR="00F85A3D">
        <w:rPr>
          <w:szCs w:val="24"/>
        </w:rPr>
        <w:t>В м</w:t>
      </w:r>
      <w:r w:rsidRPr="00503C9F">
        <w:rPr>
          <w:szCs w:val="24"/>
        </w:rPr>
        <w:t xml:space="preserve">еждинния преглед на цифровия единен пазар (ЦЕП) бяха набелязани 3 приоритета, включително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: преразглеждане на стратегията на ЕС за </w:t>
      </w:r>
      <w:proofErr w:type="spellStart"/>
      <w:r w:rsidRPr="00503C9F">
        <w:rPr>
          <w:szCs w:val="24"/>
        </w:rPr>
        <w:t>киберсигурност</w:t>
      </w:r>
      <w:proofErr w:type="spellEnd"/>
      <w:r w:rsidRPr="00503C9F">
        <w:rPr>
          <w:szCs w:val="24"/>
        </w:rPr>
        <w:t xml:space="preserve"> от края на 2017 г.</w:t>
      </w:r>
      <w:r w:rsidR="00F85A3D">
        <w:rPr>
          <w:szCs w:val="24"/>
        </w:rPr>
        <w:t>,</w:t>
      </w:r>
      <w:r w:rsidRPr="00503C9F">
        <w:rPr>
          <w:szCs w:val="24"/>
        </w:rPr>
        <w:t xml:space="preserve"> </w:t>
      </w:r>
      <w:r w:rsidR="00F85A3D" w:rsidRPr="00503C9F">
        <w:rPr>
          <w:szCs w:val="24"/>
        </w:rPr>
        <w:t>правила</w:t>
      </w:r>
      <w:r w:rsidR="00F85A3D">
        <w:rPr>
          <w:szCs w:val="24"/>
        </w:rPr>
        <w:t>та за</w:t>
      </w:r>
      <w:r w:rsidR="00F85A3D" w:rsidRPr="00503C9F">
        <w:rPr>
          <w:szCs w:val="24"/>
        </w:rPr>
        <w:t xml:space="preserve"> </w:t>
      </w:r>
      <w:r w:rsidRPr="00503C9F">
        <w:rPr>
          <w:szCs w:val="24"/>
        </w:rPr>
        <w:t>ENISA и инициатива</w:t>
      </w:r>
      <w:r w:rsidR="00F85A3D">
        <w:rPr>
          <w:szCs w:val="24"/>
        </w:rPr>
        <w:t>та</w:t>
      </w:r>
      <w:r w:rsidRPr="00503C9F">
        <w:rPr>
          <w:szCs w:val="24"/>
        </w:rPr>
        <w:t xml:space="preserve"> за сертифициране и етикетиране.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t>Директивата за МИС е в процес на транспониране. Държавите членки в групата за сътрудни</w:t>
      </w:r>
      <w:r w:rsidR="00F85A3D">
        <w:rPr>
          <w:szCs w:val="24"/>
        </w:rPr>
        <w:t>чество са създали работна група</w:t>
      </w:r>
      <w:r w:rsidRPr="00503C9F">
        <w:rPr>
          <w:szCs w:val="24"/>
        </w:rPr>
        <w:t xml:space="preserve"> </w:t>
      </w:r>
      <w:r w:rsidR="00F85A3D">
        <w:rPr>
          <w:szCs w:val="24"/>
        </w:rPr>
        <w:t xml:space="preserve">с цел </w:t>
      </w:r>
      <w:r w:rsidRPr="00503C9F">
        <w:rPr>
          <w:szCs w:val="24"/>
        </w:rPr>
        <w:t>да приемат общи принципи за мерките за сигурност. Всяка държава членка си запазва правото да налага мерки за сигурност в посочените сектори, ко</w:t>
      </w:r>
      <w:r w:rsidR="00F85A3D">
        <w:rPr>
          <w:szCs w:val="24"/>
        </w:rPr>
        <w:t>е</w:t>
      </w:r>
      <w:r w:rsidRPr="00503C9F">
        <w:rPr>
          <w:szCs w:val="24"/>
        </w:rPr>
        <w:t>то мо</w:t>
      </w:r>
      <w:r w:rsidR="00F85A3D">
        <w:rPr>
          <w:szCs w:val="24"/>
        </w:rPr>
        <w:t>же да създаде</w:t>
      </w:r>
      <w:r w:rsidRPr="00503C9F">
        <w:rPr>
          <w:szCs w:val="24"/>
        </w:rPr>
        <w:t xml:space="preserve"> разпокъсаност. Първоначален документ се очаква през септември/октомври.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lastRenderedPageBreak/>
        <w:t xml:space="preserve">Комисията очаква да получи съвети от </w:t>
      </w:r>
      <w:r w:rsidR="00F85A3D">
        <w:rPr>
          <w:szCs w:val="24"/>
        </w:rPr>
        <w:t>П</w:t>
      </w:r>
      <w:r w:rsidRPr="00503C9F">
        <w:rPr>
          <w:szCs w:val="24"/>
        </w:rPr>
        <w:t>латформата относно начините, по които стандартите биха могли да допринесат за сигурността на интернет</w:t>
      </w:r>
      <w:r w:rsidR="00F85A3D">
        <w:rPr>
          <w:szCs w:val="24"/>
        </w:rPr>
        <w:t xml:space="preserve">, като </w:t>
      </w:r>
      <w:r w:rsidRPr="00503C9F">
        <w:rPr>
          <w:szCs w:val="24"/>
        </w:rPr>
        <w:t xml:space="preserve">членовете </w:t>
      </w:r>
      <w:r w:rsidR="00F85A3D">
        <w:rPr>
          <w:szCs w:val="24"/>
        </w:rPr>
        <w:t xml:space="preserve">се насърчават </w:t>
      </w:r>
      <w:r w:rsidRPr="00503C9F">
        <w:rPr>
          <w:szCs w:val="24"/>
        </w:rPr>
        <w:t>да продължат да предоставят данни, коментари, предложения, пряко или чрез секретариата.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t>W3C уведомиха, че са предоставени само 6 страници на неформалните писмени коментари по действие 18.3, ко</w:t>
      </w:r>
      <w:r w:rsidR="00F85A3D">
        <w:rPr>
          <w:szCs w:val="24"/>
        </w:rPr>
        <w:t>и</w:t>
      </w:r>
      <w:r w:rsidRPr="00503C9F">
        <w:rPr>
          <w:szCs w:val="24"/>
        </w:rPr>
        <w:t>то ще бъд</w:t>
      </w:r>
      <w:r w:rsidR="00F85A3D">
        <w:rPr>
          <w:szCs w:val="24"/>
        </w:rPr>
        <w:t>ат</w:t>
      </w:r>
      <w:r w:rsidRPr="00503C9F">
        <w:rPr>
          <w:szCs w:val="24"/>
        </w:rPr>
        <w:t xml:space="preserve"> раздаден</w:t>
      </w:r>
      <w:r w:rsidR="00F85A3D">
        <w:rPr>
          <w:szCs w:val="24"/>
        </w:rPr>
        <w:t>и</w:t>
      </w:r>
      <w:r w:rsidRPr="00503C9F">
        <w:rPr>
          <w:szCs w:val="24"/>
        </w:rPr>
        <w:t xml:space="preserve"> на членовете. </w:t>
      </w:r>
      <w:r w:rsidR="00F85A3D">
        <w:rPr>
          <w:szCs w:val="24"/>
        </w:rPr>
        <w:t>Бе посочен</w:t>
      </w:r>
      <w:r w:rsidRPr="00503C9F">
        <w:rPr>
          <w:szCs w:val="24"/>
        </w:rPr>
        <w:t xml:space="preserve"> </w:t>
      </w:r>
      <w:r w:rsidR="00F85A3D">
        <w:rPr>
          <w:szCs w:val="24"/>
        </w:rPr>
        <w:t>новия</w:t>
      </w:r>
      <w:r w:rsidR="00F85A3D" w:rsidRPr="00503C9F">
        <w:rPr>
          <w:szCs w:val="24"/>
        </w:rPr>
        <w:t xml:space="preserve"> подход </w:t>
      </w:r>
      <w:r w:rsidRPr="00503C9F">
        <w:rPr>
          <w:szCs w:val="24"/>
        </w:rPr>
        <w:t>за изисквания за безопасността и то</w:t>
      </w:r>
      <w:r w:rsidR="00F85A3D">
        <w:rPr>
          <w:szCs w:val="24"/>
        </w:rPr>
        <w:t>й беше поставен</w:t>
      </w:r>
      <w:r w:rsidRPr="00503C9F">
        <w:rPr>
          <w:szCs w:val="24"/>
        </w:rPr>
        <w:t xml:space="preserve"> под въпрос</w:t>
      </w:r>
      <w:r w:rsidR="00F85A3D">
        <w:rPr>
          <w:szCs w:val="24"/>
        </w:rPr>
        <w:t>.</w:t>
      </w:r>
      <w:r w:rsidRPr="00503C9F">
        <w:rPr>
          <w:szCs w:val="24"/>
        </w:rPr>
        <w:t xml:space="preserve"> ЕК предложи същият подход за сигурност. Дебатът е относно </w:t>
      </w:r>
      <w:r w:rsidR="00F85A3D">
        <w:rPr>
          <w:szCs w:val="24"/>
        </w:rPr>
        <w:t xml:space="preserve">кои </w:t>
      </w:r>
      <w:r w:rsidR="00F85A3D" w:rsidRPr="00503C9F">
        <w:rPr>
          <w:szCs w:val="24"/>
        </w:rPr>
        <w:t xml:space="preserve">компоненти </w:t>
      </w:r>
      <w:r w:rsidR="00F85A3D">
        <w:rPr>
          <w:szCs w:val="24"/>
        </w:rPr>
        <w:t xml:space="preserve">на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 трябва да бъдат интегрирани в съответната европейска правна рамка.</w:t>
      </w:r>
    </w:p>
    <w:p w:rsidR="009E0F55" w:rsidRPr="00503C9F" w:rsidRDefault="009E0F55">
      <w:pPr>
        <w:spacing w:after="0" w:line="276" w:lineRule="auto"/>
        <w:rPr>
          <w:szCs w:val="24"/>
        </w:rPr>
      </w:pPr>
    </w:p>
    <w:p w:rsidR="009E0F55" w:rsidRPr="00503C9F" w:rsidRDefault="00C3161B">
      <w:pPr>
        <w:numPr>
          <w:ilvl w:val="0"/>
          <w:numId w:val="6"/>
        </w:numPr>
        <w:spacing w:after="0" w:line="276" w:lineRule="auto"/>
        <w:ind w:left="426"/>
        <w:jc w:val="left"/>
        <w:rPr>
          <w:szCs w:val="24"/>
        </w:rPr>
      </w:pPr>
      <w:r w:rsidRPr="00503C9F">
        <w:rPr>
          <w:i/>
          <w:szCs w:val="24"/>
        </w:rPr>
        <w:t>CEN/CENELEC представяне на действие 18.3 &amp; 4 от предишното заседание</w:t>
      </w:r>
    </w:p>
    <w:p w:rsidR="009E0F55" w:rsidRPr="00503C9F" w:rsidRDefault="009E0F55">
      <w:pPr>
        <w:tabs>
          <w:tab w:val="left" w:pos="426"/>
        </w:tabs>
        <w:spacing w:after="0" w:line="276" w:lineRule="auto"/>
        <w:rPr>
          <w:i/>
          <w:szCs w:val="24"/>
        </w:rPr>
      </w:pPr>
    </w:p>
    <w:p w:rsidR="009E0F55" w:rsidRPr="00503C9F" w:rsidRDefault="00F85A3D">
      <w:pPr>
        <w:tabs>
          <w:tab w:val="left" w:pos="426"/>
        </w:tabs>
        <w:spacing w:after="0" w:line="276" w:lineRule="auto"/>
        <w:rPr>
          <w:szCs w:val="24"/>
        </w:rPr>
      </w:pPr>
      <w:proofErr w:type="spellStart"/>
      <w:r w:rsidRPr="00F85A3D">
        <w:rPr>
          <w:i/>
          <w:szCs w:val="24"/>
        </w:rPr>
        <w:t>Constant</w:t>
      </w:r>
      <w:proofErr w:type="spellEnd"/>
      <w:r w:rsidR="00C3161B" w:rsidRPr="00503C9F">
        <w:rPr>
          <w:i/>
          <w:szCs w:val="24"/>
        </w:rPr>
        <w:t xml:space="preserve"> </w:t>
      </w:r>
      <w:proofErr w:type="spellStart"/>
      <w:r w:rsidR="00C3161B" w:rsidRPr="00503C9F">
        <w:rPr>
          <w:i/>
          <w:szCs w:val="24"/>
        </w:rPr>
        <w:t>Kohler</w:t>
      </w:r>
      <w:proofErr w:type="spellEnd"/>
      <w:r w:rsidR="00C3161B" w:rsidRPr="00503C9F">
        <w:rPr>
          <w:i/>
          <w:szCs w:val="24"/>
        </w:rPr>
        <w:t xml:space="preserve"> (CEN/CENELEC) представи (ИКТ/MSP(2017) 519) </w:t>
      </w:r>
      <w:r>
        <w:rPr>
          <w:i/>
          <w:szCs w:val="24"/>
        </w:rPr>
        <w:t xml:space="preserve">- </w:t>
      </w:r>
      <w:r w:rsidR="00C3161B" w:rsidRPr="00503C9F">
        <w:rPr>
          <w:i/>
          <w:szCs w:val="24"/>
        </w:rPr>
        <w:t xml:space="preserve">първата стъпка към консолидиран принос за дейности 18.3 &amp; 4, </w:t>
      </w:r>
      <w:r>
        <w:rPr>
          <w:i/>
          <w:szCs w:val="24"/>
        </w:rPr>
        <w:t xml:space="preserve">в </w:t>
      </w:r>
      <w:r w:rsidR="00C3161B" w:rsidRPr="00503C9F">
        <w:rPr>
          <w:i/>
          <w:szCs w:val="24"/>
        </w:rPr>
        <w:t>които имат желание да игра</w:t>
      </w:r>
      <w:r>
        <w:rPr>
          <w:i/>
          <w:szCs w:val="24"/>
        </w:rPr>
        <w:t>ят</w:t>
      </w:r>
      <w:r w:rsidR="00C3161B" w:rsidRPr="00503C9F">
        <w:rPr>
          <w:i/>
          <w:szCs w:val="24"/>
        </w:rPr>
        <w:t xml:space="preserve"> водеща роля.</w:t>
      </w:r>
    </w:p>
    <w:p w:rsidR="009E0F55" w:rsidRPr="00503C9F" w:rsidRDefault="00C3161B">
      <w:pPr>
        <w:spacing w:after="0" w:line="276" w:lineRule="auto"/>
      </w:pPr>
      <w:r w:rsidRPr="00503C9F">
        <w:rPr>
          <w:szCs w:val="24"/>
        </w:rPr>
        <w:t>Той съобщи, че те планират да организира</w:t>
      </w:r>
      <w:r w:rsidR="00F85A3D">
        <w:rPr>
          <w:szCs w:val="24"/>
        </w:rPr>
        <w:t>т</w:t>
      </w:r>
      <w:r w:rsidRPr="00503C9F">
        <w:rPr>
          <w:szCs w:val="24"/>
        </w:rPr>
        <w:t xml:space="preserve"> семинар на 19 септември, заедно с ENISA по тези въпроси. Основните теми ще бъд</w:t>
      </w:r>
      <w:r w:rsidR="00F85A3D">
        <w:rPr>
          <w:szCs w:val="24"/>
        </w:rPr>
        <w:t>ат</w:t>
      </w:r>
      <w:r w:rsidRPr="00503C9F">
        <w:rPr>
          <w:szCs w:val="24"/>
        </w:rPr>
        <w:t xml:space="preserve"> разпределението на работата между различните органи, разработващи стандарти; обсъждане на създаването на етикети за сигурност (посочени ERNCIP проект от JRC, и прикани Европейската комисия да представи по-подробна информация относно тези изследователски проекти), включително „интернет на предметите“ критерии за етикета.</w:t>
      </w:r>
    </w:p>
    <w:p w:rsidR="009E0F55" w:rsidRPr="00503C9F" w:rsidRDefault="00F85A3D">
      <w:pPr>
        <w:spacing w:after="0" w:line="276" w:lineRule="auto"/>
        <w:rPr>
          <w:szCs w:val="24"/>
        </w:rPr>
      </w:pPr>
      <w:r>
        <w:rPr>
          <w:szCs w:val="24"/>
        </w:rPr>
        <w:t>В п</w:t>
      </w:r>
      <w:r w:rsidR="00C3161B" w:rsidRPr="00503C9F">
        <w:rPr>
          <w:szCs w:val="24"/>
        </w:rPr>
        <w:t>оследвалата дискусия се посоч</w:t>
      </w:r>
      <w:r>
        <w:rPr>
          <w:szCs w:val="24"/>
        </w:rPr>
        <w:t>и</w:t>
      </w:r>
      <w:r w:rsidR="00C3161B" w:rsidRPr="00503C9F">
        <w:rPr>
          <w:szCs w:val="24"/>
        </w:rPr>
        <w:t xml:space="preserve">, че всеки </w:t>
      </w:r>
      <w:r>
        <w:rPr>
          <w:szCs w:val="24"/>
        </w:rPr>
        <w:t>етикет трябва да бъде подкрепен</w:t>
      </w:r>
      <w:r w:rsidR="00C3161B" w:rsidRPr="00503C9F">
        <w:rPr>
          <w:szCs w:val="24"/>
        </w:rPr>
        <w:t xml:space="preserve"> от регламента. ETSI също представиха документ относно текущата EITS дейности в областта на </w:t>
      </w:r>
      <w:proofErr w:type="spellStart"/>
      <w:r w:rsidR="00C3161B" w:rsidRPr="00503C9F">
        <w:rPr>
          <w:szCs w:val="24"/>
        </w:rPr>
        <w:t>киберсигурността</w:t>
      </w:r>
      <w:proofErr w:type="spellEnd"/>
      <w:r w:rsidR="00C3161B" w:rsidRPr="00503C9F">
        <w:rPr>
          <w:szCs w:val="24"/>
        </w:rPr>
        <w:t>, ко</w:t>
      </w:r>
      <w:r>
        <w:rPr>
          <w:szCs w:val="24"/>
        </w:rPr>
        <w:t>йто ще бъде публикуван</w:t>
      </w:r>
      <w:r w:rsidR="00C3161B" w:rsidRPr="00503C9F">
        <w:rPr>
          <w:szCs w:val="24"/>
        </w:rPr>
        <w:t xml:space="preserve"> след заседанието. Обединеното кралство потвърди, че даденото етикетиране/сертифициране е приемлив</w:t>
      </w:r>
      <w:r>
        <w:rPr>
          <w:szCs w:val="24"/>
        </w:rPr>
        <w:t>о</w:t>
      </w:r>
      <w:r w:rsidR="00C3161B" w:rsidRPr="00503C9F">
        <w:rPr>
          <w:szCs w:val="24"/>
        </w:rPr>
        <w:t xml:space="preserve"> за тях. Други виждат необходимост от споразумение относно значението на етикетите. Съществува разлика между доброволните етикети, които са различни от етикети за сертифициране, предполагащ</w:t>
      </w:r>
      <w:r>
        <w:rPr>
          <w:szCs w:val="24"/>
        </w:rPr>
        <w:t>и</w:t>
      </w:r>
      <w:r w:rsidR="00C3161B" w:rsidRPr="00503C9F">
        <w:rPr>
          <w:szCs w:val="24"/>
        </w:rPr>
        <w:t xml:space="preserve"> отговорност. 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t xml:space="preserve">CEN-CENELEC обяви създаването на нови съвместни ТК за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 и защитата на личните данни. ECMA </w:t>
      </w:r>
      <w:r w:rsidR="00F85A3D">
        <w:rPr>
          <w:szCs w:val="24"/>
        </w:rPr>
        <w:t>заявиха</w:t>
      </w:r>
      <w:r w:rsidRPr="00503C9F">
        <w:rPr>
          <w:szCs w:val="24"/>
        </w:rPr>
        <w:t>, че ако CEN/CENELEC отговаря за поддържане</w:t>
      </w:r>
      <w:r w:rsidR="00623738">
        <w:rPr>
          <w:szCs w:val="24"/>
        </w:rPr>
        <w:t>то</w:t>
      </w:r>
      <w:r w:rsidRPr="00503C9F">
        <w:rPr>
          <w:szCs w:val="24"/>
        </w:rPr>
        <w:t xml:space="preserve"> на връзка и такси</w:t>
      </w:r>
      <w:r w:rsidR="00623738">
        <w:rPr>
          <w:szCs w:val="24"/>
        </w:rPr>
        <w:t>те</w:t>
      </w:r>
      <w:r w:rsidRPr="00503C9F">
        <w:rPr>
          <w:szCs w:val="24"/>
        </w:rPr>
        <w:t xml:space="preserve"> за участие, ECMA не е готов</w:t>
      </w:r>
      <w:r w:rsidR="00623738">
        <w:rPr>
          <w:szCs w:val="24"/>
        </w:rPr>
        <w:t>а</w:t>
      </w:r>
      <w:r w:rsidRPr="00503C9F">
        <w:rPr>
          <w:szCs w:val="24"/>
        </w:rPr>
        <w:t xml:space="preserve"> да си сътрудничи по принцип. Участието на експертите от промишления сектор в новите TC и избягване на дублирането с вече започнали дейности и ролята на Групата за координация по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 (CSCG — сега целева група) б</w:t>
      </w:r>
      <w:r w:rsidR="00623738">
        <w:rPr>
          <w:szCs w:val="24"/>
        </w:rPr>
        <w:t>яха</w:t>
      </w:r>
      <w:r w:rsidRPr="00503C9F">
        <w:rPr>
          <w:szCs w:val="24"/>
        </w:rPr>
        <w:t xml:space="preserve"> поставен</w:t>
      </w:r>
      <w:r w:rsidR="00623738">
        <w:rPr>
          <w:szCs w:val="24"/>
        </w:rPr>
        <w:t>и</w:t>
      </w:r>
      <w:r w:rsidRPr="00503C9F">
        <w:rPr>
          <w:szCs w:val="24"/>
        </w:rPr>
        <w:t xml:space="preserve"> под въпрос.</w:t>
      </w:r>
    </w:p>
    <w:p w:rsidR="009E0F55" w:rsidRPr="00503C9F" w:rsidRDefault="00C3161B">
      <w:pPr>
        <w:spacing w:after="0" w:line="276" w:lineRule="auto"/>
        <w:rPr>
          <w:szCs w:val="24"/>
        </w:rPr>
      </w:pPr>
      <w:r w:rsidRPr="00503C9F">
        <w:rPr>
          <w:szCs w:val="24"/>
        </w:rPr>
        <w:t xml:space="preserve">Председателят заключи, че съществува необходимост от сътрудничество между различните страни, включително промишлени експерти и Комисията и заяви, че с оглед на интереса, дискусията относно </w:t>
      </w:r>
      <w:proofErr w:type="spellStart"/>
      <w:r w:rsidRPr="00503C9F">
        <w:rPr>
          <w:szCs w:val="24"/>
        </w:rPr>
        <w:t>киберсигурността</w:t>
      </w:r>
      <w:proofErr w:type="spellEnd"/>
      <w:r w:rsidRPr="00503C9F">
        <w:rPr>
          <w:szCs w:val="24"/>
        </w:rPr>
        <w:t xml:space="preserve"> може да продължи по време на следващото заседание на </w:t>
      </w:r>
      <w:r w:rsidR="00623738" w:rsidRPr="00623738">
        <w:rPr>
          <w:szCs w:val="24"/>
        </w:rPr>
        <w:t>MSP</w:t>
      </w:r>
      <w:r w:rsidRPr="00503C9F">
        <w:rPr>
          <w:szCs w:val="24"/>
        </w:rPr>
        <w:t>.</w:t>
      </w:r>
    </w:p>
    <w:p w:rsidR="009E0F55" w:rsidRPr="00503C9F" w:rsidRDefault="00C3161B" w:rsidP="00623738">
      <w:pPr>
        <w:spacing w:after="0" w:line="276" w:lineRule="auto"/>
        <w:rPr>
          <w:szCs w:val="24"/>
        </w:rPr>
      </w:pPr>
      <w:r w:rsidRPr="00503C9F">
        <w:rPr>
          <w:szCs w:val="24"/>
        </w:rPr>
        <w:t>Беше постигнато съгласие, че въпросите за информация (а не за решение/разискване и др.) могат да бъдат разпространявани по всяко време.</w:t>
      </w:r>
    </w:p>
    <w:p w:rsidR="009E0F55" w:rsidRPr="00503C9F" w:rsidRDefault="00C3161B">
      <w:pPr>
        <w:pStyle w:val="Heading2"/>
      </w:pPr>
      <w:r w:rsidRPr="00503C9F">
        <w:lastRenderedPageBreak/>
        <w:t xml:space="preserve">СЛЕДОБЕДНА СЕСИЯ: </w:t>
      </w:r>
      <w:r w:rsidRPr="00503C9F">
        <w:rPr>
          <w:b w:val="0"/>
        </w:rPr>
        <w:t xml:space="preserve">Съпредседател: </w:t>
      </w:r>
      <w:proofErr w:type="spellStart"/>
      <w:r w:rsidR="00623738" w:rsidRPr="00086D6B">
        <w:rPr>
          <w:b w:val="0"/>
        </w:rPr>
        <w:t>Peteris</w:t>
      </w:r>
      <w:proofErr w:type="spellEnd"/>
      <w:r w:rsidRPr="00503C9F">
        <w:rPr>
          <w:b w:val="0"/>
        </w:rPr>
        <w:t xml:space="preserve"> </w:t>
      </w:r>
      <w:proofErr w:type="spellStart"/>
      <w:r w:rsidRPr="00503C9F">
        <w:rPr>
          <w:b w:val="0"/>
        </w:rPr>
        <w:t>Zigalvis</w:t>
      </w:r>
      <w:proofErr w:type="spellEnd"/>
      <w:r w:rsidRPr="00503C9F">
        <w:rPr>
          <w:b w:val="0"/>
        </w:rPr>
        <w:t xml:space="preserve"> (ГД „Съобщителни мрежи, съдържание и технологии“)</w:t>
      </w:r>
    </w:p>
    <w:p w:rsidR="009E0F55" w:rsidRPr="00503C9F" w:rsidRDefault="00C3161B">
      <w:pPr>
        <w:pStyle w:val="Heading2"/>
        <w:rPr>
          <w:sz w:val="26"/>
          <w:szCs w:val="26"/>
          <w:u w:val="single"/>
        </w:rPr>
      </w:pPr>
      <w:r w:rsidRPr="00503C9F">
        <w:rPr>
          <w:sz w:val="26"/>
          <w:szCs w:val="26"/>
          <w:u w:val="single"/>
        </w:rPr>
        <w:t xml:space="preserve">Предстоящата </w:t>
      </w:r>
      <w:proofErr w:type="spellStart"/>
      <w:r w:rsidRPr="00503C9F">
        <w:rPr>
          <w:sz w:val="26"/>
          <w:szCs w:val="26"/>
          <w:u w:val="single"/>
        </w:rPr>
        <w:t>стандартизационна</w:t>
      </w:r>
      <w:proofErr w:type="spellEnd"/>
      <w:r w:rsidRPr="00503C9F">
        <w:rPr>
          <w:sz w:val="26"/>
          <w:szCs w:val="26"/>
          <w:u w:val="single"/>
        </w:rPr>
        <w:t xml:space="preserve"> дейност</w:t>
      </w:r>
    </w:p>
    <w:p w:rsidR="009E0F55" w:rsidRPr="00503C9F" w:rsidRDefault="00623738" w:rsidP="00A75D44">
      <w:pPr>
        <w:pStyle w:val="Heading3"/>
        <w:numPr>
          <w:ilvl w:val="0"/>
          <w:numId w:val="2"/>
        </w:numPr>
        <w:spacing w:after="0"/>
        <w:ind w:left="2200" w:hanging="357"/>
        <w:rPr>
          <w:b w:val="0"/>
          <w:i w:val="0"/>
        </w:rPr>
      </w:pPr>
      <w:r w:rsidRPr="00C27DD0">
        <w:t>Дейности за с</w:t>
      </w:r>
      <w:r w:rsidR="00C3161B" w:rsidRPr="00C27DD0">
        <w:t>тандарти</w:t>
      </w:r>
      <w:r w:rsidR="00C3161B" w:rsidRPr="00503C9F">
        <w:t xml:space="preserve"> и оперативна съвместимост работна група </w:t>
      </w:r>
      <w:r w:rsidRPr="00623738">
        <w:t xml:space="preserve">FinTech </w:t>
      </w:r>
    </w:p>
    <w:p w:rsidR="009E0F55" w:rsidRPr="00503C9F" w:rsidRDefault="00C3161B">
      <w:pPr>
        <w:spacing w:after="120"/>
      </w:pPr>
      <w:r w:rsidRPr="00503C9F">
        <w:t xml:space="preserve">Тази точка беше </w:t>
      </w:r>
      <w:r w:rsidR="00623738">
        <w:t xml:space="preserve">от </w:t>
      </w:r>
      <w:r w:rsidRPr="00503C9F">
        <w:t xml:space="preserve">предишното заседание на </w:t>
      </w:r>
      <w:r w:rsidR="00623738" w:rsidRPr="00623738">
        <w:t>MSP</w:t>
      </w:r>
      <w:r w:rsidRPr="00503C9F">
        <w:t xml:space="preserve">. </w:t>
      </w:r>
      <w:proofErr w:type="spellStart"/>
      <w:r w:rsidRPr="00503C9F">
        <w:rPr>
          <w:i/>
        </w:rPr>
        <w:t>Benoit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Abeloos</w:t>
      </w:r>
      <w:proofErr w:type="spellEnd"/>
      <w:r w:rsidRPr="00503C9F">
        <w:rPr>
          <w:i/>
        </w:rPr>
        <w:t xml:space="preserve"> (ГД „Съобщителни мрежи, съдържание и технологии“) представи за текущите дейности с подкрепата на Комисията по този въпрос (док. ICT/MSP(2017)500v1).</w:t>
      </w:r>
      <w:r w:rsidRPr="00503C9F">
        <w:t xml:space="preserve"> Той изтъкна потенциала на използването на технологии на блок-веригата и споделен</w:t>
      </w:r>
      <w:r w:rsidR="00623738">
        <w:t>ите</w:t>
      </w:r>
      <w:r w:rsidRPr="00503C9F">
        <w:t xml:space="preserve"> </w:t>
      </w:r>
      <w:r w:rsidR="00623738">
        <w:t>хоризонтални технологии</w:t>
      </w:r>
      <w:r w:rsidRPr="00503C9F">
        <w:t xml:space="preserve"> извън финансовия сектор. Хоризонтална работна група относно финансовите технологии (FinTech) беше </w:t>
      </w:r>
      <w:r w:rsidR="00623738">
        <w:t>създадена</w:t>
      </w:r>
      <w:r w:rsidRPr="00503C9F">
        <w:t xml:space="preserve">, </w:t>
      </w:r>
      <w:r w:rsidR="00623738">
        <w:t>за да</w:t>
      </w:r>
      <w:r w:rsidRPr="00503C9F">
        <w:t xml:space="preserve"> работи по оперативната съвместимост и стандартите. Работната група работи по план за действие, </w:t>
      </w:r>
      <w:r w:rsidR="00623738">
        <w:t xml:space="preserve">в </w:t>
      </w:r>
      <w:r w:rsidRPr="00503C9F">
        <w:t xml:space="preserve">който ще предложи, наред с други действия, да се създаде обсерватория за </w:t>
      </w:r>
      <w:proofErr w:type="spellStart"/>
      <w:r w:rsidRPr="00503C9F">
        <w:t>блокчейн</w:t>
      </w:r>
      <w:proofErr w:type="spellEnd"/>
      <w:r w:rsidRPr="00503C9F">
        <w:t xml:space="preserve"> различни действия във връзка със стандартите и оперативната съвместимост, например чрез картографиране на ландшафта, </w:t>
      </w:r>
      <w:r w:rsidR="00623738">
        <w:t>разработването</w:t>
      </w:r>
      <w:r w:rsidRPr="00503C9F">
        <w:t xml:space="preserve"> на липсващи стандарти, подобряване</w:t>
      </w:r>
      <w:r w:rsidR="00623738">
        <w:t>то</w:t>
      </w:r>
      <w:r w:rsidRPr="00503C9F">
        <w:t xml:space="preserve"> на </w:t>
      </w:r>
      <w:proofErr w:type="spellStart"/>
      <w:r w:rsidRPr="00503C9F">
        <w:t>стандартизаци</w:t>
      </w:r>
      <w:r w:rsidR="00623738">
        <w:t>онната</w:t>
      </w:r>
      <w:proofErr w:type="spellEnd"/>
      <w:r w:rsidRPr="00503C9F">
        <w:t xml:space="preserve"> екосистема и определяне</w:t>
      </w:r>
      <w:r w:rsidR="00623738">
        <w:t>то</w:t>
      </w:r>
      <w:r w:rsidRPr="00503C9F">
        <w:t xml:space="preserve"> на необходимостта от сътрудничес</w:t>
      </w:r>
      <w:r w:rsidR="00623738">
        <w:t>тво между заинтересовани страни и</w:t>
      </w:r>
      <w:r w:rsidRPr="00503C9F">
        <w:t xml:space="preserve"> органи</w:t>
      </w:r>
      <w:r w:rsidR="00623738">
        <w:t>зациите</w:t>
      </w:r>
      <w:r w:rsidRPr="00503C9F">
        <w:t xml:space="preserve">, разработващи стандарти </w:t>
      </w:r>
      <w:r w:rsidR="00623738">
        <w:t xml:space="preserve">- </w:t>
      </w:r>
      <w:r w:rsidRPr="00503C9F">
        <w:t>ISO, ITU и ЕОС.</w:t>
      </w:r>
    </w:p>
    <w:p w:rsidR="009E0F55" w:rsidRPr="00503C9F" w:rsidRDefault="00623738">
      <w:pPr>
        <w:spacing w:after="120"/>
      </w:pPr>
      <w:r>
        <w:t>Б</w:t>
      </w:r>
      <w:r w:rsidRPr="00503C9F">
        <w:t>еше изтъкнат</w:t>
      </w:r>
      <w:r>
        <w:t>а</w:t>
      </w:r>
      <w:r w:rsidRPr="00503C9F">
        <w:t xml:space="preserve"> </w:t>
      </w:r>
      <w:r>
        <w:t>ц</w:t>
      </w:r>
      <w:r w:rsidR="00C3161B" w:rsidRPr="00503C9F">
        <w:t xml:space="preserve">елесъобразността на предлагания проект за </w:t>
      </w:r>
      <w:r w:rsidRPr="00503C9F">
        <w:t xml:space="preserve">стандарти </w:t>
      </w:r>
      <w:r>
        <w:t xml:space="preserve">за </w:t>
      </w:r>
      <w:r w:rsidR="00C3161B" w:rsidRPr="00503C9F">
        <w:t xml:space="preserve">финансови данни (финансирани от ГД FISMA). Освен това бе отбелязано, че </w:t>
      </w:r>
      <w:r w:rsidRPr="00503C9F">
        <w:t>съдържание</w:t>
      </w:r>
      <w:r>
        <w:t>то</w:t>
      </w:r>
      <w:r w:rsidRPr="00503C9F">
        <w:t xml:space="preserve"> </w:t>
      </w:r>
      <w:r>
        <w:t>на</w:t>
      </w:r>
      <w:r w:rsidR="00C3161B" w:rsidRPr="00503C9F">
        <w:t xml:space="preserve"> </w:t>
      </w:r>
      <w:r>
        <w:t>П</w:t>
      </w:r>
      <w:r w:rsidR="00C3161B" w:rsidRPr="00503C9F">
        <w:t>лан</w:t>
      </w:r>
      <w:r>
        <w:t>а за действие</w:t>
      </w:r>
      <w:r w:rsidR="00C3161B" w:rsidRPr="00503C9F">
        <w:t xml:space="preserve"> следва да се актуализира въз основа на </w:t>
      </w:r>
      <w:r w:rsidRPr="00503C9F">
        <w:t xml:space="preserve">нуждите от стандартизация </w:t>
      </w:r>
      <w:r>
        <w:t xml:space="preserve">на </w:t>
      </w:r>
      <w:r w:rsidR="00C3161B" w:rsidRPr="00503C9F">
        <w:t>финансовите технологии</w:t>
      </w:r>
      <w:r>
        <w:t xml:space="preserve"> (</w:t>
      </w:r>
      <w:r w:rsidRPr="00623738">
        <w:t>FinTech</w:t>
      </w:r>
      <w:r>
        <w:t>)</w:t>
      </w:r>
      <w:r w:rsidR="00C3161B" w:rsidRPr="00503C9F">
        <w:t>.</w:t>
      </w:r>
    </w:p>
    <w:p w:rsidR="009E0F55" w:rsidRPr="00503C9F" w:rsidRDefault="00C3161B" w:rsidP="00A75D44">
      <w:pPr>
        <w:pStyle w:val="Heading3"/>
        <w:numPr>
          <w:ilvl w:val="0"/>
          <w:numId w:val="2"/>
        </w:numPr>
        <w:spacing w:after="0"/>
        <w:ind w:left="2200" w:hanging="357"/>
      </w:pPr>
      <w:r w:rsidRPr="00503C9F">
        <w:t>Стандартизацията на технологиите на блок-веригата</w:t>
      </w:r>
      <w:r w:rsidR="00C27DD0">
        <w:t xml:space="preserve"> (</w:t>
      </w:r>
      <w:proofErr w:type="spellStart"/>
      <w:r w:rsidR="00C27DD0" w:rsidRPr="00C27DD0">
        <w:t>blockchain</w:t>
      </w:r>
      <w:proofErr w:type="spellEnd"/>
      <w:r w:rsidR="00C27DD0">
        <w:t>)</w:t>
      </w:r>
      <w:r w:rsidRPr="00503C9F">
        <w:t>/</w:t>
      </w:r>
      <w:r w:rsidR="00C27DD0" w:rsidRPr="00C27DD0">
        <w:t xml:space="preserve">споделените хоризонтални технологии </w:t>
      </w:r>
    </w:p>
    <w:p w:rsidR="009E0F55" w:rsidRPr="00503C9F" w:rsidRDefault="00C3161B">
      <w:pPr>
        <w:pStyle w:val="Text3"/>
        <w:ind w:left="0"/>
      </w:pPr>
      <w:proofErr w:type="spellStart"/>
      <w:r w:rsidRPr="00503C9F">
        <w:rPr>
          <w:i/>
        </w:rPr>
        <w:t>Benoit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Abeloos</w:t>
      </w:r>
      <w:proofErr w:type="spellEnd"/>
      <w:r w:rsidRPr="00503C9F">
        <w:rPr>
          <w:i/>
        </w:rPr>
        <w:t xml:space="preserve"> (ГД „Съобщителни мрежи, съдържание и технологии“) представи документ ICT/MSP(2017)516</w:t>
      </w:r>
      <w:r w:rsidR="00C27DD0">
        <w:rPr>
          <w:i/>
        </w:rPr>
        <w:t>,</w:t>
      </w:r>
      <w:r w:rsidRPr="00503C9F">
        <w:rPr>
          <w:i/>
        </w:rPr>
        <w:t xml:space="preserve"> </w:t>
      </w:r>
      <w:r w:rsidR="00C27DD0">
        <w:rPr>
          <w:i/>
        </w:rPr>
        <w:t>който се отнася за</w:t>
      </w:r>
      <w:r w:rsidRPr="00503C9F">
        <w:rPr>
          <w:i/>
        </w:rPr>
        <w:t xml:space="preserve"> идентифициране на потенциалните приложения на блок-веригата от</w:t>
      </w:r>
      <w:r w:rsidR="00C27DD0">
        <w:rPr>
          <w:i/>
        </w:rPr>
        <w:t>въд рамките на цифровата валута</w:t>
      </w:r>
      <w:r w:rsidRPr="00503C9F">
        <w:rPr>
          <w:i/>
        </w:rPr>
        <w:t xml:space="preserve"> и финансовите технологии (FinTech).</w:t>
      </w:r>
      <w:r w:rsidRPr="00503C9F">
        <w:t xml:space="preserve"> </w:t>
      </w:r>
      <w:proofErr w:type="spellStart"/>
      <w:r w:rsidRPr="00503C9F">
        <w:t>Блокверигата</w:t>
      </w:r>
      <w:proofErr w:type="spellEnd"/>
      <w:r w:rsidRPr="00503C9F">
        <w:t xml:space="preserve">, е от значение за операции и водене на отчетност. </w:t>
      </w:r>
      <w:r w:rsidR="00C27DD0">
        <w:t xml:space="preserve">На </w:t>
      </w:r>
      <w:r w:rsidRPr="00503C9F">
        <w:t xml:space="preserve">12 и 13 септември в Брюксел </w:t>
      </w:r>
      <w:r w:rsidR="00C27DD0">
        <w:t>ще</w:t>
      </w:r>
      <w:r w:rsidR="00C27DD0" w:rsidRPr="00503C9F">
        <w:t xml:space="preserve"> се проведе </w:t>
      </w:r>
      <w:r w:rsidR="00C27DD0">
        <w:t>семинар</w:t>
      </w:r>
      <w:r w:rsidR="00C27DD0" w:rsidRPr="00503C9F">
        <w:t xml:space="preserve"> </w:t>
      </w:r>
      <w:r w:rsidRPr="00503C9F">
        <w:t>с участници от ISO TC 307 „огледални комитети“, държавите членки и европейските организации по стандартизация. ITU-T също работи с 2 нови целеви групи.</w:t>
      </w:r>
    </w:p>
    <w:p w:rsidR="009E0F55" w:rsidRPr="00503C9F" w:rsidRDefault="00C3161B">
      <w:pPr>
        <w:spacing w:after="120"/>
      </w:pPr>
      <w:r w:rsidRPr="00503C9F">
        <w:t>Бяха споменати следните въпроси:</w:t>
      </w:r>
    </w:p>
    <w:p w:rsidR="009E0F55" w:rsidRPr="00503C9F" w:rsidRDefault="00C3161B">
      <w:pPr>
        <w:spacing w:after="120"/>
      </w:pPr>
      <w:r w:rsidRPr="00503C9F">
        <w:t xml:space="preserve">Що се отнася до списъка на проекти, </w:t>
      </w:r>
      <w:r w:rsidR="00C27DD0">
        <w:t>(слайд</w:t>
      </w:r>
      <w:r w:rsidRPr="00503C9F">
        <w:t xml:space="preserve"> 9</w:t>
      </w:r>
      <w:r w:rsidR="00C27DD0">
        <w:t>)</w:t>
      </w:r>
      <w:r w:rsidRPr="00503C9F">
        <w:t xml:space="preserve"> е обяснено, че DCODE е продължение на проекта D-CENT. Също така проектът </w:t>
      </w:r>
      <w:r w:rsidR="00C27DD0">
        <w:t>„SPECIAL</w:t>
      </w:r>
      <w:r w:rsidRPr="00503C9F">
        <w:t>“ липсва, в контекста на Общия регламент относно защитата на данните (</w:t>
      </w:r>
      <w:r w:rsidR="00C27DD0" w:rsidRPr="00C27DD0">
        <w:t>GDPR</w:t>
      </w:r>
      <w:r w:rsidRPr="00503C9F">
        <w:t>). ITU-T установи 2 фокусни групи, и следва да бъдат поканени на семинара.</w:t>
      </w:r>
    </w:p>
    <w:p w:rsidR="009E0F55" w:rsidRPr="00503C9F" w:rsidRDefault="00C3161B">
      <w:pPr>
        <w:spacing w:after="120"/>
      </w:pPr>
      <w:r w:rsidRPr="00503C9F">
        <w:t>Беше отбелязано, че следва да се обърне специално внимание на нуждите на потребителите, например, в рамките на общия регламент относно защитата на данните. Стандартизацията следва да се разгле</w:t>
      </w:r>
      <w:r w:rsidR="00C27DD0">
        <w:t>ж</w:t>
      </w:r>
      <w:r w:rsidRPr="00503C9F">
        <w:t xml:space="preserve">да не само </w:t>
      </w:r>
      <w:r w:rsidR="00C27DD0">
        <w:t xml:space="preserve">от </w:t>
      </w:r>
      <w:r w:rsidRPr="00503C9F">
        <w:t xml:space="preserve">гледна точка на отрасъла и ANEC ще участват в CEN BT работна група. Важно е да се гарантира съгласуваност на международно равнище. BEUC също допълни тези коментари. </w:t>
      </w:r>
      <w:r w:rsidR="00C27DD0">
        <w:t>ЕК</w:t>
      </w:r>
      <w:r w:rsidRPr="00503C9F">
        <w:t xml:space="preserve"> потвърди значението от гледна точка на ползвателите, и посочи, че ANEC е поканен на семинар</w:t>
      </w:r>
      <w:r w:rsidR="00C27DD0">
        <w:t>а</w:t>
      </w:r>
      <w:r w:rsidRPr="00503C9F">
        <w:t>.</w:t>
      </w:r>
    </w:p>
    <w:p w:rsidR="009E0F55" w:rsidRPr="00503C9F" w:rsidRDefault="00C3161B">
      <w:pPr>
        <w:spacing w:after="120"/>
      </w:pPr>
      <w:r w:rsidRPr="00503C9F">
        <w:t xml:space="preserve">Председателят заключи </w:t>
      </w:r>
      <w:r w:rsidR="00C27DD0">
        <w:t xml:space="preserve">с </w:t>
      </w:r>
      <w:r w:rsidRPr="00503C9F">
        <w:t>покан</w:t>
      </w:r>
      <w:r w:rsidR="00C27DD0">
        <w:t>а</w:t>
      </w:r>
      <w:r w:rsidRPr="00503C9F">
        <w:t xml:space="preserve"> всички да работят заедно и да предоставят ресурси, </w:t>
      </w:r>
      <w:r w:rsidR="00C27DD0">
        <w:t>вкл.</w:t>
      </w:r>
      <w:r w:rsidRPr="00503C9F">
        <w:t xml:space="preserve"> чрез обществена консултация относно финансовите технологии. Сътрудничество с трети страни CYBER също беше счетено за уместно.</w:t>
      </w:r>
    </w:p>
    <w:p w:rsidR="009E0F55" w:rsidRPr="00503C9F" w:rsidRDefault="00C3161B" w:rsidP="00A75D44">
      <w:pPr>
        <w:pStyle w:val="Heading3"/>
        <w:numPr>
          <w:ilvl w:val="0"/>
          <w:numId w:val="2"/>
        </w:numPr>
        <w:spacing w:after="0"/>
        <w:ind w:left="2200" w:hanging="357"/>
      </w:pPr>
      <w:r w:rsidRPr="00503C9F">
        <w:lastRenderedPageBreak/>
        <w:t xml:space="preserve">Актуална информация относно </w:t>
      </w:r>
      <w:r w:rsidR="00C27DD0">
        <w:t>съвместната инициатива за стандартизация (</w:t>
      </w:r>
      <w:r w:rsidR="00C27DD0" w:rsidRPr="00C27DD0">
        <w:t>JIS</w:t>
      </w:r>
      <w:r w:rsidR="00C27DD0">
        <w:t>)</w:t>
      </w:r>
    </w:p>
    <w:p w:rsidR="009E0F55" w:rsidRPr="00503C9F" w:rsidRDefault="00C3161B">
      <w:pPr>
        <w:rPr>
          <w:i/>
          <w:iCs/>
        </w:rPr>
      </w:pPr>
      <w:proofErr w:type="spellStart"/>
      <w:r w:rsidRPr="00503C9F">
        <w:rPr>
          <w:i/>
          <w:iCs/>
        </w:rPr>
        <w:t>Hein</w:t>
      </w:r>
      <w:proofErr w:type="spellEnd"/>
      <w:r w:rsidRPr="00503C9F">
        <w:rPr>
          <w:i/>
          <w:iCs/>
        </w:rPr>
        <w:t xml:space="preserve"> </w:t>
      </w:r>
      <w:proofErr w:type="spellStart"/>
      <w:r w:rsidRPr="00503C9F">
        <w:rPr>
          <w:i/>
          <w:iCs/>
        </w:rPr>
        <w:t>Bollens</w:t>
      </w:r>
      <w:proofErr w:type="spellEnd"/>
      <w:r w:rsidRPr="00503C9F">
        <w:rPr>
          <w:i/>
          <w:iCs/>
        </w:rPr>
        <w:t xml:space="preserve"> (ГД GROW) предостав</w:t>
      </w:r>
      <w:r w:rsidR="00A75D44">
        <w:rPr>
          <w:i/>
          <w:iCs/>
        </w:rPr>
        <w:t>и</w:t>
      </w:r>
      <w:r w:rsidRPr="00503C9F">
        <w:rPr>
          <w:i/>
          <w:iCs/>
        </w:rPr>
        <w:t xml:space="preserve"> следната актуализирана информация относно дейности по стандартизация, проведени след последното заседание на </w:t>
      </w:r>
      <w:r w:rsidR="00A75D44" w:rsidRPr="00A75D44">
        <w:rPr>
          <w:i/>
          <w:iCs/>
        </w:rPr>
        <w:t>MSP</w:t>
      </w:r>
      <w:r w:rsidRPr="00503C9F">
        <w:rPr>
          <w:i/>
          <w:iCs/>
        </w:rPr>
        <w:t>.</w:t>
      </w:r>
    </w:p>
    <w:p w:rsidR="009E0F55" w:rsidRPr="00503C9F" w:rsidRDefault="00C3161B">
      <w:r w:rsidRPr="00503C9F">
        <w:t xml:space="preserve">Европейският парламент обсъди докладите относно стандартизацията от членовете на ЕП </w:t>
      </w:r>
      <w:proofErr w:type="spellStart"/>
      <w:r w:rsidR="00A75D44" w:rsidRPr="00A75D44">
        <w:t>Mizzi</w:t>
      </w:r>
      <w:proofErr w:type="spellEnd"/>
      <w:r w:rsidR="00A75D44" w:rsidRPr="00A75D44">
        <w:t xml:space="preserve"> </w:t>
      </w:r>
      <w:r w:rsidR="00A75D44">
        <w:t>и</w:t>
      </w:r>
      <w:r w:rsidR="00A75D44" w:rsidRPr="00A75D44">
        <w:t xml:space="preserve"> </w:t>
      </w:r>
      <w:proofErr w:type="spellStart"/>
      <w:r w:rsidR="00A75D44" w:rsidRPr="00A75D44">
        <w:t>Henkel</w:t>
      </w:r>
      <w:proofErr w:type="spellEnd"/>
      <w:r w:rsidRPr="00503C9F">
        <w:t xml:space="preserve">. Съветът COMPRO </w:t>
      </w:r>
      <w:r w:rsidR="00A75D44" w:rsidRPr="00503C9F">
        <w:t xml:space="preserve">обсъди </w:t>
      </w:r>
      <w:r w:rsidRPr="00503C9F">
        <w:t>цифровата трансформация и стандартизацията.</w:t>
      </w:r>
    </w:p>
    <w:p w:rsidR="009E0F55" w:rsidRPr="00503C9F" w:rsidRDefault="00A75D44">
      <w:pPr>
        <w:spacing w:after="120"/>
      </w:pPr>
      <w:r w:rsidRPr="00A75D44">
        <w:rPr>
          <w:iCs/>
        </w:rPr>
        <w:t>ГД GROW</w:t>
      </w:r>
      <w:r w:rsidRPr="00A75D44">
        <w:t xml:space="preserve"> </w:t>
      </w:r>
      <w:r>
        <w:t xml:space="preserve">се е обърнала към </w:t>
      </w:r>
      <w:r w:rsidR="00C3161B" w:rsidRPr="00503C9F">
        <w:t xml:space="preserve"> ISO за </w:t>
      </w:r>
      <w:r>
        <w:t>об</w:t>
      </w:r>
      <w:r w:rsidR="00C3161B" w:rsidRPr="00503C9F">
        <w:t xml:space="preserve">мяна на мнения относно начините за включване на ISO </w:t>
      </w:r>
      <w:r>
        <w:t>в</w:t>
      </w:r>
      <w:r w:rsidR="00C3161B" w:rsidRPr="00503C9F">
        <w:t xml:space="preserve"> подкрепа на политиката на ЕС за стандартизация.</w:t>
      </w:r>
    </w:p>
    <w:p w:rsidR="009E0F55" w:rsidRPr="00503C9F" w:rsidRDefault="00C3161B">
      <w:pPr>
        <w:spacing w:after="120"/>
      </w:pPr>
      <w:r w:rsidRPr="00503C9F">
        <w:t xml:space="preserve">Целодневно обучение </w:t>
      </w:r>
      <w:r w:rsidR="00A75D44" w:rsidRPr="00503C9F">
        <w:t xml:space="preserve">за стандартизация </w:t>
      </w:r>
      <w:r w:rsidRPr="00503C9F">
        <w:t>за служители на Европейската комисия ще се проведе след лятото.</w:t>
      </w:r>
    </w:p>
    <w:p w:rsidR="009E0F55" w:rsidRPr="00503C9F" w:rsidRDefault="00C3161B">
      <w:pPr>
        <w:spacing w:after="120"/>
      </w:pPr>
      <w:r w:rsidRPr="00503C9F">
        <w:t>ГД „</w:t>
      </w:r>
      <w:r w:rsidR="00A75D44" w:rsidRPr="00A75D44">
        <w:t>HOME</w:t>
      </w:r>
      <w:r w:rsidRPr="00503C9F">
        <w:t xml:space="preserve">“ търси подкрепа за стандартизация в рамките на </w:t>
      </w:r>
      <w:r w:rsidR="00A75D44">
        <w:t xml:space="preserve">техния </w:t>
      </w:r>
      <w:r w:rsidRPr="00503C9F">
        <w:t>Съюза на сигурност.</w:t>
      </w:r>
    </w:p>
    <w:p w:rsidR="009E0F55" w:rsidRPr="00503C9F" w:rsidRDefault="00C3161B">
      <w:pPr>
        <w:spacing w:after="120"/>
      </w:pPr>
      <w:r w:rsidRPr="00503C9F">
        <w:t>Размяна на мнения между Европейската комисия и представители на академичните среди в областта на стандартизацията. Как да се създаде мрежа с академичните среди, за да се насърчава последователен подход.</w:t>
      </w:r>
    </w:p>
    <w:p w:rsidR="009E0F55" w:rsidRPr="00503C9F" w:rsidRDefault="00A75D44">
      <w:pPr>
        <w:spacing w:after="120"/>
      </w:pPr>
      <w:r w:rsidRPr="00A75D44">
        <w:rPr>
          <w:iCs/>
        </w:rPr>
        <w:t>ГД GROW</w:t>
      </w:r>
      <w:r w:rsidRPr="00A75D44">
        <w:t xml:space="preserve"> </w:t>
      </w:r>
      <w:r w:rsidR="00C3161B" w:rsidRPr="00503C9F">
        <w:t xml:space="preserve">финализира проекта на </w:t>
      </w:r>
      <w:r w:rsidRPr="00A75D44">
        <w:t xml:space="preserve">AUWP </w:t>
      </w:r>
      <w:r w:rsidR="00C3161B" w:rsidRPr="00503C9F">
        <w:t xml:space="preserve">2018 г. </w:t>
      </w:r>
      <w:r>
        <w:t>О</w:t>
      </w:r>
      <w:r w:rsidR="00C3161B" w:rsidRPr="00503C9F">
        <w:t>свен това междуведомствената група на Европейската комисия по стандартизация се срещна с акцент върху бюджетната гъвкавост и увеличени</w:t>
      </w:r>
      <w:r>
        <w:t>те</w:t>
      </w:r>
      <w:r w:rsidR="00C3161B" w:rsidRPr="00503C9F">
        <w:t xml:space="preserve"> средства чрез децентрализация в генералните дирекции.</w:t>
      </w:r>
    </w:p>
    <w:p w:rsidR="009E0F55" w:rsidRPr="00503C9F" w:rsidRDefault="00C3161B">
      <w:pPr>
        <w:spacing w:after="120"/>
        <w:rPr>
          <w:vertAlign w:val="superscript"/>
        </w:rPr>
      </w:pPr>
      <w:r w:rsidRPr="00503C9F">
        <w:t>На 8 юни платформата REFIT, председателстван</w:t>
      </w:r>
      <w:r w:rsidR="00A75D44">
        <w:t>а</w:t>
      </w:r>
      <w:r w:rsidRPr="00503C9F">
        <w:t xml:space="preserve"> от </w:t>
      </w:r>
      <w:proofErr w:type="spellStart"/>
      <w:r w:rsidRPr="00503C9F">
        <w:t>Elena</w:t>
      </w:r>
      <w:proofErr w:type="spellEnd"/>
      <w:r w:rsidRPr="00503C9F">
        <w:t xml:space="preserve"> </w:t>
      </w:r>
      <w:proofErr w:type="spellStart"/>
      <w:r w:rsidRPr="00503C9F">
        <w:t>Santiago</w:t>
      </w:r>
      <w:proofErr w:type="spellEnd"/>
      <w:r w:rsidRPr="00503C9F">
        <w:t xml:space="preserve">, обсъди въпроса на </w:t>
      </w:r>
      <w:r w:rsidR="00A75D44" w:rsidRPr="00A75D44">
        <w:t>OJEU</w:t>
      </w:r>
      <w:r w:rsidRPr="00503C9F">
        <w:t xml:space="preserve"> </w:t>
      </w:r>
      <w:r w:rsidR="00A75D44">
        <w:t>неразпределените (</w:t>
      </w:r>
      <w:proofErr w:type="spellStart"/>
      <w:r w:rsidRPr="00503C9F">
        <w:t>non</w:t>
      </w:r>
      <w:proofErr w:type="spellEnd"/>
      <w:r w:rsidRPr="00503C9F">
        <w:t>-referenced</w:t>
      </w:r>
      <w:r w:rsidR="00A75D44">
        <w:t>)</w:t>
      </w:r>
      <w:r w:rsidRPr="00503C9F">
        <w:t xml:space="preserve"> хармонизирани стандарти.</w:t>
      </w:r>
    </w:p>
    <w:p w:rsidR="009E0F55" w:rsidRPr="00503C9F" w:rsidRDefault="00C3161B">
      <w:pPr>
        <w:spacing w:after="120"/>
      </w:pPr>
      <w:r w:rsidRPr="00503C9F">
        <w:t xml:space="preserve">Исландия и </w:t>
      </w:r>
      <w:r w:rsidR="00A75D44">
        <w:t>исландският</w:t>
      </w:r>
      <w:r w:rsidRPr="00503C9F">
        <w:t xml:space="preserve"> NSB подписаха JIS </w:t>
      </w:r>
      <w:r w:rsidR="00A75D44">
        <w:t>н</w:t>
      </w:r>
      <w:r w:rsidRPr="00503C9F">
        <w:t xml:space="preserve">а 14 март; На 29 март </w:t>
      </w:r>
      <w:r w:rsidR="00A75D44" w:rsidRPr="00503C9F">
        <w:t xml:space="preserve">NSB </w:t>
      </w:r>
      <w:r w:rsidR="00A75D44">
        <w:t xml:space="preserve">на </w:t>
      </w:r>
      <w:r w:rsidRPr="00503C9F">
        <w:t>Люксембург и македонски</w:t>
      </w:r>
      <w:r w:rsidR="00A75D44">
        <w:t>я NSB</w:t>
      </w:r>
      <w:r w:rsidRPr="00503C9F">
        <w:t xml:space="preserve"> миналата седмица</w:t>
      </w:r>
      <w:r w:rsidR="00A75D44">
        <w:t xml:space="preserve"> също подписаха</w:t>
      </w:r>
      <w:r w:rsidRPr="00503C9F">
        <w:t>. Съществуват повече от 100 подписа.</w:t>
      </w:r>
    </w:p>
    <w:p w:rsidR="009E0F55" w:rsidRPr="00503C9F" w:rsidRDefault="00C3161B">
      <w:pPr>
        <w:spacing w:after="120"/>
      </w:pPr>
      <w:r w:rsidRPr="00503C9F">
        <w:t xml:space="preserve">На 5 май се проведе среща на ръководната група </w:t>
      </w:r>
      <w:r w:rsidR="00A75D44" w:rsidRPr="00C27DD0">
        <w:t>JIS</w:t>
      </w:r>
      <w:r w:rsidRPr="00503C9F">
        <w:t>. Действие 1 и действие 14 са важни за членовете на платформата,</w:t>
      </w:r>
    </w:p>
    <w:p w:rsidR="009E0F55" w:rsidRPr="00503C9F" w:rsidRDefault="00EC060A">
      <w:pPr>
        <w:spacing w:after="120"/>
      </w:pPr>
      <w:r>
        <w:t>Първият</w:t>
      </w:r>
      <w:r w:rsidR="00C3161B" w:rsidRPr="00503C9F">
        <w:t xml:space="preserve"> междуинституционал</w:t>
      </w:r>
      <w:r>
        <w:t>ен доклад, обявен</w:t>
      </w:r>
      <w:r w:rsidR="00C3161B" w:rsidRPr="00503C9F">
        <w:t xml:space="preserve"> в съобщението „Европейски стандарти за 21-ви век“</w:t>
      </w:r>
      <w:r>
        <w:t>,</w:t>
      </w:r>
      <w:r w:rsidR="00C3161B" w:rsidRPr="00503C9F">
        <w:t xml:space="preserve"> е в процес на подготовка и се очаква да бъде представен през септември.</w:t>
      </w:r>
      <w:r w:rsidR="00C3161B" w:rsidRPr="00503C9F">
        <w:rPr>
          <w:rStyle w:val="FootnoteAnchor"/>
        </w:rPr>
        <w:footnoteReference w:id="5"/>
      </w:r>
      <w:r w:rsidR="00C3161B" w:rsidRPr="00503C9F">
        <w:t xml:space="preserve"> Докладът ще бъде основа за обсъждане с другите институции на ЕС.</w:t>
      </w:r>
    </w:p>
    <w:p w:rsidR="009E0F55" w:rsidRPr="00503C9F" w:rsidRDefault="00EC060A">
      <w:pPr>
        <w:pStyle w:val="Heading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Текущо актуализиран</w:t>
      </w:r>
      <w:r w:rsidR="00C3161B" w:rsidRPr="00503C9F">
        <w:rPr>
          <w:sz w:val="26"/>
          <w:szCs w:val="26"/>
          <w:u w:val="single"/>
        </w:rPr>
        <w:t xml:space="preserve"> план за периода до 2018 г.</w:t>
      </w:r>
    </w:p>
    <w:p w:rsidR="009E0F55" w:rsidRPr="00503C9F" w:rsidRDefault="00EC060A" w:rsidP="00EC060A">
      <w:pPr>
        <w:pStyle w:val="Heading3"/>
        <w:numPr>
          <w:ilvl w:val="0"/>
          <w:numId w:val="2"/>
        </w:numPr>
      </w:pPr>
      <w:r>
        <w:t>Ревизия</w:t>
      </w:r>
      <w:r w:rsidRPr="00503C9F">
        <w:t xml:space="preserve"> </w:t>
      </w:r>
      <w:r w:rsidR="00C3161B" w:rsidRPr="00503C9F">
        <w:t xml:space="preserve">2018 - отворени за </w:t>
      </w:r>
      <w:r>
        <w:t>приноси</w:t>
      </w:r>
      <w:r w:rsidR="00C3161B" w:rsidRPr="00503C9F">
        <w:t xml:space="preserve"> (за сведение)</w:t>
      </w:r>
    </w:p>
    <w:p w:rsidR="009E0F55" w:rsidRPr="00503C9F" w:rsidRDefault="00C3161B">
      <w:pPr>
        <w:pStyle w:val="ListParagraph"/>
        <w:spacing w:before="120" w:after="120"/>
        <w:ind w:left="0"/>
        <w:jc w:val="both"/>
        <w:rPr>
          <w:i/>
        </w:rPr>
      </w:pPr>
      <w:proofErr w:type="spellStart"/>
      <w:r w:rsidRPr="00503C9F">
        <w:rPr>
          <w:i/>
        </w:rPr>
        <w:t>Szabolcs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Szekacs</w:t>
      </w:r>
      <w:proofErr w:type="spellEnd"/>
      <w:r w:rsidRPr="00503C9F">
        <w:rPr>
          <w:i/>
        </w:rPr>
        <w:t xml:space="preserve"> (ГД GROW) обясни, че процесът за преразглеждане на а</w:t>
      </w:r>
      <w:r w:rsidR="00EC060A">
        <w:rPr>
          <w:i/>
        </w:rPr>
        <w:t>ктуализирания план бе стартиран</w:t>
      </w:r>
      <w:r w:rsidRPr="00503C9F">
        <w:rPr>
          <w:i/>
        </w:rPr>
        <w:t xml:space="preserve"> през май с въпроса служби на Европейската комисия да предоставят своя принос до края на юни и чрез откриване на </w:t>
      </w:r>
      <w:proofErr w:type="spellStart"/>
      <w:r w:rsidRPr="00503C9F">
        <w:rPr>
          <w:i/>
        </w:rPr>
        <w:t>уики</w:t>
      </w:r>
      <w:proofErr w:type="spellEnd"/>
      <w:r w:rsidRPr="00503C9F">
        <w:rPr>
          <w:i/>
        </w:rPr>
        <w:t xml:space="preserve"> сайта.</w:t>
      </w:r>
    </w:p>
    <w:p w:rsidR="009E0F55" w:rsidRPr="00503C9F" w:rsidRDefault="009E0F55">
      <w:pPr>
        <w:pStyle w:val="ListParagraph"/>
        <w:spacing w:before="120" w:after="120"/>
        <w:ind w:left="0"/>
        <w:jc w:val="both"/>
        <w:rPr>
          <w:i/>
        </w:rPr>
      </w:pPr>
    </w:p>
    <w:p w:rsidR="009E0F55" w:rsidRPr="00503C9F" w:rsidRDefault="00C3161B">
      <w:pPr>
        <w:pStyle w:val="ListParagraph"/>
        <w:spacing w:before="120" w:after="120"/>
        <w:ind w:left="0"/>
        <w:jc w:val="both"/>
      </w:pPr>
      <w:proofErr w:type="spellStart"/>
      <w:r w:rsidRPr="00503C9F">
        <w:rPr>
          <w:i/>
        </w:rPr>
        <w:t>Йохен</w:t>
      </w:r>
      <w:proofErr w:type="spellEnd"/>
      <w:r w:rsidRPr="00503C9F">
        <w:rPr>
          <w:i/>
        </w:rPr>
        <w:t xml:space="preserve"> Фридрих (председател на работна група</w:t>
      </w:r>
      <w:r w:rsidR="00EC060A">
        <w:rPr>
          <w:i/>
        </w:rPr>
        <w:t xml:space="preserve"> (</w:t>
      </w:r>
      <w:proofErr w:type="spellStart"/>
      <w:r w:rsidR="00EC060A">
        <w:rPr>
          <w:i/>
        </w:rPr>
        <w:t>Rolling</w:t>
      </w:r>
      <w:proofErr w:type="spellEnd"/>
      <w:r w:rsidR="00EC060A">
        <w:rPr>
          <w:i/>
        </w:rPr>
        <w:t xml:space="preserve"> </w:t>
      </w:r>
      <w:proofErr w:type="spellStart"/>
      <w:r w:rsidR="00EC060A">
        <w:rPr>
          <w:i/>
        </w:rPr>
        <w:t>Plan</w:t>
      </w:r>
      <w:proofErr w:type="spellEnd"/>
      <w:r w:rsidR="00EC060A">
        <w:rPr>
          <w:i/>
        </w:rPr>
        <w:t xml:space="preserve"> TFRP) представи</w:t>
      </w:r>
      <w:r w:rsidRPr="00503C9F">
        <w:rPr>
          <w:i/>
        </w:rPr>
        <w:t xml:space="preserve"> документ ИКТ/MSP(2017) 508</w:t>
      </w:r>
      <w:r w:rsidR="00EC060A">
        <w:rPr>
          <w:i/>
        </w:rPr>
        <w:t>, който очертава</w:t>
      </w:r>
      <w:r w:rsidRPr="00503C9F">
        <w:rPr>
          <w:i/>
        </w:rPr>
        <w:t xml:space="preserve"> процеса след последното заседание на </w:t>
      </w:r>
      <w:r w:rsidR="00EC060A" w:rsidRPr="00EC060A">
        <w:rPr>
          <w:i/>
        </w:rPr>
        <w:t>MSP</w:t>
      </w:r>
      <w:r w:rsidRPr="00503C9F">
        <w:rPr>
          <w:i/>
        </w:rPr>
        <w:t xml:space="preserve">, с особен акцент върху новия процес на преразглеждане на актуализирания план, а именно новите </w:t>
      </w:r>
      <w:r w:rsidR="00EC060A">
        <w:rPr>
          <w:i/>
        </w:rPr>
        <w:t>основни точки (</w:t>
      </w:r>
      <w:proofErr w:type="spellStart"/>
      <w:r w:rsidR="00EC060A" w:rsidRPr="00EC060A">
        <w:rPr>
          <w:i/>
        </w:rPr>
        <w:t>checkpoints</w:t>
      </w:r>
      <w:proofErr w:type="spellEnd"/>
      <w:r w:rsidR="00EC060A">
        <w:rPr>
          <w:i/>
        </w:rPr>
        <w:t>)</w:t>
      </w:r>
      <w:r w:rsidRPr="00503C9F">
        <w:rPr>
          <w:i/>
        </w:rPr>
        <w:t>.</w:t>
      </w:r>
      <w:r w:rsidR="00EC060A">
        <w:t xml:space="preserve"> Той насърчи всички членове</w:t>
      </w:r>
      <w:r w:rsidRPr="00503C9F">
        <w:t xml:space="preserve"> да допринесат към новата версия на </w:t>
      </w:r>
      <w:proofErr w:type="spellStart"/>
      <w:r w:rsidRPr="00503C9F">
        <w:t>уики</w:t>
      </w:r>
      <w:proofErr w:type="spellEnd"/>
      <w:r w:rsidRPr="00503C9F">
        <w:t xml:space="preserve"> сайта.</w:t>
      </w:r>
    </w:p>
    <w:p w:rsidR="009E0F55" w:rsidRPr="00503C9F" w:rsidRDefault="00EC060A" w:rsidP="00EC060A">
      <w:pPr>
        <w:pStyle w:val="Heading3"/>
        <w:numPr>
          <w:ilvl w:val="0"/>
          <w:numId w:val="2"/>
        </w:numPr>
      </w:pPr>
      <w:r>
        <w:lastRenderedPageBreak/>
        <w:t>Проучване за к</w:t>
      </w:r>
      <w:r w:rsidRPr="00503C9F">
        <w:t>онвергенция</w:t>
      </w:r>
      <w:r>
        <w:t>та</w:t>
      </w:r>
      <w:r w:rsidRPr="00503C9F">
        <w:t xml:space="preserve"> </w:t>
      </w:r>
      <w:r>
        <w:t>на ф</w:t>
      </w:r>
      <w:r w:rsidR="00C3161B" w:rsidRPr="00503C9F">
        <w:t xml:space="preserve">иксирани и мобилни </w:t>
      </w:r>
      <w:r>
        <w:t xml:space="preserve">технологии </w:t>
      </w:r>
      <w:r w:rsidR="00C3161B" w:rsidRPr="00503C9F">
        <w:t>- представяне и обсъждане</w:t>
      </w:r>
      <w:r>
        <w:t>,</w:t>
      </w:r>
      <w:r w:rsidR="00C3161B" w:rsidRPr="00503C9F">
        <w:t xml:space="preserve"> принос</w:t>
      </w:r>
      <w:r w:rsidRPr="00EC060A">
        <w:t xml:space="preserve"> </w:t>
      </w:r>
      <w:r w:rsidRPr="00503C9F">
        <w:t xml:space="preserve">на </w:t>
      </w:r>
      <w:r w:rsidRPr="00EC060A">
        <w:t>MSP</w:t>
      </w:r>
    </w:p>
    <w:p w:rsidR="009E0F55" w:rsidRPr="00503C9F" w:rsidRDefault="00C3161B">
      <w:pPr>
        <w:spacing w:before="120" w:after="120"/>
      </w:pPr>
      <w:proofErr w:type="spellStart"/>
      <w:r w:rsidRPr="00503C9F">
        <w:rPr>
          <w:i/>
          <w:szCs w:val="24"/>
        </w:rPr>
        <w:t>Simon</w:t>
      </w:r>
      <w:proofErr w:type="spellEnd"/>
      <w:r w:rsidRPr="00503C9F">
        <w:rPr>
          <w:i/>
          <w:szCs w:val="24"/>
        </w:rPr>
        <w:t xml:space="preserve"> </w:t>
      </w:r>
      <w:proofErr w:type="spellStart"/>
      <w:r w:rsidRPr="00503C9F">
        <w:rPr>
          <w:i/>
          <w:szCs w:val="24"/>
        </w:rPr>
        <w:t>Forge</w:t>
      </w:r>
      <w:proofErr w:type="spellEnd"/>
      <w:r w:rsidRPr="00503C9F">
        <w:rPr>
          <w:i/>
          <w:szCs w:val="24"/>
        </w:rPr>
        <w:t xml:space="preserve"> (ръководител на проекта), </w:t>
      </w:r>
      <w:proofErr w:type="spellStart"/>
      <w:r w:rsidRPr="00503C9F">
        <w:rPr>
          <w:i/>
          <w:szCs w:val="24"/>
        </w:rPr>
        <w:t>Stifte</w:t>
      </w:r>
      <w:r w:rsidR="00A739B8">
        <w:rPr>
          <w:i/>
          <w:szCs w:val="24"/>
        </w:rPr>
        <w:t>lsen</w:t>
      </w:r>
      <w:proofErr w:type="spellEnd"/>
      <w:r w:rsidR="00A739B8">
        <w:rPr>
          <w:i/>
          <w:szCs w:val="24"/>
        </w:rPr>
        <w:t xml:space="preserve"> IMIT за Швеция, се позова</w:t>
      </w:r>
      <w:r w:rsidRPr="00503C9F">
        <w:rPr>
          <w:i/>
          <w:szCs w:val="24"/>
        </w:rPr>
        <w:t xml:space="preserve"> на </w:t>
      </w:r>
      <w:r w:rsidR="00A739B8" w:rsidRPr="00503C9F">
        <w:rPr>
          <w:i/>
          <w:szCs w:val="24"/>
        </w:rPr>
        <w:t>проучване</w:t>
      </w:r>
      <w:r w:rsidR="00A739B8">
        <w:rPr>
          <w:i/>
          <w:szCs w:val="24"/>
        </w:rPr>
        <w:t>то за конвергенцията на</w:t>
      </w:r>
      <w:r w:rsidR="00A739B8" w:rsidRPr="00503C9F">
        <w:rPr>
          <w:i/>
          <w:szCs w:val="24"/>
        </w:rPr>
        <w:t xml:space="preserve"> </w:t>
      </w:r>
      <w:r w:rsidRPr="00503C9F">
        <w:rPr>
          <w:i/>
          <w:szCs w:val="24"/>
        </w:rPr>
        <w:t>фиксиран</w:t>
      </w:r>
      <w:r w:rsidR="00A739B8">
        <w:rPr>
          <w:i/>
          <w:szCs w:val="24"/>
        </w:rPr>
        <w:t>и</w:t>
      </w:r>
      <w:r w:rsidRPr="00503C9F">
        <w:rPr>
          <w:i/>
          <w:szCs w:val="24"/>
        </w:rPr>
        <w:t xml:space="preserve"> и мобилн</w:t>
      </w:r>
      <w:r w:rsidR="00A739B8">
        <w:rPr>
          <w:i/>
          <w:szCs w:val="24"/>
        </w:rPr>
        <w:t>и</w:t>
      </w:r>
      <w:r w:rsidRPr="00503C9F">
        <w:rPr>
          <w:i/>
          <w:szCs w:val="24"/>
        </w:rPr>
        <w:t xml:space="preserve"> </w:t>
      </w:r>
      <w:r w:rsidR="00A739B8">
        <w:rPr>
          <w:i/>
          <w:szCs w:val="24"/>
        </w:rPr>
        <w:t xml:space="preserve">технологии </w:t>
      </w:r>
      <w:r w:rsidRPr="00503C9F">
        <w:rPr>
          <w:i/>
          <w:szCs w:val="24"/>
        </w:rPr>
        <w:t>(SMART 2016/0046), поръчано от ГД „Съобщителни мрежи, съдържание и технологии“, представен</w:t>
      </w:r>
      <w:r w:rsidR="00A739B8">
        <w:rPr>
          <w:i/>
          <w:szCs w:val="24"/>
        </w:rPr>
        <w:t>о</w:t>
      </w:r>
      <w:r w:rsidRPr="00503C9F">
        <w:rPr>
          <w:i/>
          <w:szCs w:val="24"/>
        </w:rPr>
        <w:t xml:space="preserve"> на последното заседание и обясни документ ИКТ/</w:t>
      </w:r>
      <w:r w:rsidR="00A739B8" w:rsidRPr="00A739B8">
        <w:rPr>
          <w:i/>
          <w:szCs w:val="24"/>
        </w:rPr>
        <w:t>MSP</w:t>
      </w:r>
      <w:r w:rsidRPr="00503C9F">
        <w:rPr>
          <w:i/>
          <w:szCs w:val="24"/>
        </w:rPr>
        <w:t xml:space="preserve"> (2017) 512, който съдържа въпросник за качеството на услугите и на опит (</w:t>
      </w:r>
      <w:proofErr w:type="spellStart"/>
      <w:r w:rsidRPr="00503C9F">
        <w:rPr>
          <w:i/>
          <w:szCs w:val="24"/>
        </w:rPr>
        <w:t>QoS</w:t>
      </w:r>
      <w:proofErr w:type="spellEnd"/>
      <w:r w:rsidRPr="00503C9F">
        <w:rPr>
          <w:i/>
          <w:szCs w:val="24"/>
        </w:rPr>
        <w:t>/</w:t>
      </w:r>
      <w:proofErr w:type="spellStart"/>
      <w:r w:rsidRPr="00503C9F">
        <w:rPr>
          <w:i/>
          <w:szCs w:val="24"/>
        </w:rPr>
        <w:t>QoE</w:t>
      </w:r>
      <w:proofErr w:type="spellEnd"/>
      <w:r w:rsidRPr="00503C9F">
        <w:rPr>
          <w:i/>
          <w:szCs w:val="24"/>
        </w:rPr>
        <w:t>) за широколентови и други услуги в подкрепа на цифровия единен пазар.</w:t>
      </w:r>
      <w:r w:rsidRPr="00503C9F">
        <w:rPr>
          <w:szCs w:val="24"/>
        </w:rPr>
        <w:t xml:space="preserve"> Той обясни състоянието на проучването по-подробно и поиска от членове</w:t>
      </w:r>
      <w:r w:rsidR="00A739B8">
        <w:rPr>
          <w:szCs w:val="24"/>
        </w:rPr>
        <w:t>те на</w:t>
      </w:r>
      <w:r w:rsidRPr="00503C9F">
        <w:rPr>
          <w:szCs w:val="24"/>
        </w:rPr>
        <w:t xml:space="preserve"> </w:t>
      </w:r>
      <w:r w:rsidR="00A739B8" w:rsidRPr="00A739B8">
        <w:rPr>
          <w:szCs w:val="24"/>
        </w:rPr>
        <w:t>MSP</w:t>
      </w:r>
      <w:r w:rsidR="00A739B8" w:rsidRPr="00503C9F">
        <w:rPr>
          <w:szCs w:val="24"/>
        </w:rPr>
        <w:t xml:space="preserve"> </w:t>
      </w:r>
      <w:r w:rsidRPr="00503C9F">
        <w:rPr>
          <w:szCs w:val="24"/>
        </w:rPr>
        <w:t>да предоставят някои отговори.</w:t>
      </w:r>
    </w:p>
    <w:p w:rsidR="009E0F55" w:rsidRPr="00503C9F" w:rsidRDefault="00C3161B">
      <w:pPr>
        <w:spacing w:before="120" w:after="120"/>
        <w:rPr>
          <w:szCs w:val="24"/>
        </w:rPr>
      </w:pPr>
      <w:r w:rsidRPr="00503C9F">
        <w:rPr>
          <w:szCs w:val="24"/>
        </w:rPr>
        <w:t xml:space="preserve">В последвалите разисквания някои членове на </w:t>
      </w:r>
      <w:r w:rsidR="00A739B8" w:rsidRPr="00A739B8">
        <w:rPr>
          <w:szCs w:val="24"/>
        </w:rPr>
        <w:t>MSP</w:t>
      </w:r>
      <w:r w:rsidRPr="00503C9F">
        <w:rPr>
          <w:szCs w:val="24"/>
        </w:rPr>
        <w:t xml:space="preserve"> </w:t>
      </w:r>
      <w:r w:rsidR="00A739B8">
        <w:rPr>
          <w:szCs w:val="24"/>
        </w:rPr>
        <w:t xml:space="preserve">отбелязаха, че </w:t>
      </w:r>
      <w:r w:rsidRPr="00503C9F">
        <w:rPr>
          <w:szCs w:val="24"/>
        </w:rPr>
        <w:t xml:space="preserve">е необходимо да се структурира </w:t>
      </w:r>
      <w:r w:rsidR="00A739B8">
        <w:rPr>
          <w:szCs w:val="24"/>
        </w:rPr>
        <w:t>документа</w:t>
      </w:r>
      <w:r w:rsidRPr="00503C9F">
        <w:rPr>
          <w:szCs w:val="24"/>
        </w:rPr>
        <w:t xml:space="preserve"> и, по-специално, що се отнася до задълженията за предоставяне на универсална услуга и прозрачност (тези, които нямат задължения за универсална услуга в съответствие с Директивата за универсалната услуга са задължени да бъдат прозрачни, когато те предлагат различни </w:t>
      </w:r>
      <w:proofErr w:type="spellStart"/>
      <w:r w:rsidRPr="00503C9F">
        <w:rPr>
          <w:szCs w:val="24"/>
        </w:rPr>
        <w:t>QoS</w:t>
      </w:r>
      <w:proofErr w:type="spellEnd"/>
      <w:r w:rsidRPr="00503C9F">
        <w:rPr>
          <w:szCs w:val="24"/>
        </w:rPr>
        <w:t>/</w:t>
      </w:r>
      <w:proofErr w:type="spellStart"/>
      <w:r w:rsidRPr="00503C9F">
        <w:rPr>
          <w:szCs w:val="24"/>
        </w:rPr>
        <w:t>QoE</w:t>
      </w:r>
      <w:proofErr w:type="spellEnd"/>
      <w:r w:rsidRPr="00503C9F">
        <w:rPr>
          <w:szCs w:val="24"/>
        </w:rPr>
        <w:t xml:space="preserve">). Наличие (покритие) и </w:t>
      </w:r>
      <w:proofErr w:type="spellStart"/>
      <w:r w:rsidRPr="00503C9F">
        <w:rPr>
          <w:szCs w:val="24"/>
        </w:rPr>
        <w:t>QoS</w:t>
      </w:r>
      <w:proofErr w:type="spellEnd"/>
      <w:r w:rsidRPr="00503C9F">
        <w:rPr>
          <w:szCs w:val="24"/>
        </w:rPr>
        <w:t xml:space="preserve"> могат да се разглеждат поотделно. Сигурност</w:t>
      </w:r>
      <w:r w:rsidR="00A739B8">
        <w:rPr>
          <w:szCs w:val="24"/>
        </w:rPr>
        <w:t>та</w:t>
      </w:r>
      <w:r w:rsidRPr="00503C9F">
        <w:rPr>
          <w:szCs w:val="24"/>
        </w:rPr>
        <w:t xml:space="preserve"> следва да бъде друг параметър. </w:t>
      </w:r>
      <w:r w:rsidR="00A739B8" w:rsidRPr="00A739B8">
        <w:rPr>
          <w:szCs w:val="24"/>
        </w:rPr>
        <w:t>KPI</w:t>
      </w:r>
      <w:r w:rsidRPr="00503C9F">
        <w:rPr>
          <w:szCs w:val="24"/>
        </w:rPr>
        <w:t xml:space="preserve"> следва да бъдат идентифицирани, </w:t>
      </w:r>
      <w:r w:rsidR="00A739B8">
        <w:rPr>
          <w:szCs w:val="24"/>
        </w:rPr>
        <w:t>вкл</w:t>
      </w:r>
      <w:r w:rsidRPr="00503C9F">
        <w:rPr>
          <w:szCs w:val="24"/>
        </w:rPr>
        <w:t xml:space="preserve">. за потреблението на енергия и т.н. </w:t>
      </w:r>
      <w:r w:rsidR="00A739B8">
        <w:rPr>
          <w:szCs w:val="24"/>
        </w:rPr>
        <w:t>Беше</w:t>
      </w:r>
      <w:r w:rsidRPr="00503C9F">
        <w:rPr>
          <w:szCs w:val="24"/>
        </w:rPr>
        <w:t xml:space="preserve"> потвърдено, че ОТТ (</w:t>
      </w:r>
      <w:proofErr w:type="spellStart"/>
      <w:r w:rsidRPr="00503C9F">
        <w:rPr>
          <w:szCs w:val="24"/>
        </w:rPr>
        <w:t>over-the-top</w:t>
      </w:r>
      <w:proofErr w:type="spellEnd"/>
      <w:r w:rsidRPr="00503C9F">
        <w:rPr>
          <w:szCs w:val="24"/>
        </w:rPr>
        <w:t>) съдържание</w:t>
      </w:r>
      <w:r w:rsidR="00A739B8">
        <w:rPr>
          <w:szCs w:val="24"/>
        </w:rPr>
        <w:t>то</w:t>
      </w:r>
      <w:r w:rsidRPr="00503C9F">
        <w:rPr>
          <w:szCs w:val="24"/>
        </w:rPr>
        <w:t xml:space="preserve"> и други услуги също са обхванати от проучването. Проучването ще бъде публикувано в началото на 2018 г.</w:t>
      </w:r>
    </w:p>
    <w:p w:rsidR="009E0F55" w:rsidRPr="00503C9F" w:rsidRDefault="00C3161B">
      <w:pPr>
        <w:spacing w:before="120" w:after="120"/>
        <w:rPr>
          <w:szCs w:val="24"/>
        </w:rPr>
      </w:pPr>
      <w:r w:rsidRPr="00503C9F">
        <w:t xml:space="preserve">Председателят заключи на този етап </w:t>
      </w:r>
      <w:r w:rsidR="00A739B8">
        <w:t xml:space="preserve">и </w:t>
      </w:r>
      <w:r w:rsidRPr="00503C9F">
        <w:t xml:space="preserve">помоли членовете </w:t>
      </w:r>
      <w:r w:rsidR="00A739B8">
        <w:t xml:space="preserve">на </w:t>
      </w:r>
      <w:r w:rsidR="00A739B8" w:rsidRPr="00A739B8">
        <w:t xml:space="preserve">MSP </w:t>
      </w:r>
      <w:r w:rsidRPr="00503C9F">
        <w:t>да представят отговор на въпросите, доколкото им е известно, до 30 юни.</w:t>
      </w:r>
    </w:p>
    <w:p w:rsidR="009E0F55" w:rsidRPr="00503C9F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503C9F">
        <w:t>Идентифициране на ИКТ спецификации</w:t>
      </w:r>
    </w:p>
    <w:p w:rsidR="009E0F55" w:rsidRPr="00503C9F" w:rsidRDefault="00C3161B">
      <w:pPr>
        <w:pStyle w:val="Heading2"/>
        <w:rPr>
          <w:sz w:val="26"/>
          <w:szCs w:val="26"/>
          <w:u w:val="single"/>
        </w:rPr>
      </w:pPr>
      <w:r w:rsidRPr="00503C9F">
        <w:rPr>
          <w:sz w:val="26"/>
          <w:szCs w:val="26"/>
          <w:u w:val="single"/>
        </w:rPr>
        <w:t>Пилотен проект за по-ефективни оценки</w:t>
      </w:r>
    </w:p>
    <w:p w:rsidR="009E0F55" w:rsidRPr="00503C9F" w:rsidRDefault="00C3161B">
      <w:pPr>
        <w:pStyle w:val="Text3"/>
        <w:ind w:left="0"/>
      </w:pPr>
      <w:r w:rsidRPr="00503C9F">
        <w:rPr>
          <w:i/>
        </w:rPr>
        <w:t xml:space="preserve">Rodolphe </w:t>
      </w:r>
      <w:proofErr w:type="spellStart"/>
      <w:r w:rsidRPr="00503C9F">
        <w:rPr>
          <w:i/>
        </w:rPr>
        <w:t>Wouters</w:t>
      </w:r>
      <w:proofErr w:type="spellEnd"/>
      <w:r w:rsidRPr="00503C9F">
        <w:rPr>
          <w:i/>
        </w:rPr>
        <w:t xml:space="preserve"> (ГД GROW) представи документ ИКТ/</w:t>
      </w:r>
      <w:r w:rsidR="00A739B8" w:rsidRPr="00A739B8">
        <w:t xml:space="preserve"> </w:t>
      </w:r>
      <w:r w:rsidR="00A739B8" w:rsidRPr="00A739B8">
        <w:rPr>
          <w:i/>
        </w:rPr>
        <w:t>MSP</w:t>
      </w:r>
      <w:r w:rsidRPr="00503C9F">
        <w:rPr>
          <w:i/>
        </w:rPr>
        <w:t xml:space="preserve"> (2017)507</w:t>
      </w:r>
      <w:r w:rsidR="00A739B8">
        <w:rPr>
          <w:i/>
        </w:rPr>
        <w:t>, в който се</w:t>
      </w:r>
      <w:r w:rsidRPr="00503C9F">
        <w:rPr>
          <w:i/>
        </w:rPr>
        <w:t xml:space="preserve"> предлага да стартира пилотен проект за улесняване на работата на Работната група за оценка на използването на CAMSS за следващото подаване</w:t>
      </w:r>
      <w:r w:rsidR="00234B62">
        <w:rPr>
          <w:i/>
        </w:rPr>
        <w:t xml:space="preserve"> за идентификация</w:t>
      </w:r>
      <w:r w:rsidRPr="00503C9F">
        <w:rPr>
          <w:i/>
        </w:rPr>
        <w:t>.</w:t>
      </w:r>
      <w:r w:rsidRPr="00503C9F">
        <w:t xml:space="preserve"> Той представи </w:t>
      </w:r>
      <w:r w:rsidR="00A739B8">
        <w:t xml:space="preserve">и </w:t>
      </w:r>
      <w:r w:rsidRPr="00503C9F">
        <w:t>документ ИКТ/</w:t>
      </w:r>
      <w:r w:rsidR="00A739B8" w:rsidRPr="00A739B8">
        <w:t xml:space="preserve"> MSP</w:t>
      </w:r>
      <w:r w:rsidRPr="00503C9F">
        <w:t xml:space="preserve"> (2017) 514 и обясни, че CAMSS екип</w:t>
      </w:r>
      <w:r w:rsidR="00A739B8">
        <w:t>а</w:t>
      </w:r>
      <w:r w:rsidRPr="00503C9F">
        <w:t xml:space="preserve"> </w:t>
      </w:r>
      <w:r w:rsidR="00A739B8">
        <w:t>на</w:t>
      </w:r>
      <w:r w:rsidRPr="00503C9F">
        <w:t xml:space="preserve"> изпълнител</w:t>
      </w:r>
      <w:r w:rsidR="00A739B8">
        <w:t>я, работещ</w:t>
      </w:r>
      <w:r w:rsidRPr="00503C9F">
        <w:t xml:space="preserve"> за </w:t>
      </w:r>
      <w:r w:rsidR="00A739B8" w:rsidRPr="00A739B8">
        <w:t>DIGIT</w:t>
      </w:r>
      <w:r w:rsidRPr="00503C9F">
        <w:t xml:space="preserve"> би мог</w:t>
      </w:r>
      <w:r w:rsidR="00A739B8">
        <w:t>ъл</w:t>
      </w:r>
      <w:r w:rsidRPr="00503C9F">
        <w:t xml:space="preserve"> да спомогне за дв</w:t>
      </w:r>
      <w:r w:rsidR="00A739B8">
        <w:t>а</w:t>
      </w:r>
      <w:r w:rsidRPr="00503C9F">
        <w:t xml:space="preserve"> конкретни момент</w:t>
      </w:r>
      <w:r w:rsidR="00A739B8">
        <w:t>а</w:t>
      </w:r>
      <w:r w:rsidRPr="00503C9F">
        <w:t xml:space="preserve"> от процеса: представянето и изготвянето на доклад за оценка. Изпълнителят ще използва CAMSS </w:t>
      </w:r>
      <w:r w:rsidR="00A739B8" w:rsidRPr="00A739B8">
        <w:t>MSP</w:t>
      </w:r>
      <w:r w:rsidRPr="00503C9F">
        <w:t xml:space="preserve"> сценарий, който стриктно препраща към </w:t>
      </w:r>
      <w:r w:rsidR="00A739B8" w:rsidRPr="00503C9F">
        <w:t>критерии</w:t>
      </w:r>
      <w:r w:rsidR="00A739B8">
        <w:t>те от</w:t>
      </w:r>
      <w:r w:rsidR="00A739B8" w:rsidRPr="00503C9F">
        <w:t xml:space="preserve"> </w:t>
      </w:r>
      <w:r w:rsidRPr="00503C9F">
        <w:t xml:space="preserve">приложение II от Регламент № 1025/2012. </w:t>
      </w:r>
      <w:r w:rsidR="00A739B8" w:rsidRPr="00A739B8">
        <w:t xml:space="preserve">Rodolphe </w:t>
      </w:r>
      <w:proofErr w:type="spellStart"/>
      <w:r w:rsidR="00A739B8" w:rsidRPr="00A739B8">
        <w:t>Wouters</w:t>
      </w:r>
      <w:proofErr w:type="spellEnd"/>
      <w:r w:rsidRPr="00503C9F">
        <w:t xml:space="preserve"> посоч</w:t>
      </w:r>
      <w:r w:rsidR="00A739B8">
        <w:t>и</w:t>
      </w:r>
      <w:r w:rsidRPr="00503C9F">
        <w:t>, че дор</w:t>
      </w:r>
      <w:r w:rsidR="00A739B8">
        <w:t>и изпълнителят да изпълнява</w:t>
      </w:r>
      <w:r w:rsidRPr="00503C9F">
        <w:t xml:space="preserve"> </w:t>
      </w:r>
      <w:r w:rsidR="00A739B8">
        <w:t>част от</w:t>
      </w:r>
      <w:r w:rsidRPr="00503C9F">
        <w:t xml:space="preserve"> предварителния анализ, </w:t>
      </w:r>
      <w:r w:rsidR="00A739B8">
        <w:t>Р</w:t>
      </w:r>
      <w:r w:rsidRPr="00503C9F">
        <w:t xml:space="preserve">аботната група </w:t>
      </w:r>
      <w:r w:rsidR="00A739B8">
        <w:t>за оценка</w:t>
      </w:r>
      <w:r w:rsidRPr="00503C9F">
        <w:t xml:space="preserve">, ще остане </w:t>
      </w:r>
      <w:r w:rsidR="00A739B8">
        <w:t>водеща</w:t>
      </w:r>
      <w:r w:rsidRPr="00503C9F">
        <w:t xml:space="preserve"> </w:t>
      </w:r>
      <w:r w:rsidR="00A739B8">
        <w:t>за</w:t>
      </w:r>
      <w:r w:rsidRPr="00503C9F">
        <w:t xml:space="preserve"> целия процес.</w:t>
      </w:r>
    </w:p>
    <w:p w:rsidR="009E0F55" w:rsidRPr="00503C9F" w:rsidRDefault="00C3161B">
      <w:pPr>
        <w:pStyle w:val="Text3"/>
        <w:ind w:left="0"/>
      </w:pPr>
      <w:r w:rsidRPr="00503C9F">
        <w:t xml:space="preserve">По време на дискусията бе зададен въпросът дали CAMSS ще уеднакви процеса </w:t>
      </w:r>
      <w:r w:rsidR="00A739B8">
        <w:t xml:space="preserve">си с този </w:t>
      </w:r>
      <w:r w:rsidRPr="00503C9F">
        <w:t xml:space="preserve">на </w:t>
      </w:r>
      <w:r w:rsidR="00A739B8">
        <w:t>идентификацията</w:t>
      </w:r>
      <w:r w:rsidRPr="00503C9F">
        <w:t xml:space="preserve">. R. </w:t>
      </w:r>
      <w:proofErr w:type="spellStart"/>
      <w:r w:rsidRPr="00503C9F">
        <w:t>Wouters</w:t>
      </w:r>
      <w:proofErr w:type="spellEnd"/>
      <w:r w:rsidRPr="00503C9F">
        <w:t xml:space="preserve"> припомни работата, извършена дот</w:t>
      </w:r>
      <w:r w:rsidR="00A739B8">
        <w:t>ук</w:t>
      </w:r>
      <w:r w:rsidRPr="00503C9F">
        <w:t xml:space="preserve"> между DIGIT и </w:t>
      </w:r>
      <w:r w:rsidR="00A739B8" w:rsidRPr="00503C9F">
        <w:t>секретариат</w:t>
      </w:r>
      <w:r w:rsidR="00A739B8">
        <w:t>а на</w:t>
      </w:r>
      <w:r w:rsidR="00A739B8" w:rsidRPr="00A739B8">
        <w:t xml:space="preserve"> MSP</w:t>
      </w:r>
      <w:r w:rsidRPr="00503C9F">
        <w:t xml:space="preserve"> </w:t>
      </w:r>
      <w:r w:rsidR="00A739B8">
        <w:t>з</w:t>
      </w:r>
      <w:r w:rsidRPr="00503C9F">
        <w:t>а адаптира</w:t>
      </w:r>
      <w:r w:rsidR="00A739B8">
        <w:t>не на</w:t>
      </w:r>
      <w:r w:rsidRPr="00503C9F">
        <w:t xml:space="preserve"> CAMSS процес</w:t>
      </w:r>
      <w:r w:rsidR="00A739B8">
        <w:t>а</w:t>
      </w:r>
      <w:r w:rsidRPr="00503C9F">
        <w:t xml:space="preserve"> в съответствие с процеса на идентифициране. Изпълнителят </w:t>
      </w:r>
      <w:r w:rsidR="00A739B8" w:rsidRPr="00503C9F">
        <w:t>стриктно</w:t>
      </w:r>
      <w:r w:rsidR="00A739B8" w:rsidRPr="00503C9F">
        <w:t xml:space="preserve"> </w:t>
      </w:r>
      <w:r w:rsidRPr="00503C9F">
        <w:t xml:space="preserve">ще </w:t>
      </w:r>
      <w:r w:rsidR="00A739B8">
        <w:t>се придържа</w:t>
      </w:r>
      <w:r w:rsidRPr="00503C9F">
        <w:t xml:space="preserve"> към то</w:t>
      </w:r>
      <w:r w:rsidR="00A739B8">
        <w:t>зи</w:t>
      </w:r>
      <w:r w:rsidRPr="00503C9F">
        <w:t xml:space="preserve"> </w:t>
      </w:r>
      <w:r w:rsidR="00A739B8">
        <w:t xml:space="preserve">сценарий на </w:t>
      </w:r>
      <w:r w:rsidR="00A739B8" w:rsidRPr="00A739B8">
        <w:t>MSP</w:t>
      </w:r>
      <w:r w:rsidRPr="00503C9F">
        <w:t>.</w:t>
      </w:r>
      <w:r w:rsidR="00A739B8">
        <w:t xml:space="preserve"> </w:t>
      </w:r>
      <w:r w:rsidR="00234B62">
        <w:t>П</w:t>
      </w:r>
      <w:r w:rsidRPr="00503C9F">
        <w:t>редставяне</w:t>
      </w:r>
      <w:r w:rsidR="00234B62">
        <w:t>то за идентификация</w:t>
      </w:r>
      <w:r w:rsidRPr="00503C9F">
        <w:t xml:space="preserve"> може да се замени от първоначал</w:t>
      </w:r>
      <w:r w:rsidR="00234B62">
        <w:t>ен</w:t>
      </w:r>
      <w:r w:rsidRPr="00503C9F">
        <w:t xml:space="preserve"> CAMSS анализ. Също така CAMSS доклад</w:t>
      </w:r>
      <w:r w:rsidR="00234B62">
        <w:t>ът</w:t>
      </w:r>
      <w:r w:rsidRPr="00503C9F">
        <w:t xml:space="preserve"> би могъл да замени доклад</w:t>
      </w:r>
      <w:r w:rsidR="00234B62">
        <w:t>а</w:t>
      </w:r>
      <w:r w:rsidRPr="00503C9F">
        <w:t xml:space="preserve"> за оценка</w:t>
      </w:r>
      <w:r w:rsidR="00234B62">
        <w:t xml:space="preserve"> на </w:t>
      </w:r>
      <w:r w:rsidR="00234B62" w:rsidRPr="00234B62">
        <w:t>MSP</w:t>
      </w:r>
      <w:r w:rsidRPr="00503C9F">
        <w:t>.</w:t>
      </w:r>
    </w:p>
    <w:p w:rsidR="009E0F55" w:rsidRPr="00503C9F" w:rsidRDefault="00C3161B">
      <w:pPr>
        <w:pStyle w:val="Text3"/>
        <w:ind w:left="0"/>
      </w:pPr>
      <w:r w:rsidRPr="00503C9F">
        <w:t>Нидерландия съобщи, че на този етап те ще представят OASIS техническа спецификация STIX и TAXII 2.0 за идентификация. В заключение председателят посочи, че пилот</w:t>
      </w:r>
      <w:r w:rsidR="00234B62">
        <w:t>ният проект</w:t>
      </w:r>
      <w:r w:rsidRPr="00503C9F">
        <w:t xml:space="preserve"> ще бъд</w:t>
      </w:r>
      <w:r w:rsidR="00234B62">
        <w:t>е впоследствие приложен</w:t>
      </w:r>
      <w:r w:rsidRPr="00503C9F">
        <w:t xml:space="preserve"> с тези TS.</w:t>
      </w:r>
    </w:p>
    <w:p w:rsidR="009E0F55" w:rsidRPr="00503C9F" w:rsidRDefault="00C3161B">
      <w:pPr>
        <w:pStyle w:val="Heading2"/>
        <w:rPr>
          <w:sz w:val="26"/>
          <w:szCs w:val="26"/>
          <w:u w:val="single"/>
        </w:rPr>
      </w:pPr>
      <w:r w:rsidRPr="00503C9F">
        <w:rPr>
          <w:sz w:val="26"/>
          <w:szCs w:val="26"/>
          <w:u w:val="single"/>
        </w:rPr>
        <w:t>Доклади на работна група за оценка</w:t>
      </w:r>
    </w:p>
    <w:p w:rsidR="009E0F55" w:rsidRPr="00503C9F" w:rsidRDefault="00C3161B" w:rsidP="00234B62">
      <w:pPr>
        <w:pStyle w:val="Heading3"/>
        <w:numPr>
          <w:ilvl w:val="0"/>
          <w:numId w:val="2"/>
        </w:numPr>
        <w:rPr>
          <w:bCs/>
        </w:rPr>
      </w:pPr>
      <w:r w:rsidRPr="00503C9F">
        <w:t xml:space="preserve">5 </w:t>
      </w:r>
      <w:r w:rsidR="00234B62" w:rsidRPr="00234B62">
        <w:t>RDA</w:t>
      </w:r>
      <w:r w:rsidRPr="00503C9F">
        <w:t xml:space="preserve"> Технически спецификации (</w:t>
      </w:r>
      <w:r w:rsidR="00234B62" w:rsidRPr="00234B62">
        <w:t xml:space="preserve">(Data </w:t>
      </w:r>
      <w:proofErr w:type="spellStart"/>
      <w:r w:rsidR="00234B62" w:rsidRPr="00234B62">
        <w:t>Citation</w:t>
      </w:r>
      <w:proofErr w:type="spellEnd"/>
      <w:r w:rsidR="00234B62" w:rsidRPr="00234B62">
        <w:t xml:space="preserve"> </w:t>
      </w:r>
      <w:proofErr w:type="spellStart"/>
      <w:r w:rsidR="00234B62" w:rsidRPr="00234B62">
        <w:t>of</w:t>
      </w:r>
      <w:proofErr w:type="spellEnd"/>
      <w:r w:rsidR="00234B62" w:rsidRPr="00234B62">
        <w:t xml:space="preserve"> </w:t>
      </w:r>
      <w:proofErr w:type="spellStart"/>
      <w:r w:rsidR="00234B62" w:rsidRPr="00234B62">
        <w:t>Evolving</w:t>
      </w:r>
      <w:proofErr w:type="spellEnd"/>
      <w:r w:rsidR="00234B62" w:rsidRPr="00234B62">
        <w:t xml:space="preserve"> Data, Data </w:t>
      </w:r>
      <w:proofErr w:type="spellStart"/>
      <w:r w:rsidR="00234B62" w:rsidRPr="00234B62">
        <w:t>Description</w:t>
      </w:r>
      <w:proofErr w:type="spellEnd"/>
      <w:r w:rsidR="00234B62" w:rsidRPr="00234B62">
        <w:t xml:space="preserve"> </w:t>
      </w:r>
      <w:proofErr w:type="spellStart"/>
      <w:r w:rsidR="00234B62" w:rsidRPr="00234B62">
        <w:t>Registry</w:t>
      </w:r>
      <w:proofErr w:type="spellEnd"/>
      <w:r w:rsidR="00234B62" w:rsidRPr="00234B62">
        <w:t xml:space="preserve"> </w:t>
      </w:r>
      <w:proofErr w:type="spellStart"/>
      <w:r w:rsidR="00234B62" w:rsidRPr="00234B62">
        <w:t>Interoperability</w:t>
      </w:r>
      <w:proofErr w:type="spellEnd"/>
      <w:r w:rsidR="00234B62" w:rsidRPr="00234B62">
        <w:t xml:space="preserve"> </w:t>
      </w:r>
      <w:proofErr w:type="spellStart"/>
      <w:r w:rsidR="00234B62" w:rsidRPr="00234B62">
        <w:t>Model</w:t>
      </w:r>
      <w:proofErr w:type="spellEnd"/>
      <w:r w:rsidR="00234B62" w:rsidRPr="00234B62">
        <w:t xml:space="preserve">, RDA/WDS </w:t>
      </w:r>
      <w:proofErr w:type="spellStart"/>
      <w:r w:rsidR="00234B62" w:rsidRPr="00234B62">
        <w:lastRenderedPageBreak/>
        <w:t>Repository</w:t>
      </w:r>
      <w:proofErr w:type="spellEnd"/>
      <w:r w:rsidR="00234B62" w:rsidRPr="00234B62">
        <w:t xml:space="preserve"> </w:t>
      </w:r>
      <w:proofErr w:type="spellStart"/>
      <w:r w:rsidR="00234B62" w:rsidRPr="00234B62">
        <w:t>Audit</w:t>
      </w:r>
      <w:proofErr w:type="spellEnd"/>
      <w:r w:rsidR="00234B62" w:rsidRPr="00234B62">
        <w:t xml:space="preserve"> </w:t>
      </w:r>
      <w:proofErr w:type="spellStart"/>
      <w:r w:rsidR="00234B62" w:rsidRPr="00234B62">
        <w:t>and</w:t>
      </w:r>
      <w:proofErr w:type="spellEnd"/>
      <w:r w:rsidR="00234B62" w:rsidRPr="00234B62">
        <w:t xml:space="preserve"> </w:t>
      </w:r>
      <w:proofErr w:type="spellStart"/>
      <w:r w:rsidR="00234B62" w:rsidRPr="00234B62">
        <w:t>Certification</w:t>
      </w:r>
      <w:proofErr w:type="spellEnd"/>
      <w:r w:rsidR="00234B62" w:rsidRPr="00234B62">
        <w:t xml:space="preserve"> </w:t>
      </w:r>
      <w:proofErr w:type="spellStart"/>
      <w:r w:rsidR="00234B62" w:rsidRPr="00234B62">
        <w:t>Catalogues</w:t>
      </w:r>
      <w:proofErr w:type="spellEnd"/>
      <w:r w:rsidR="00234B62" w:rsidRPr="00234B62">
        <w:t xml:space="preserve">, RDA/WDS </w:t>
      </w:r>
      <w:proofErr w:type="spellStart"/>
      <w:r w:rsidR="00234B62" w:rsidRPr="00234B62">
        <w:t>Workflows</w:t>
      </w:r>
      <w:proofErr w:type="spellEnd"/>
      <w:r w:rsidR="00234B62" w:rsidRPr="00234B62">
        <w:t xml:space="preserve"> </w:t>
      </w:r>
      <w:proofErr w:type="spellStart"/>
      <w:r w:rsidR="00234B62" w:rsidRPr="00234B62">
        <w:t>for</w:t>
      </w:r>
      <w:proofErr w:type="spellEnd"/>
      <w:r w:rsidR="00234B62" w:rsidRPr="00234B62">
        <w:t xml:space="preserve"> </w:t>
      </w:r>
      <w:proofErr w:type="spellStart"/>
      <w:r w:rsidR="00234B62" w:rsidRPr="00234B62">
        <w:t>Research</w:t>
      </w:r>
      <w:proofErr w:type="spellEnd"/>
      <w:r w:rsidR="00234B62" w:rsidRPr="00234B62">
        <w:t xml:space="preserve"> Data </w:t>
      </w:r>
      <w:proofErr w:type="spellStart"/>
      <w:r w:rsidR="00234B62" w:rsidRPr="00234B62">
        <w:t>Publishing</w:t>
      </w:r>
      <w:proofErr w:type="spellEnd"/>
      <w:r w:rsidR="00234B62" w:rsidRPr="00234B62">
        <w:t xml:space="preserve"> </w:t>
      </w:r>
      <w:proofErr w:type="spellStart"/>
      <w:r w:rsidR="00234B62" w:rsidRPr="00234B62">
        <w:t>Model</w:t>
      </w:r>
      <w:proofErr w:type="spellEnd"/>
      <w:r w:rsidR="00234B62" w:rsidRPr="00234B62">
        <w:t xml:space="preserve">, RDA/WDS </w:t>
      </w:r>
      <w:proofErr w:type="spellStart"/>
      <w:r w:rsidR="00234B62" w:rsidRPr="00234B62">
        <w:t>Publishing</w:t>
      </w:r>
      <w:proofErr w:type="spellEnd"/>
      <w:r w:rsidR="00234B62" w:rsidRPr="00234B62">
        <w:t xml:space="preserve"> Data Services</w:t>
      </w:r>
    </w:p>
    <w:p w:rsidR="009E0F55" w:rsidRPr="00503C9F" w:rsidRDefault="00C3161B">
      <w:pPr>
        <w:spacing w:before="120" w:after="120"/>
      </w:pPr>
      <w:proofErr w:type="spellStart"/>
      <w:r w:rsidRPr="00503C9F">
        <w:rPr>
          <w:i/>
          <w:szCs w:val="24"/>
        </w:rPr>
        <w:t>Emilio</w:t>
      </w:r>
      <w:proofErr w:type="spellEnd"/>
      <w:r w:rsidRPr="00503C9F">
        <w:rPr>
          <w:i/>
          <w:szCs w:val="24"/>
        </w:rPr>
        <w:t xml:space="preserve"> </w:t>
      </w:r>
      <w:proofErr w:type="spellStart"/>
      <w:r w:rsidRPr="00503C9F">
        <w:rPr>
          <w:i/>
          <w:szCs w:val="24"/>
        </w:rPr>
        <w:t>Dávila</w:t>
      </w:r>
      <w:proofErr w:type="spellEnd"/>
      <w:r w:rsidRPr="00503C9F">
        <w:rPr>
          <w:i/>
          <w:szCs w:val="24"/>
        </w:rPr>
        <w:t xml:space="preserve"> (ГД „Съобщителни мрежи, съдържание и технологии„) представи документа ИКТ/</w:t>
      </w:r>
      <w:r w:rsidR="00234B62" w:rsidRPr="00234B62">
        <w:t xml:space="preserve"> </w:t>
      </w:r>
      <w:r w:rsidR="00234B62" w:rsidRPr="00234B62">
        <w:rPr>
          <w:i/>
          <w:szCs w:val="24"/>
        </w:rPr>
        <w:t>MSP</w:t>
      </w:r>
      <w:r w:rsidRPr="00503C9F">
        <w:rPr>
          <w:i/>
          <w:szCs w:val="24"/>
        </w:rPr>
        <w:t xml:space="preserve"> (2017) 511, в</w:t>
      </w:r>
      <w:r w:rsidR="00234B62">
        <w:rPr>
          <w:i/>
          <w:szCs w:val="24"/>
        </w:rPr>
        <w:t xml:space="preserve"> който се разяснява постигнатия</w:t>
      </w:r>
      <w:r w:rsidRPr="00503C9F">
        <w:rPr>
          <w:i/>
          <w:szCs w:val="24"/>
        </w:rPr>
        <w:t xml:space="preserve"> напредък от работната група </w:t>
      </w:r>
      <w:r w:rsidR="00234B62">
        <w:rPr>
          <w:i/>
          <w:szCs w:val="24"/>
        </w:rPr>
        <w:t>за оценка</w:t>
      </w:r>
      <w:r w:rsidRPr="00503C9F">
        <w:rPr>
          <w:i/>
          <w:szCs w:val="24"/>
        </w:rPr>
        <w:t>.</w:t>
      </w:r>
      <w:r w:rsidRPr="00503C9F">
        <w:rPr>
          <w:szCs w:val="24"/>
        </w:rPr>
        <w:t xml:space="preserve"> Проект за доклад е на разположение и ще бъде представен на </w:t>
      </w:r>
      <w:r w:rsidR="00234B62" w:rsidRPr="00234B62">
        <w:rPr>
          <w:szCs w:val="24"/>
        </w:rPr>
        <w:t>MSP</w:t>
      </w:r>
      <w:r w:rsidRPr="00503C9F">
        <w:rPr>
          <w:szCs w:val="24"/>
        </w:rPr>
        <w:t xml:space="preserve"> за следващото пленарно заседание. </w:t>
      </w:r>
      <w:r w:rsidR="00234B62">
        <w:rPr>
          <w:szCs w:val="24"/>
        </w:rPr>
        <w:t>Тъй к</w:t>
      </w:r>
      <w:r w:rsidRPr="00503C9F">
        <w:rPr>
          <w:szCs w:val="24"/>
        </w:rPr>
        <w:t>ато има ограничен брой доброволци, участващи в оценяването, новите доброволци ще бъдат приветствани.</w:t>
      </w:r>
    </w:p>
    <w:p w:rsidR="009E0F55" w:rsidRPr="00503C9F" w:rsidRDefault="00C3161B">
      <w:pPr>
        <w:spacing w:before="120" w:after="120"/>
        <w:rPr>
          <w:szCs w:val="24"/>
        </w:rPr>
      </w:pPr>
      <w:r w:rsidRPr="00503C9F">
        <w:rPr>
          <w:szCs w:val="24"/>
        </w:rPr>
        <w:t xml:space="preserve">Беше отбелязано, че някои от TS </w:t>
      </w:r>
      <w:r w:rsidR="00234B62">
        <w:rPr>
          <w:szCs w:val="24"/>
        </w:rPr>
        <w:t>изглеждат като</w:t>
      </w:r>
      <w:r w:rsidRPr="00503C9F">
        <w:rPr>
          <w:szCs w:val="24"/>
        </w:rPr>
        <w:t xml:space="preserve"> най-добри практики/насоки и че работната група следва да обмисли дали могат да се използват за обществените поръчки или просто да се най-добри практики. Този въпрос ще бъде разгледан от работната група на следващото заседание, насрочено за 22 юни.</w:t>
      </w:r>
    </w:p>
    <w:p w:rsidR="009E0F55" w:rsidRPr="00503C9F" w:rsidRDefault="00C3161B">
      <w:pPr>
        <w:spacing w:before="120" w:after="120"/>
        <w:rPr>
          <w:szCs w:val="24"/>
        </w:rPr>
      </w:pPr>
      <w:r w:rsidRPr="00503C9F">
        <w:rPr>
          <w:szCs w:val="24"/>
        </w:rPr>
        <w:t xml:space="preserve">Италия изразиха желание да се присъединят към работната група, тъй като те са заинтересовани </w:t>
      </w:r>
      <w:r w:rsidR="00234B62">
        <w:rPr>
          <w:szCs w:val="24"/>
        </w:rPr>
        <w:t xml:space="preserve">от </w:t>
      </w:r>
      <w:r w:rsidR="00234B62" w:rsidRPr="00234B62">
        <w:rPr>
          <w:szCs w:val="24"/>
        </w:rPr>
        <w:t xml:space="preserve">RDA/WDS </w:t>
      </w:r>
      <w:proofErr w:type="spellStart"/>
      <w:r w:rsidR="00234B62" w:rsidRPr="00234B62">
        <w:rPr>
          <w:szCs w:val="24"/>
        </w:rPr>
        <w:t>Repository</w:t>
      </w:r>
      <w:proofErr w:type="spellEnd"/>
      <w:r w:rsidR="00234B62" w:rsidRPr="00234B62">
        <w:rPr>
          <w:szCs w:val="24"/>
        </w:rPr>
        <w:t xml:space="preserve"> </w:t>
      </w:r>
      <w:proofErr w:type="spellStart"/>
      <w:r w:rsidR="00234B62" w:rsidRPr="00234B62">
        <w:rPr>
          <w:szCs w:val="24"/>
        </w:rPr>
        <w:t>Audit</w:t>
      </w:r>
      <w:proofErr w:type="spellEnd"/>
      <w:r w:rsidR="00234B62" w:rsidRPr="00234B62">
        <w:rPr>
          <w:szCs w:val="24"/>
        </w:rPr>
        <w:t xml:space="preserve"> </w:t>
      </w:r>
      <w:proofErr w:type="spellStart"/>
      <w:r w:rsidR="00234B62" w:rsidRPr="00234B62">
        <w:rPr>
          <w:szCs w:val="24"/>
        </w:rPr>
        <w:t>and</w:t>
      </w:r>
      <w:proofErr w:type="spellEnd"/>
      <w:r w:rsidR="00234B62" w:rsidRPr="00234B62">
        <w:rPr>
          <w:szCs w:val="24"/>
        </w:rPr>
        <w:t xml:space="preserve"> </w:t>
      </w:r>
      <w:proofErr w:type="spellStart"/>
      <w:r w:rsidR="00234B62" w:rsidRPr="00234B62">
        <w:rPr>
          <w:szCs w:val="24"/>
        </w:rPr>
        <w:t>Certification</w:t>
      </w:r>
      <w:proofErr w:type="spellEnd"/>
      <w:r w:rsidR="00234B62" w:rsidRPr="00234B62">
        <w:rPr>
          <w:szCs w:val="24"/>
        </w:rPr>
        <w:t xml:space="preserve"> </w:t>
      </w:r>
      <w:proofErr w:type="spellStart"/>
      <w:r w:rsidR="00234B62" w:rsidRPr="00234B62">
        <w:rPr>
          <w:szCs w:val="24"/>
        </w:rPr>
        <w:t>Catalogues</w:t>
      </w:r>
      <w:proofErr w:type="spellEnd"/>
      <w:r w:rsidRPr="00503C9F">
        <w:rPr>
          <w:szCs w:val="24"/>
        </w:rPr>
        <w:t>.</w:t>
      </w:r>
    </w:p>
    <w:p w:rsidR="009E0F55" w:rsidRPr="00503C9F" w:rsidRDefault="00C3161B">
      <w:pPr>
        <w:pStyle w:val="Heading2"/>
        <w:rPr>
          <w:sz w:val="26"/>
          <w:szCs w:val="26"/>
          <w:u w:val="single"/>
        </w:rPr>
      </w:pPr>
      <w:r w:rsidRPr="00503C9F">
        <w:rPr>
          <w:sz w:val="26"/>
          <w:szCs w:val="26"/>
          <w:u w:val="single"/>
        </w:rPr>
        <w:t>Актуална информация относно текущите обозначения</w:t>
      </w:r>
    </w:p>
    <w:p w:rsidR="009E0F55" w:rsidRPr="00503C9F" w:rsidRDefault="00C3161B">
      <w:pPr>
        <w:pStyle w:val="Heading3"/>
        <w:numPr>
          <w:ilvl w:val="0"/>
          <w:numId w:val="2"/>
        </w:numPr>
        <w:ind w:left="993"/>
      </w:pPr>
      <w:r w:rsidRPr="00503C9F">
        <w:t>Актуално състояние на консултация с експерти от сектора за SPF DANE SMTP&amp; STARTTLS (IETF) (късно подаване)</w:t>
      </w:r>
    </w:p>
    <w:p w:rsidR="009E0F55" w:rsidRPr="00503C9F" w:rsidRDefault="00C3161B">
      <w:pPr>
        <w:spacing w:after="0"/>
        <w:rPr>
          <w:i/>
        </w:rPr>
      </w:pPr>
      <w:proofErr w:type="spellStart"/>
      <w:r w:rsidRPr="00503C9F">
        <w:rPr>
          <w:i/>
        </w:rPr>
        <w:t>Antonio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Conte</w:t>
      </w:r>
      <w:proofErr w:type="spellEnd"/>
      <w:r w:rsidRPr="00503C9F">
        <w:rPr>
          <w:i/>
        </w:rPr>
        <w:t xml:space="preserve"> (ГД GROW) докладва, че в случая SPF, експертите </w:t>
      </w:r>
      <w:r w:rsidR="00234B62">
        <w:rPr>
          <w:i/>
        </w:rPr>
        <w:t xml:space="preserve">са </w:t>
      </w:r>
      <w:r w:rsidRPr="00503C9F">
        <w:rPr>
          <w:i/>
        </w:rPr>
        <w:t>да</w:t>
      </w:r>
      <w:r w:rsidR="00234B62">
        <w:rPr>
          <w:i/>
        </w:rPr>
        <w:t>ли</w:t>
      </w:r>
      <w:r w:rsidRPr="00503C9F">
        <w:rPr>
          <w:i/>
        </w:rPr>
        <w:t xml:space="preserve"> положително становище, така че Европейската комисия да може да премине към следващата стъпка за създаване на решение на Комисията.</w:t>
      </w:r>
    </w:p>
    <w:p w:rsidR="009E0F55" w:rsidRPr="00503C9F" w:rsidRDefault="009E0F55">
      <w:pPr>
        <w:spacing w:after="0"/>
      </w:pPr>
    </w:p>
    <w:p w:rsidR="009E0F55" w:rsidRPr="00503C9F" w:rsidRDefault="00C3161B">
      <w:pPr>
        <w:spacing w:after="0"/>
      </w:pPr>
      <w:proofErr w:type="spellStart"/>
      <w:r w:rsidRPr="00503C9F">
        <w:rPr>
          <w:i/>
        </w:rPr>
        <w:t>Emilio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Dávila</w:t>
      </w:r>
      <w:proofErr w:type="spellEnd"/>
      <w:r w:rsidRPr="00503C9F">
        <w:rPr>
          <w:i/>
        </w:rPr>
        <w:t xml:space="preserve"> (ГД „Съобщителни мрежи, съдържание и технологии“) представи доклад относно DANE, &amp; STARTTLS.</w:t>
      </w:r>
      <w:r w:rsidRPr="00503C9F">
        <w:t xml:space="preserve"> Експерти</w:t>
      </w:r>
      <w:r w:rsidR="00234B62">
        <w:t>те са</w:t>
      </w:r>
      <w:r w:rsidRPr="00503C9F">
        <w:t xml:space="preserve"> да</w:t>
      </w:r>
      <w:r w:rsidR="00234B62">
        <w:t>ли</w:t>
      </w:r>
      <w:r w:rsidRPr="00503C9F">
        <w:t xml:space="preserve"> положително становище и </w:t>
      </w:r>
      <w:r w:rsidR="00234B62">
        <w:t xml:space="preserve">са </w:t>
      </w:r>
      <w:r w:rsidRPr="00503C9F">
        <w:t>препоръча</w:t>
      </w:r>
      <w:r w:rsidR="00234B62">
        <w:t>ли</w:t>
      </w:r>
      <w:r w:rsidRPr="00503C9F">
        <w:t xml:space="preserve"> редакционни коментари за подобряване на доклада за оценка. Те</w:t>
      </w:r>
      <w:r w:rsidR="00234B62">
        <w:t>зи коментари</w:t>
      </w:r>
      <w:r w:rsidRPr="00503C9F">
        <w:t xml:space="preserve"> </w:t>
      </w:r>
      <w:r w:rsidR="00234B62">
        <w:t xml:space="preserve">са </w:t>
      </w:r>
      <w:r w:rsidRPr="00503C9F">
        <w:t>б</w:t>
      </w:r>
      <w:r w:rsidR="00234B62">
        <w:t>или</w:t>
      </w:r>
      <w:r w:rsidRPr="00503C9F">
        <w:t xml:space="preserve"> обсъдени в рамките на Работната група за </w:t>
      </w:r>
      <w:r w:rsidR="00234B62">
        <w:t>оценка</w:t>
      </w:r>
      <w:r w:rsidRPr="00503C9F">
        <w:t>, която се е съгласила да направи преглед на доклад</w:t>
      </w:r>
      <w:r w:rsidR="00234B62">
        <w:t>а</w:t>
      </w:r>
      <w:r w:rsidRPr="00503C9F">
        <w:t>, изготвен въз основа на тези коментари. Доклад</w:t>
      </w:r>
      <w:r w:rsidR="00234B62">
        <w:t>ите</w:t>
      </w:r>
      <w:r w:rsidRPr="00503C9F">
        <w:t xml:space="preserve"> за оценка ще бъдат съответно преразгледани, кач</w:t>
      </w:r>
      <w:r w:rsidR="00234B62">
        <w:t>ени</w:t>
      </w:r>
      <w:r w:rsidRPr="00503C9F">
        <w:t xml:space="preserve"> в CIRCABC, а следващата стъпка за създаване на решение на Комисията е започнал</w:t>
      </w:r>
      <w:r w:rsidR="00234B62">
        <w:t>а</w:t>
      </w:r>
      <w:r w:rsidRPr="00503C9F">
        <w:t>. Окончателният доклад за оценка ще бъд</w:t>
      </w:r>
      <w:r w:rsidR="00234B62">
        <w:t>е публикуван</w:t>
      </w:r>
      <w:r w:rsidRPr="00503C9F">
        <w:t xml:space="preserve"> в CIRCABC.</w:t>
      </w:r>
    </w:p>
    <w:p w:rsidR="009E0F55" w:rsidRPr="00503C9F" w:rsidRDefault="009E0F55">
      <w:pPr>
        <w:spacing w:after="0"/>
      </w:pPr>
    </w:p>
    <w:p w:rsidR="009E0F55" w:rsidRPr="00503C9F" w:rsidRDefault="00C3161B">
      <w:pPr>
        <w:rPr>
          <w:i/>
        </w:rPr>
      </w:pPr>
      <w:proofErr w:type="spellStart"/>
      <w:r w:rsidRPr="00503C9F">
        <w:rPr>
          <w:i/>
        </w:rPr>
        <w:t>Belén</w:t>
      </w:r>
      <w:proofErr w:type="spellEnd"/>
      <w:r w:rsidRPr="00503C9F">
        <w:rPr>
          <w:i/>
        </w:rPr>
        <w:t xml:space="preserve"> </w:t>
      </w:r>
      <w:r w:rsidR="00234B62">
        <w:rPr>
          <w:i/>
          <w:lang w:val="en-US"/>
        </w:rPr>
        <w:t>Martinez</w:t>
      </w:r>
      <w:r w:rsidRPr="00503C9F">
        <w:rPr>
          <w:i/>
        </w:rPr>
        <w:t xml:space="preserve"> (ГД GROW) съобщи, че решението за </w:t>
      </w:r>
      <w:r w:rsidR="00234B62">
        <w:rPr>
          <w:i/>
        </w:rPr>
        <w:t xml:space="preserve">идентифициране на </w:t>
      </w:r>
      <w:r w:rsidRPr="00503C9F">
        <w:rPr>
          <w:i/>
        </w:rPr>
        <w:t>,</w:t>
      </w:r>
      <w:r w:rsidR="00234B62" w:rsidRPr="00234B62">
        <w:t xml:space="preserve"> </w:t>
      </w:r>
      <w:r w:rsidR="00234B62" w:rsidRPr="00234B62">
        <w:rPr>
          <w:i/>
        </w:rPr>
        <w:t xml:space="preserve">SKOS, RDF 1.0 &amp; 1.1, SMP 1.0, AS2, IRI </w:t>
      </w:r>
      <w:proofErr w:type="spellStart"/>
      <w:r w:rsidR="00234B62" w:rsidRPr="00234B62">
        <w:rPr>
          <w:i/>
        </w:rPr>
        <w:t>and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the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four</w:t>
      </w:r>
      <w:proofErr w:type="spellEnd"/>
      <w:r w:rsidR="00234B62" w:rsidRPr="00234B62">
        <w:rPr>
          <w:i/>
        </w:rPr>
        <w:t xml:space="preserve"> RDA 'Data Foundation &amp; </w:t>
      </w:r>
      <w:proofErr w:type="spellStart"/>
      <w:r w:rsidR="00234B62" w:rsidRPr="00234B62">
        <w:rPr>
          <w:i/>
        </w:rPr>
        <w:t>Terminology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Model</w:t>
      </w:r>
      <w:proofErr w:type="spellEnd"/>
      <w:r w:rsidR="00234B62" w:rsidRPr="00234B62">
        <w:rPr>
          <w:i/>
        </w:rPr>
        <w:t xml:space="preserve">', 'PID </w:t>
      </w:r>
      <w:proofErr w:type="spellStart"/>
      <w:r w:rsidR="00234B62" w:rsidRPr="00234B62">
        <w:rPr>
          <w:i/>
        </w:rPr>
        <w:t>Information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Types</w:t>
      </w:r>
      <w:proofErr w:type="spellEnd"/>
      <w:r w:rsidR="00234B62" w:rsidRPr="00234B62">
        <w:rPr>
          <w:i/>
        </w:rPr>
        <w:t xml:space="preserve"> API'</w:t>
      </w:r>
      <w:r w:rsidRPr="00503C9F">
        <w:rPr>
          <w:i/>
        </w:rPr>
        <w:t xml:space="preserve"> </w:t>
      </w:r>
      <w:r w:rsidR="00234B62" w:rsidRPr="00234B62">
        <w:rPr>
          <w:i/>
        </w:rPr>
        <w:t xml:space="preserve">'Data </w:t>
      </w:r>
      <w:proofErr w:type="spellStart"/>
      <w:r w:rsidR="00234B62" w:rsidRPr="00234B62">
        <w:rPr>
          <w:i/>
        </w:rPr>
        <w:t>Type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Registries</w:t>
      </w:r>
      <w:proofErr w:type="spellEnd"/>
      <w:r w:rsidR="00234B62" w:rsidRPr="00234B62">
        <w:rPr>
          <w:i/>
        </w:rPr>
        <w:t xml:space="preserve"> </w:t>
      </w:r>
      <w:proofErr w:type="spellStart"/>
      <w:r w:rsidR="00234B62" w:rsidRPr="00234B62">
        <w:rPr>
          <w:i/>
        </w:rPr>
        <w:t>Model</w:t>
      </w:r>
      <w:proofErr w:type="spellEnd"/>
      <w:r w:rsidR="00234B62" w:rsidRPr="00234B62">
        <w:rPr>
          <w:i/>
        </w:rPr>
        <w:t xml:space="preserve">' </w:t>
      </w:r>
      <w:r w:rsidRPr="00503C9F">
        <w:rPr>
          <w:i/>
        </w:rPr>
        <w:t>и „Практически политики на препоръките за технически спецификации</w:t>
      </w:r>
      <w:r w:rsidR="00234B62">
        <w:rPr>
          <w:i/>
        </w:rPr>
        <w:t>“</w:t>
      </w:r>
      <w:r w:rsidRPr="00503C9F">
        <w:rPr>
          <w:i/>
        </w:rPr>
        <w:t>, се очаква да бъде приет</w:t>
      </w:r>
      <w:r w:rsidR="00234B62">
        <w:rPr>
          <w:i/>
        </w:rPr>
        <w:t>о</w:t>
      </w:r>
      <w:r w:rsidRPr="00503C9F">
        <w:rPr>
          <w:i/>
        </w:rPr>
        <w:t xml:space="preserve"> от Комисията през идните седмици.</w:t>
      </w:r>
    </w:p>
    <w:p w:rsidR="009E0F55" w:rsidRPr="00503C9F" w:rsidRDefault="009E0F55">
      <w:pPr>
        <w:spacing w:after="0"/>
      </w:pPr>
    </w:p>
    <w:p w:rsidR="009E0F55" w:rsidRPr="00503C9F" w:rsidRDefault="00234B62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234B62">
        <w:t xml:space="preserve">MSP </w:t>
      </w:r>
      <w:r w:rsidR="00C3161B" w:rsidRPr="00503C9F">
        <w:t>въпроси и инициативи</w:t>
      </w:r>
      <w:r w:rsidRPr="00234B62">
        <w:t xml:space="preserve"> </w:t>
      </w:r>
      <w:r>
        <w:t xml:space="preserve">на </w:t>
      </w:r>
      <w:r w:rsidRPr="00503C9F">
        <w:t>държавите</w:t>
      </w:r>
      <w:r>
        <w:t>-членки</w:t>
      </w:r>
    </w:p>
    <w:p w:rsidR="009E0F55" w:rsidRPr="00503C9F" w:rsidRDefault="00C3161B">
      <w:pPr>
        <w:pStyle w:val="Heading2"/>
        <w:rPr>
          <w:sz w:val="26"/>
          <w:szCs w:val="26"/>
          <w:u w:val="single"/>
        </w:rPr>
      </w:pPr>
      <w:r w:rsidRPr="00503C9F">
        <w:rPr>
          <w:sz w:val="26"/>
          <w:szCs w:val="26"/>
          <w:u w:val="single"/>
        </w:rPr>
        <w:t>Заинтересованите обществени групи</w:t>
      </w:r>
    </w:p>
    <w:p w:rsidR="009E0F55" w:rsidRPr="00503C9F" w:rsidRDefault="00C3161B">
      <w:pPr>
        <w:pStyle w:val="Heading3"/>
        <w:numPr>
          <w:ilvl w:val="0"/>
          <w:numId w:val="2"/>
        </w:numPr>
        <w:ind w:left="993"/>
      </w:pPr>
      <w:r w:rsidRPr="00503C9F">
        <w:t>OFE Представяне на отворен код и стандартизация</w:t>
      </w:r>
    </w:p>
    <w:p w:rsidR="009E0F55" w:rsidRPr="00503C9F" w:rsidRDefault="00C3161B">
      <w:proofErr w:type="spellStart"/>
      <w:r w:rsidRPr="00503C9F">
        <w:rPr>
          <w:i/>
        </w:rPr>
        <w:t>Йохен</w:t>
      </w:r>
      <w:proofErr w:type="spellEnd"/>
      <w:r w:rsidRPr="00503C9F">
        <w:rPr>
          <w:i/>
        </w:rPr>
        <w:t xml:space="preserve"> Фридрих (OFE) представи преглед на отворен код и стандартизацията в областта на ИКТ (документ/</w:t>
      </w:r>
      <w:r w:rsidR="009765F2" w:rsidRPr="009765F2">
        <w:t xml:space="preserve"> </w:t>
      </w:r>
      <w:r w:rsidR="009765F2" w:rsidRPr="009765F2">
        <w:rPr>
          <w:i/>
        </w:rPr>
        <w:t>MSP</w:t>
      </w:r>
      <w:r w:rsidRPr="00503C9F">
        <w:rPr>
          <w:i/>
        </w:rPr>
        <w:t xml:space="preserve"> (2017) 510), к</w:t>
      </w:r>
      <w:r w:rsidR="009765F2">
        <w:rPr>
          <w:i/>
        </w:rPr>
        <w:t>ой</w:t>
      </w:r>
      <w:r w:rsidRPr="00503C9F">
        <w:rPr>
          <w:i/>
        </w:rPr>
        <w:t xml:space="preserve">то изтъква връзки, общи черти, </w:t>
      </w:r>
      <w:r w:rsidRPr="00503C9F">
        <w:rPr>
          <w:i/>
        </w:rPr>
        <w:lastRenderedPageBreak/>
        <w:t xml:space="preserve">взаимно допълване и различия между стандартизацията и </w:t>
      </w:r>
      <w:r w:rsidR="009765F2">
        <w:rPr>
          <w:i/>
        </w:rPr>
        <w:t xml:space="preserve">развитието на </w:t>
      </w:r>
      <w:r w:rsidRPr="00503C9F">
        <w:rPr>
          <w:i/>
        </w:rPr>
        <w:t>софтуера с отворен код.</w:t>
      </w:r>
      <w:r w:rsidRPr="00503C9F">
        <w:t xml:space="preserve"> Предизвикателството е да се запази подходящ баланс.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>В последвалите разисквания членовете призна</w:t>
      </w:r>
      <w:r w:rsidR="009765F2">
        <w:t>ха</w:t>
      </w:r>
      <w:r w:rsidRPr="00503C9F">
        <w:t xml:space="preserve"> големия интерес към темата и изтъкнаха някои от техните дейности.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 xml:space="preserve">ETSI </w:t>
      </w:r>
      <w:r w:rsidR="009765F2">
        <w:t>следи</w:t>
      </w:r>
      <w:r w:rsidRPr="00503C9F">
        <w:t xml:space="preserve"> това обсъждане и в рамките на </w:t>
      </w:r>
      <w:r w:rsidR="009765F2" w:rsidRPr="009765F2">
        <w:t xml:space="preserve">OSS </w:t>
      </w:r>
      <w:r w:rsidR="009765F2">
        <w:t>(</w:t>
      </w:r>
      <w:r w:rsidR="009765F2">
        <w:rPr>
          <w:lang w:val="en-US"/>
        </w:rPr>
        <w:t>Open Source Standards</w:t>
      </w:r>
      <w:r w:rsidR="009765F2">
        <w:t xml:space="preserve">) </w:t>
      </w:r>
      <w:proofErr w:type="spellStart"/>
      <w:r w:rsidR="009765F2" w:rsidRPr="009765F2">
        <w:t>Board</w:t>
      </w:r>
      <w:proofErr w:type="spellEnd"/>
      <w:r w:rsidR="009765F2" w:rsidRPr="009765F2">
        <w:t xml:space="preserve"> Group</w:t>
      </w:r>
      <w:r w:rsidRPr="00503C9F">
        <w:t xml:space="preserve">, и посочи, че досега не съществува консенсус по отношение на общите политики за развитие за лицензионни възнаграждения FRAND като стандарти и </w:t>
      </w:r>
      <w:r w:rsidR="009765F2" w:rsidRPr="009765F2">
        <w:t>OSS</w:t>
      </w:r>
      <w:r w:rsidR="009765F2" w:rsidRPr="00503C9F">
        <w:t xml:space="preserve"> </w:t>
      </w:r>
      <w:r w:rsidRPr="00503C9F">
        <w:t>изпълнението. Съществува голям интерес сред участниците как да определят рамкови условия, за да се гарантира, че двата подхода могат да работят заедно в някои случаи, и да признаят невъзм</w:t>
      </w:r>
      <w:r w:rsidR="009765F2">
        <w:t>ожността в другите случаи. ETSI</w:t>
      </w:r>
      <w:r w:rsidRPr="00503C9F">
        <w:t xml:space="preserve"> посочи </w:t>
      </w:r>
      <w:proofErr w:type="spellStart"/>
      <w:r w:rsidR="009765F2" w:rsidRPr="009765F2">
        <w:t>Open</w:t>
      </w:r>
      <w:proofErr w:type="spellEnd"/>
      <w:r w:rsidR="009765F2" w:rsidRPr="009765F2">
        <w:t xml:space="preserve"> Air </w:t>
      </w:r>
      <w:proofErr w:type="spellStart"/>
      <w:r w:rsidR="009765F2" w:rsidRPr="009765F2">
        <w:t>Interface</w:t>
      </w:r>
      <w:proofErr w:type="spellEnd"/>
      <w:r w:rsidR="009765F2">
        <w:t xml:space="preserve"> като</w:t>
      </w:r>
      <w:r w:rsidRPr="00503C9F">
        <w:t xml:space="preserve"> пример за </w:t>
      </w:r>
      <w:r w:rsidR="009765F2" w:rsidRPr="009765F2">
        <w:t>OSS</w:t>
      </w:r>
      <w:r w:rsidR="009765F2" w:rsidRPr="00503C9F">
        <w:t xml:space="preserve"> </w:t>
      </w:r>
      <w:r w:rsidR="009765F2">
        <w:t>проект</w:t>
      </w:r>
      <w:r w:rsidRPr="00503C9F">
        <w:t>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>При електронното издаване на фактури съществуват по стандартизация артефакти за валидиране, които са в процес на обсъждане с Европейския комитет по стандартизация (CEN), които могат да се разглеждат извън обичайните дейности по стандартизация. Типични</w:t>
      </w:r>
      <w:r w:rsidR="009765F2">
        <w:t>ят</w:t>
      </w:r>
      <w:r w:rsidRPr="00503C9F">
        <w:t xml:space="preserve"> </w:t>
      </w:r>
      <w:r w:rsidR="009765F2" w:rsidRPr="00503C9F">
        <w:t>цикъл</w:t>
      </w:r>
      <w:r w:rsidR="009765F2" w:rsidRPr="00503C9F">
        <w:t xml:space="preserve"> </w:t>
      </w:r>
      <w:r w:rsidR="009765F2">
        <w:t xml:space="preserve">по </w:t>
      </w:r>
      <w:r w:rsidRPr="00503C9F">
        <w:t>стандартизация е прекалено дълъг срок за OS проекти, напр. за отстраняване на бъговете.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 xml:space="preserve">По отношение на </w:t>
      </w:r>
      <w:r w:rsidR="009765F2" w:rsidRPr="009765F2">
        <w:t>IP</w:t>
      </w:r>
      <w:r w:rsidRPr="00503C9F">
        <w:t>, проблем</w:t>
      </w:r>
      <w:r w:rsidR="009765F2">
        <w:t>ът</w:t>
      </w:r>
      <w:r w:rsidRPr="00503C9F">
        <w:t xml:space="preserve"> </w:t>
      </w:r>
      <w:r w:rsidR="009765F2" w:rsidRPr="00503C9F">
        <w:t>не е</w:t>
      </w:r>
      <w:r w:rsidR="009765F2" w:rsidRPr="00503C9F">
        <w:t xml:space="preserve"> </w:t>
      </w:r>
      <w:r w:rsidR="009765F2" w:rsidRPr="00503C9F">
        <w:t>само</w:t>
      </w:r>
      <w:r w:rsidR="009765F2" w:rsidRPr="00503C9F">
        <w:t xml:space="preserve"> </w:t>
      </w:r>
      <w:r w:rsidRPr="00503C9F">
        <w:t xml:space="preserve">между стандартизацията и софтуера с отворен код, но дори между </w:t>
      </w:r>
      <w:proofErr w:type="spellStart"/>
      <w:r w:rsidR="009765F2">
        <w:t>стандартизационните</w:t>
      </w:r>
      <w:proofErr w:type="spellEnd"/>
      <w:r w:rsidR="009765F2">
        <w:t xml:space="preserve"> организации</w:t>
      </w:r>
      <w:r w:rsidRPr="00503C9F">
        <w:t xml:space="preserve"> с различни </w:t>
      </w:r>
      <w:r w:rsidR="009765F2" w:rsidRPr="009765F2">
        <w:t>IPR</w:t>
      </w:r>
      <w:r w:rsidR="009765F2" w:rsidRPr="00503C9F">
        <w:t xml:space="preserve"> </w:t>
      </w:r>
      <w:r w:rsidRPr="00503C9F">
        <w:t>политики.</w:t>
      </w:r>
    </w:p>
    <w:p w:rsidR="002D3482" w:rsidRDefault="00C3161B">
      <w:pPr>
        <w:pStyle w:val="ListParagraph"/>
        <w:ind w:left="0"/>
        <w:jc w:val="both"/>
      </w:pPr>
      <w:r w:rsidRPr="00503C9F">
        <w:t xml:space="preserve">CEN/CENELEC </w:t>
      </w:r>
      <w:r w:rsidR="009765F2">
        <w:t>имат</w:t>
      </w:r>
      <w:r w:rsidRPr="00503C9F">
        <w:t xml:space="preserve"> специален проект за </w:t>
      </w:r>
      <w:r w:rsidR="009765F2">
        <w:t>отворен код</w:t>
      </w:r>
      <w:r w:rsidRPr="00503C9F">
        <w:t xml:space="preserve"> и са готови да допринесат за инициативата.</w:t>
      </w:r>
    </w:p>
    <w:p w:rsidR="009E0F55" w:rsidRPr="002D3482" w:rsidRDefault="002D3482">
      <w:pPr>
        <w:pStyle w:val="ListParagraph"/>
        <w:ind w:left="0"/>
        <w:jc w:val="both"/>
      </w:pPr>
      <w:hyperlink r:id="rId8" w:history="1">
        <w:r w:rsidRPr="002D3482">
          <w:rPr>
            <w:rStyle w:val="Hyperlink"/>
            <w:color w:val="auto"/>
            <w:u w:val="none"/>
          </w:rPr>
          <w:t>IETF винаги е свързана с отворения код и отворените стандарти, и признава, че е това е необходимост. IETF също се занимава с този въпрос и предлагат да се направят някои промени, за да се повиши неговата привлекателност. Проектът codestand например кръстосва връзките между спецификацията и кодирането. Друг инструмент е hackatons клетка на следващия (15-и и 16-и юли) Допълнителна информация има в IETF уебсайта (вж. http://codestand.ietf.org и http://ietf.org/hackathon.).</w:t>
        </w:r>
      </w:hyperlink>
    </w:p>
    <w:p w:rsidR="009E0F55" w:rsidRPr="00503C9F" w:rsidRDefault="00C3161B">
      <w:pPr>
        <w:pStyle w:val="ListParagraph"/>
        <w:ind w:left="0"/>
        <w:jc w:val="both"/>
      </w:pPr>
      <w:r w:rsidRPr="00503C9F">
        <w:t xml:space="preserve">ECMA 25 години </w:t>
      </w:r>
      <w:r w:rsidR="002D3482">
        <w:t>са</w:t>
      </w:r>
      <w:r w:rsidRPr="00503C9F">
        <w:t xml:space="preserve"> разработ</w:t>
      </w:r>
      <w:r w:rsidR="002D3482">
        <w:t>ва</w:t>
      </w:r>
      <w:r w:rsidRPr="00503C9F">
        <w:t>л</w:t>
      </w:r>
      <w:r w:rsidR="002D3482">
        <w:t>и</w:t>
      </w:r>
      <w:r w:rsidRPr="00503C9F">
        <w:t xml:space="preserve"> </w:t>
      </w:r>
      <w:r w:rsidR="002D3482">
        <w:t xml:space="preserve">безплатни </w:t>
      </w:r>
      <w:r w:rsidRPr="00503C9F">
        <w:t xml:space="preserve">стандарти. Независимо </w:t>
      </w:r>
      <w:r w:rsidR="002D3482">
        <w:t xml:space="preserve">от това е имало </w:t>
      </w:r>
      <w:r w:rsidR="002D3482">
        <w:t>група</w:t>
      </w:r>
      <w:r w:rsidR="002D3482">
        <w:t xml:space="preserve"> за отворен код, прилагаща </w:t>
      </w:r>
      <w:r w:rsidRPr="00503C9F">
        <w:t>JPEG спецификации. С изключение на аритметично кодиране</w:t>
      </w:r>
      <w:r w:rsidR="002D3482">
        <w:t>, което не е</w:t>
      </w:r>
      <w:r w:rsidRPr="00503C9F">
        <w:t xml:space="preserve"> отворен</w:t>
      </w:r>
      <w:r w:rsidR="002D3482">
        <w:t xml:space="preserve"> код</w:t>
      </w:r>
      <w:r w:rsidRPr="00503C9F">
        <w:t xml:space="preserve">, но </w:t>
      </w:r>
      <w:r w:rsidR="002D3482">
        <w:t xml:space="preserve">е на </w:t>
      </w:r>
      <w:r w:rsidRPr="00503C9F">
        <w:t>база FRAND. Описание</w:t>
      </w:r>
      <w:r w:rsidR="002D3482">
        <w:t>то</w:t>
      </w:r>
      <w:r w:rsidRPr="00503C9F">
        <w:t xml:space="preserve"> на връзката между отворения код и стандартизацията беше отлично.</w:t>
      </w:r>
    </w:p>
    <w:p w:rsidR="002D3482" w:rsidRDefault="00C3161B">
      <w:pPr>
        <w:pStyle w:val="ListParagraph"/>
        <w:ind w:left="0"/>
        <w:jc w:val="both"/>
      </w:pPr>
      <w:r w:rsidRPr="00503C9F">
        <w:t xml:space="preserve">Беше отбелязано, че </w:t>
      </w:r>
      <w:r w:rsidR="002D3482" w:rsidRPr="00503C9F">
        <w:t>има ограничения</w:t>
      </w:r>
      <w:r w:rsidR="002D3482" w:rsidRPr="00503C9F">
        <w:t xml:space="preserve"> </w:t>
      </w:r>
      <w:r w:rsidR="002D3482">
        <w:t xml:space="preserve">за </w:t>
      </w:r>
      <w:r w:rsidRPr="00503C9F">
        <w:t xml:space="preserve">системите с отворен код, които се движат по лицензионно възнаграждение въз основа на патентите. Някои общности за софтуер с отворен код са се </w:t>
      </w:r>
      <w:proofErr w:type="spellStart"/>
      <w:r w:rsidR="002D3482">
        <w:t>самонарекли</w:t>
      </w:r>
      <w:proofErr w:type="spellEnd"/>
      <w:r w:rsidR="002D3482">
        <w:t xml:space="preserve"> стандартизационни организации</w:t>
      </w:r>
      <w:r w:rsidRPr="00503C9F">
        <w:t xml:space="preserve"> </w:t>
      </w:r>
      <w:r w:rsidR="002D3482" w:rsidRPr="002D3482">
        <w:t>(</w:t>
      </w:r>
      <w:r w:rsidR="002D3482">
        <w:t>въпреки че код</w:t>
      </w:r>
      <w:r w:rsidR="002D3482" w:rsidRPr="00503C9F">
        <w:t xml:space="preserve"> </w:t>
      </w:r>
      <w:r w:rsidR="002D3482">
        <w:t>не е стандарт</w:t>
      </w:r>
      <w:r w:rsidR="002D3482" w:rsidRPr="00503C9F">
        <w:t xml:space="preserve">, но някои, </w:t>
      </w:r>
      <w:r w:rsidR="002D3482">
        <w:t xml:space="preserve">инструменти, като </w:t>
      </w:r>
      <w:proofErr w:type="spellStart"/>
      <w:r w:rsidR="002D3482" w:rsidRPr="002D3482">
        <w:t>APIs</w:t>
      </w:r>
      <w:proofErr w:type="spellEnd"/>
      <w:r w:rsidR="002D3482">
        <w:t>,</w:t>
      </w:r>
      <w:r w:rsidR="002D3482" w:rsidRPr="00503C9F">
        <w:t xml:space="preserve"> заедно с документация</w:t>
      </w:r>
      <w:r w:rsidR="002D3482">
        <w:t>та</w:t>
      </w:r>
      <w:r w:rsidR="002D3482" w:rsidRPr="00503C9F">
        <w:t xml:space="preserve"> относно начина, по който да се използва</w:t>
      </w:r>
      <w:r w:rsidR="002D3482">
        <w:t>т, имат</w:t>
      </w:r>
      <w:r w:rsidR="002D3482" w:rsidRPr="00503C9F">
        <w:t xml:space="preserve"> подобен ефект</w:t>
      </w:r>
      <w:r w:rsidR="002D3482" w:rsidRPr="002D3482">
        <w:t>).</w:t>
      </w:r>
    </w:p>
    <w:p w:rsidR="009E0F55" w:rsidRPr="00503C9F" w:rsidRDefault="00C3161B">
      <w:pPr>
        <w:pStyle w:val="ListParagraph"/>
        <w:ind w:left="0"/>
        <w:jc w:val="both"/>
      </w:pPr>
      <w:r w:rsidRPr="00503C9F">
        <w:t xml:space="preserve">W3C посочиха, че имат дългогодишен опит с </w:t>
      </w:r>
      <w:r w:rsidR="002D3482">
        <w:t>отворения код</w:t>
      </w:r>
      <w:r w:rsidRPr="00503C9F">
        <w:t xml:space="preserve"> с отлични умения за извършване на изпълнението, включително в областта на търговията. </w:t>
      </w:r>
      <w:r w:rsidR="002D3482">
        <w:t>О</w:t>
      </w:r>
      <w:r w:rsidR="002D3482" w:rsidRPr="00503C9F">
        <w:t>бщността</w:t>
      </w:r>
      <w:r w:rsidR="002D3482" w:rsidRPr="00503C9F">
        <w:t xml:space="preserve"> </w:t>
      </w:r>
      <w:r w:rsidR="002D3482">
        <w:t>на отворения код</w:t>
      </w:r>
      <w:r w:rsidRPr="00503C9F">
        <w:t xml:space="preserve"> </w:t>
      </w:r>
      <w:r w:rsidR="002D3482" w:rsidRPr="00503C9F">
        <w:t>принуд</w:t>
      </w:r>
      <w:r w:rsidR="002D3482">
        <w:t>и</w:t>
      </w:r>
      <w:r w:rsidR="002D3482" w:rsidRPr="00503C9F">
        <w:t xml:space="preserve"> </w:t>
      </w:r>
      <w:r w:rsidRPr="00503C9F">
        <w:t xml:space="preserve">W3C да приеме политика без авторски и лицензионни възнаграждения. </w:t>
      </w:r>
      <w:proofErr w:type="spellStart"/>
      <w:r w:rsidRPr="00503C9F">
        <w:t>Pseudo-code</w:t>
      </w:r>
      <w:proofErr w:type="spellEnd"/>
      <w:r w:rsidRPr="00503C9F">
        <w:t xml:space="preserve"> е нов инструмент за осъществяване на дадена спецификация. Спецификацията може да бъде адаптиран в кодекс за лицензиране, но продължават да съществуват проблеми. Този опит ще даде някои насоки за бъдещата работа.</w:t>
      </w:r>
    </w:p>
    <w:p w:rsidR="009E0F55" w:rsidRPr="00503C9F" w:rsidRDefault="00C3161B" w:rsidP="00F23694">
      <w:pPr>
        <w:pStyle w:val="ListParagraph"/>
        <w:ind w:left="0"/>
        <w:jc w:val="both"/>
      </w:pPr>
      <w:r w:rsidRPr="00503C9F">
        <w:t>OFE подкрепиха идеята, че органите по стандартизация следва да въвеждат иновации по няколко начина, включително разработването на инструменти за разработване на стандарти, например.</w:t>
      </w:r>
    </w:p>
    <w:p w:rsidR="009E0F55" w:rsidRPr="00503C9F" w:rsidRDefault="00C3161B">
      <w:pPr>
        <w:pStyle w:val="ListParagraph"/>
        <w:ind w:left="0"/>
        <w:jc w:val="both"/>
      </w:pPr>
      <w:proofErr w:type="spellStart"/>
      <w:r w:rsidRPr="00503C9F">
        <w:rPr>
          <w:i/>
        </w:rPr>
        <w:t>Emilio</w:t>
      </w:r>
      <w:proofErr w:type="spellEnd"/>
      <w:r w:rsidRPr="00503C9F">
        <w:rPr>
          <w:i/>
        </w:rPr>
        <w:t xml:space="preserve"> </w:t>
      </w:r>
      <w:proofErr w:type="spellStart"/>
      <w:r w:rsidRPr="00503C9F">
        <w:rPr>
          <w:i/>
        </w:rPr>
        <w:t>Dávila</w:t>
      </w:r>
      <w:proofErr w:type="spellEnd"/>
      <w:r w:rsidRPr="00503C9F">
        <w:rPr>
          <w:i/>
        </w:rPr>
        <w:t xml:space="preserve"> съобщи, че има много инициативи за:</w:t>
      </w:r>
      <w:r w:rsidRPr="00503C9F">
        <w:t xml:space="preserve"> </w:t>
      </w:r>
      <w:r w:rsidR="00F23694" w:rsidRPr="00F23694">
        <w:t>ETSI OSS, NGMN – ITU-T</w:t>
      </w:r>
      <w:r w:rsidRPr="00503C9F">
        <w:t xml:space="preserve"> — семинар, </w:t>
      </w:r>
      <w:r w:rsidR="00F23694">
        <w:t>наскоро публикувания доклад</w:t>
      </w:r>
      <w:r w:rsidRPr="00503C9F">
        <w:t xml:space="preserve"> </w:t>
      </w:r>
      <w:r w:rsidR="00F23694">
        <w:t>за отворения код и облачната стандартизация</w:t>
      </w:r>
      <w:r w:rsidRPr="00503C9F">
        <w:t xml:space="preserve">, </w:t>
      </w:r>
      <w:r w:rsidR="00F23694">
        <w:t xml:space="preserve">проучване, </w:t>
      </w:r>
      <w:r w:rsidRPr="00503C9F">
        <w:t xml:space="preserve">което ще бъде проведено от </w:t>
      </w:r>
      <w:r w:rsidR="00F23694" w:rsidRPr="00F23694">
        <w:t>JRC</w:t>
      </w:r>
      <w:r w:rsidR="00F23694" w:rsidRPr="00503C9F">
        <w:t xml:space="preserve"> </w:t>
      </w:r>
      <w:r w:rsidRPr="00503C9F">
        <w:t>с предстоящия семинар. Беше предложено да се направи преглед на тези дей</w:t>
      </w:r>
      <w:r w:rsidR="00F23694">
        <w:t>ности; последващо обсъждане би</w:t>
      </w:r>
      <w:r w:rsidRPr="00503C9F">
        <w:t xml:space="preserve"> могл</w:t>
      </w:r>
      <w:r w:rsidR="00F23694">
        <w:t>о</w:t>
      </w:r>
      <w:r w:rsidRPr="00503C9F">
        <w:t xml:space="preserve"> да се провед</w:t>
      </w:r>
      <w:r w:rsidR="00F23694">
        <w:t>е</w:t>
      </w:r>
      <w:r w:rsidRPr="00503C9F">
        <w:t xml:space="preserve"> </w:t>
      </w:r>
      <w:r w:rsidR="00F23694">
        <w:t>най-рано на</w:t>
      </w:r>
      <w:r w:rsidRPr="00503C9F">
        <w:t xml:space="preserve"> заседанието през декември.</w:t>
      </w:r>
    </w:p>
    <w:p w:rsidR="009E0F55" w:rsidRPr="00503C9F" w:rsidRDefault="00F23694">
      <w:pPr>
        <w:pStyle w:val="Heading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Въпроси на </w:t>
      </w:r>
      <w:r w:rsidR="00C3161B" w:rsidRPr="00503C9F">
        <w:rPr>
          <w:sz w:val="26"/>
          <w:szCs w:val="26"/>
          <w:u w:val="single"/>
        </w:rPr>
        <w:t xml:space="preserve">Комисията </w:t>
      </w:r>
    </w:p>
    <w:p w:rsidR="009E0F55" w:rsidRPr="00503C9F" w:rsidRDefault="00C3161B">
      <w:pPr>
        <w:pStyle w:val="Heading3"/>
        <w:numPr>
          <w:ilvl w:val="0"/>
          <w:numId w:val="2"/>
        </w:numPr>
        <w:ind w:left="993"/>
      </w:pPr>
      <w:r w:rsidRPr="00503C9F">
        <w:t xml:space="preserve">Информация относно конференцията на 28 &amp; 2017 </w:t>
      </w:r>
      <w:proofErr w:type="spellStart"/>
      <w:r w:rsidRPr="00503C9F">
        <w:t>NetFuture</w:t>
      </w:r>
      <w:proofErr w:type="spellEnd"/>
      <w:r w:rsidRPr="00503C9F">
        <w:t xml:space="preserve"> 29 юни 2017 г.</w:t>
      </w:r>
    </w:p>
    <w:p w:rsidR="009E0F55" w:rsidRPr="00503C9F" w:rsidRDefault="00C3161B">
      <w:pPr>
        <w:pStyle w:val="Text3"/>
        <w:ind w:left="0"/>
      </w:pPr>
      <w:r w:rsidRPr="00503C9F">
        <w:rPr>
          <w:i/>
        </w:rPr>
        <w:t xml:space="preserve">Председателят съобщи за </w:t>
      </w:r>
      <w:r w:rsidR="00F23694" w:rsidRPr="00503C9F">
        <w:rPr>
          <w:i/>
        </w:rPr>
        <w:t>конференция</w:t>
      </w:r>
      <w:r w:rsidR="00F23694" w:rsidRPr="00503C9F">
        <w:rPr>
          <w:i/>
        </w:rPr>
        <w:t xml:space="preserve"> </w:t>
      </w:r>
      <w:proofErr w:type="spellStart"/>
      <w:r w:rsidRPr="00503C9F">
        <w:rPr>
          <w:i/>
        </w:rPr>
        <w:t>NetFuture</w:t>
      </w:r>
      <w:proofErr w:type="spellEnd"/>
      <w:r w:rsidRPr="00503C9F">
        <w:rPr>
          <w:i/>
        </w:rPr>
        <w:t xml:space="preserve"> 2017</w:t>
      </w:r>
      <w:r w:rsidR="00F23694">
        <w:rPr>
          <w:i/>
        </w:rPr>
        <w:t>, насрочена за</w:t>
      </w:r>
      <w:r w:rsidR="00F23694" w:rsidRPr="00503C9F">
        <w:rPr>
          <w:i/>
        </w:rPr>
        <w:t xml:space="preserve"> 28</w:t>
      </w:r>
      <w:r w:rsidR="00F23694">
        <w:rPr>
          <w:i/>
        </w:rPr>
        <w:t xml:space="preserve"> и </w:t>
      </w:r>
      <w:r w:rsidRPr="00503C9F">
        <w:rPr>
          <w:i/>
        </w:rPr>
        <w:t>29 юни в Брюксел.</w:t>
      </w:r>
      <w:r w:rsidRPr="00503C9F">
        <w:t xml:space="preserve"> </w:t>
      </w:r>
      <w:r w:rsidR="00F23694">
        <w:t>К</w:t>
      </w:r>
      <w:r w:rsidR="00F23694" w:rsidRPr="00503C9F">
        <w:t>онференция</w:t>
      </w:r>
      <w:r w:rsidR="00F23694">
        <w:t>та</w:t>
      </w:r>
      <w:r w:rsidR="00F23694" w:rsidRPr="00503C9F">
        <w:t xml:space="preserve"> </w:t>
      </w:r>
      <w:proofErr w:type="spellStart"/>
      <w:r w:rsidR="00F23694" w:rsidRPr="00F23694">
        <w:t>NetFuture</w:t>
      </w:r>
      <w:proofErr w:type="spellEnd"/>
      <w:r w:rsidR="00F23694" w:rsidRPr="00F23694">
        <w:t xml:space="preserve"> 2017</w:t>
      </w:r>
      <w:r w:rsidR="00F23694">
        <w:t xml:space="preserve"> </w:t>
      </w:r>
      <w:r w:rsidRPr="00503C9F">
        <w:t xml:space="preserve">е конференция, която </w:t>
      </w:r>
      <w:r w:rsidR="00F23694">
        <w:t>ще пренесе</w:t>
      </w:r>
      <w:r w:rsidRPr="00503C9F">
        <w:t xml:space="preserve"> участници</w:t>
      </w:r>
      <w:r w:rsidR="00F23694">
        <w:t>те 10 години напред с</w:t>
      </w:r>
      <w:r w:rsidRPr="00503C9F">
        <w:t xml:space="preserve"> тема „Интернет, програма в областта на икономиката и обществото през</w:t>
      </w:r>
      <w:r w:rsidR="00F23694">
        <w:t xml:space="preserve"> 2027 г.“</w:t>
      </w:r>
      <w:r w:rsidRPr="00503C9F">
        <w:t xml:space="preserve"> Очаква </w:t>
      </w:r>
      <w:r w:rsidR="00F23694">
        <w:t xml:space="preserve">се </w:t>
      </w:r>
      <w:r w:rsidRPr="00503C9F">
        <w:t>участниците ще бъдат основно в сферата на ИКТ или субекти от публичния сектор, частни организации или от академичните среди, така и от младите и общност</w:t>
      </w:r>
      <w:r w:rsidR="00F23694">
        <w:t>ите на креативните иноватори</w:t>
      </w:r>
      <w:r w:rsidRPr="00503C9F">
        <w:t>.</w:t>
      </w:r>
    </w:p>
    <w:p w:rsidR="009E0F55" w:rsidRPr="00503C9F" w:rsidRDefault="00F23694">
      <w:pPr>
        <w:pStyle w:val="Text3"/>
        <w:ind w:left="0"/>
      </w:pPr>
      <w:r>
        <w:t>За з</w:t>
      </w:r>
      <w:r w:rsidR="00C3161B" w:rsidRPr="00503C9F">
        <w:t xml:space="preserve">аинтересованите страни </w:t>
      </w:r>
      <w:r>
        <w:t xml:space="preserve">ще </w:t>
      </w:r>
      <w:r w:rsidR="00C3161B" w:rsidRPr="00503C9F">
        <w:t>се проведе специална сесия за изчисления в облак</w:t>
      </w:r>
      <w:r>
        <w:t>,</w:t>
      </w:r>
      <w:r w:rsidR="00C3161B" w:rsidRPr="00503C9F">
        <w:t xml:space="preserve"> планиран</w:t>
      </w:r>
      <w:r>
        <w:t>а</w:t>
      </w:r>
      <w:r w:rsidR="00C3161B" w:rsidRPr="00503C9F">
        <w:t xml:space="preserve"> за 29 юни, </w:t>
      </w:r>
      <w:r>
        <w:t>като</w:t>
      </w:r>
      <w:r w:rsidR="00C3161B" w:rsidRPr="00503C9F">
        <w:t xml:space="preserve"> </w:t>
      </w:r>
      <w:r w:rsidRPr="00503C9F">
        <w:t xml:space="preserve">има </w:t>
      </w:r>
      <w:r>
        <w:t>план за</w:t>
      </w:r>
      <w:r w:rsidRPr="00503C9F">
        <w:t xml:space="preserve"> </w:t>
      </w:r>
      <w:r>
        <w:t>създаване на</w:t>
      </w:r>
      <w:r w:rsidRPr="00503C9F">
        <w:t xml:space="preserve"> </w:t>
      </w:r>
      <w:r w:rsidR="00C3161B" w:rsidRPr="00503C9F">
        <w:t>облачна платформа на заинтересованите страни. Среща</w:t>
      </w:r>
      <w:r>
        <w:t>та</w:t>
      </w:r>
      <w:r w:rsidR="00C3161B" w:rsidRPr="00503C9F">
        <w:t xml:space="preserve"> на заинтересованите страни за компютърни услуги в облак ще бъде първа стъпка по пътя към постоянна ангажираност на широк и разнообразен набор от заинтересовани страни от различни сектори. Основната цел на този ангажимент е да се разбере как да </w:t>
      </w:r>
      <w:r w:rsidR="00CA0B10">
        <w:t>се надгражда</w:t>
      </w:r>
      <w:r w:rsidR="00C3161B" w:rsidRPr="00503C9F">
        <w:t xml:space="preserve"> върху най-добрите предишни резултати, разм</w:t>
      </w:r>
      <w:r w:rsidR="00CA0B10">
        <w:t>я</w:t>
      </w:r>
      <w:r w:rsidR="00C3161B" w:rsidRPr="00503C9F">
        <w:t>н</w:t>
      </w:r>
      <w:r w:rsidR="00CA0B10">
        <w:t>а на</w:t>
      </w:r>
      <w:r w:rsidR="00C3161B" w:rsidRPr="00503C9F">
        <w:t xml:space="preserve"> мнения и установ</w:t>
      </w:r>
      <w:r w:rsidR="00CA0B10">
        <w:t>яване,</w:t>
      </w:r>
      <w:r w:rsidR="00C3161B" w:rsidRPr="00503C9F">
        <w:t xml:space="preserve"> заедно със заинтересованите страни, </w:t>
      </w:r>
      <w:r w:rsidR="00CA0B10">
        <w:t xml:space="preserve">на </w:t>
      </w:r>
      <w:r w:rsidR="00C3161B" w:rsidRPr="00503C9F">
        <w:t xml:space="preserve">начини </w:t>
      </w:r>
      <w:r w:rsidR="00CA0B10">
        <w:t>как те да</w:t>
      </w:r>
      <w:r w:rsidR="00C3161B" w:rsidRPr="00503C9F">
        <w:t xml:space="preserve"> допринес</w:t>
      </w:r>
      <w:r w:rsidR="00CA0B10">
        <w:t>ат</w:t>
      </w:r>
      <w:r w:rsidR="00C3161B" w:rsidRPr="00503C9F">
        <w:t xml:space="preserve"> за развитието на европейска екосистема „в облак“ и да допринес</w:t>
      </w:r>
      <w:r w:rsidR="00CA0B10">
        <w:t>ат</w:t>
      </w:r>
      <w:r w:rsidR="00C3161B" w:rsidRPr="00503C9F">
        <w:t xml:space="preserve"> за изготвянето на политики на ЕС в контекста на цифровия единен пазар. Заинтересованите членове могат да се свържат с </w:t>
      </w:r>
      <w:proofErr w:type="spellStart"/>
      <w:r w:rsidR="00C3161B" w:rsidRPr="00503C9F">
        <w:t>Thomas</w:t>
      </w:r>
      <w:proofErr w:type="spellEnd"/>
      <w:r w:rsidR="00C3161B" w:rsidRPr="00503C9F">
        <w:t xml:space="preserve"> </w:t>
      </w:r>
      <w:proofErr w:type="spellStart"/>
      <w:r w:rsidR="00C3161B" w:rsidRPr="00503C9F">
        <w:t>Reibe</w:t>
      </w:r>
      <w:proofErr w:type="spellEnd"/>
      <w:r w:rsidR="00C3161B" w:rsidRPr="00503C9F">
        <w:t xml:space="preserve"> (ГД „Съобщителни мрежи, съдържание и технологии“).</w:t>
      </w:r>
    </w:p>
    <w:p w:rsidR="009E0F55" w:rsidRPr="00503C9F" w:rsidRDefault="00C3161B">
      <w:pPr>
        <w:pStyle w:val="Text3"/>
        <w:ind w:left="0"/>
      </w:pPr>
      <w:r w:rsidRPr="00503C9F">
        <w:t xml:space="preserve">Той също така благодари на г-н </w:t>
      </w:r>
      <w:r w:rsidR="00CA0B10">
        <w:rPr>
          <w:lang w:val="en-US"/>
        </w:rPr>
        <w:t>Olaf</w:t>
      </w:r>
      <w:r w:rsidRPr="00503C9F">
        <w:t xml:space="preserve"> </w:t>
      </w:r>
      <w:proofErr w:type="spellStart"/>
      <w:r w:rsidRPr="00503C9F">
        <w:t>Kolkmann</w:t>
      </w:r>
      <w:proofErr w:type="spellEnd"/>
      <w:r w:rsidR="00CA0B10">
        <w:t>, на когото това е последно</w:t>
      </w:r>
      <w:r w:rsidRPr="00503C9F">
        <w:t xml:space="preserve"> </w:t>
      </w:r>
      <w:r w:rsidR="00CA0B10" w:rsidRPr="00503C9F">
        <w:t>участие</w:t>
      </w:r>
      <w:r w:rsidR="00CA0B10">
        <w:t xml:space="preserve"> в </w:t>
      </w:r>
      <w:r w:rsidRPr="00503C9F">
        <w:t xml:space="preserve">заседание. </w:t>
      </w:r>
      <w:r w:rsidR="00CA0B10">
        <w:rPr>
          <w:lang w:val="en-US"/>
        </w:rPr>
        <w:t>Olaf</w:t>
      </w:r>
      <w:r w:rsidR="00CA0B10" w:rsidRPr="00503C9F">
        <w:t xml:space="preserve"> </w:t>
      </w:r>
      <w:r w:rsidRPr="00503C9F">
        <w:t>изрази своята признателност за участието му в рамките на платформата.</w:t>
      </w:r>
    </w:p>
    <w:p w:rsidR="009E0F55" w:rsidRPr="00503C9F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503C9F">
        <w:t>Следващи заседания</w:t>
      </w:r>
    </w:p>
    <w:p w:rsidR="009E0F55" w:rsidRPr="00503C9F" w:rsidRDefault="00C3161B">
      <w:pPr>
        <w:spacing w:after="0"/>
        <w:rPr>
          <w:vertAlign w:val="superscript"/>
        </w:rPr>
      </w:pPr>
      <w:r w:rsidRPr="00503C9F">
        <w:t>21-в</w:t>
      </w:r>
      <w:r w:rsidR="00F23694">
        <w:t>о</w:t>
      </w:r>
      <w:r w:rsidRPr="00503C9F">
        <w:t xml:space="preserve"> </w:t>
      </w:r>
      <w:r w:rsidR="00F23694">
        <w:t>заседание</w:t>
      </w:r>
      <w:r w:rsidRPr="00503C9F">
        <w:t>- 28 септември 2017 г.</w:t>
      </w:r>
    </w:p>
    <w:p w:rsidR="009E0F55" w:rsidRPr="00503C9F" w:rsidRDefault="00C3161B">
      <w:pPr>
        <w:spacing w:after="0"/>
        <w:rPr>
          <w:vertAlign w:val="superscript"/>
        </w:rPr>
      </w:pPr>
      <w:r w:rsidRPr="00503C9F">
        <w:t xml:space="preserve">22-ро </w:t>
      </w:r>
      <w:r w:rsidR="00F23694">
        <w:t>заседание</w:t>
      </w:r>
      <w:r w:rsidRPr="00503C9F">
        <w:t>- 7 декември 2017 г.</w:t>
      </w:r>
    </w:p>
    <w:p w:rsidR="009E0F55" w:rsidRPr="00503C9F" w:rsidRDefault="00C3161B">
      <w:pPr>
        <w:pStyle w:val="Heading1"/>
        <w:numPr>
          <w:ilvl w:val="0"/>
          <w:numId w:val="0"/>
        </w:numPr>
        <w:pBdr>
          <w:bottom w:val="single" w:sz="4" w:space="1" w:color="00000A"/>
        </w:pBdr>
        <w:ind w:left="480" w:hanging="480"/>
      </w:pPr>
      <w:r w:rsidRPr="00503C9F">
        <w:t>Други въпроси</w:t>
      </w:r>
    </w:p>
    <w:p w:rsidR="009E0F55" w:rsidRPr="00503C9F" w:rsidRDefault="00C3161B">
      <w:pPr>
        <w:pStyle w:val="Text3"/>
        <w:ind w:left="0"/>
      </w:pPr>
      <w:r w:rsidRPr="00503C9F">
        <w:t xml:space="preserve">Председателят съобщи, че отсега нататък ще </w:t>
      </w:r>
      <w:r w:rsidR="00F23694">
        <w:t xml:space="preserve">се </w:t>
      </w:r>
      <w:r w:rsidRPr="00503C9F">
        <w:t>кач</w:t>
      </w:r>
      <w:r w:rsidR="00F23694">
        <w:t>ват</w:t>
      </w:r>
      <w:r w:rsidRPr="00503C9F">
        <w:t xml:space="preserve"> </w:t>
      </w:r>
      <w:r w:rsidR="00F23694">
        <w:t>документи</w:t>
      </w:r>
      <w:r w:rsidRPr="00503C9F">
        <w:t xml:space="preserve"> преди заседанието — дори </w:t>
      </w:r>
      <w:r w:rsidR="00F23694">
        <w:t xml:space="preserve">и да е </w:t>
      </w:r>
      <w:r w:rsidRPr="00503C9F">
        <w:t xml:space="preserve">ден </w:t>
      </w:r>
      <w:r w:rsidR="00F23694">
        <w:t xml:space="preserve">преди </w:t>
      </w:r>
      <w:r w:rsidRPr="00503C9F">
        <w:t>- с цел улесняване на работата</w:t>
      </w:r>
    </w:p>
    <w:p w:rsidR="009E0F55" w:rsidRPr="00503C9F" w:rsidRDefault="00C3161B">
      <w:pPr>
        <w:pStyle w:val="Heading1"/>
        <w:numPr>
          <w:ilvl w:val="0"/>
          <w:numId w:val="0"/>
        </w:numPr>
        <w:ind w:left="480" w:hanging="480"/>
      </w:pPr>
      <w:r w:rsidRPr="00503C9F">
        <w:t>4. заключения/Следващи стъпки</w:t>
      </w:r>
    </w:p>
    <w:p w:rsidR="009E0F55" w:rsidRPr="00503C9F" w:rsidRDefault="00C3161B">
      <w:pPr>
        <w:spacing w:after="0"/>
        <w:rPr>
          <w:b/>
          <w:szCs w:val="24"/>
          <w:u w:val="single"/>
          <w:lang w:eastAsia="en-GB"/>
        </w:rPr>
      </w:pPr>
      <w:r w:rsidRPr="00503C9F">
        <w:rPr>
          <w:szCs w:val="24"/>
          <w:lang w:eastAsia="en-GB"/>
        </w:rPr>
        <w:t>По време на заседанието си на 13 юни 2017 г. следните действия бяха одобрени:</w:t>
      </w:r>
    </w:p>
    <w:p w:rsidR="009E0F55" w:rsidRPr="00503C9F" w:rsidRDefault="009E0F55">
      <w:pPr>
        <w:tabs>
          <w:tab w:val="left" w:pos="3131"/>
        </w:tabs>
        <w:spacing w:after="0"/>
        <w:rPr>
          <w:szCs w:val="24"/>
          <w:lang w:eastAsia="en-GB"/>
        </w:rPr>
      </w:pPr>
    </w:p>
    <w:tbl>
      <w:tblPr>
        <w:tblW w:w="9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16"/>
        <w:gridCol w:w="5246"/>
        <w:gridCol w:w="1701"/>
        <w:gridCol w:w="1702"/>
      </w:tblGrid>
      <w:tr w:rsidR="009E0F55" w:rsidRPr="00503C9F">
        <w:trPr>
          <w:tblHeader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b/>
                <w:sz w:val="22"/>
                <w:szCs w:val="22"/>
                <w:lang w:eastAsia="en-GB"/>
              </w:rPr>
            </w:pPr>
            <w:proofErr w:type="spellStart"/>
            <w:r w:rsidRPr="00CA0B10">
              <w:rPr>
                <w:b/>
                <w:sz w:val="22"/>
                <w:szCs w:val="22"/>
                <w:lang w:eastAsia="en-GB"/>
              </w:rPr>
              <w:t>No</w:t>
            </w:r>
            <w:proofErr w:type="spellEnd"/>
            <w:r w:rsidR="00C3161B" w:rsidRPr="00503C9F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 w:rsidRPr="00503C9F">
              <w:rPr>
                <w:b/>
                <w:szCs w:val="24"/>
                <w:lang w:eastAsia="en-GB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 w:rsidRPr="00503C9F">
              <w:rPr>
                <w:b/>
                <w:szCs w:val="24"/>
                <w:lang w:eastAsia="en-GB"/>
              </w:rPr>
              <w:t>Отговорност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 xml:space="preserve">Срок </w:t>
            </w:r>
          </w:p>
        </w:tc>
      </w:tr>
      <w:tr w:rsidR="009E0F55" w:rsidRPr="00503C9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t>20.1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 w:rsidP="00CA0B10">
            <w:pPr>
              <w:pStyle w:val="Text3"/>
              <w:ind w:left="0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C3161B" w:rsidRPr="00503C9F">
              <w:rPr>
                <w:szCs w:val="24"/>
              </w:rPr>
              <w:t>ленове</w:t>
            </w:r>
            <w:r>
              <w:rPr>
                <w:szCs w:val="24"/>
              </w:rPr>
              <w:t xml:space="preserve">те на </w:t>
            </w:r>
            <w:r w:rsidRPr="00CA0B10">
              <w:rPr>
                <w:szCs w:val="24"/>
              </w:rPr>
              <w:t>MSP</w:t>
            </w:r>
            <w:r w:rsidR="00C3161B" w:rsidRPr="00503C9F">
              <w:rPr>
                <w:szCs w:val="24"/>
              </w:rPr>
              <w:t xml:space="preserve"> да предоставят писмени отговори на въпросите на </w:t>
            </w:r>
            <w:r w:rsidRPr="00503C9F">
              <w:rPr>
                <w:szCs w:val="24"/>
              </w:rPr>
              <w:t>документ</w:t>
            </w:r>
            <w:r w:rsidRPr="00503C9F">
              <w:rPr>
                <w:szCs w:val="24"/>
              </w:rPr>
              <w:t xml:space="preserve"> </w:t>
            </w:r>
            <w:r w:rsidR="00C3161B" w:rsidRPr="00503C9F">
              <w:rPr>
                <w:szCs w:val="24"/>
              </w:rPr>
              <w:t>ИКТ/</w:t>
            </w:r>
            <w:r>
              <w:t xml:space="preserve"> </w:t>
            </w:r>
            <w:r w:rsidRPr="00CA0B10">
              <w:rPr>
                <w:szCs w:val="24"/>
              </w:rPr>
              <w:t>MSP</w:t>
            </w:r>
            <w:r w:rsidR="00C3161B" w:rsidRPr="00503C9F">
              <w:rPr>
                <w:szCs w:val="24"/>
              </w:rPr>
              <w:t xml:space="preserve"> </w:t>
            </w:r>
            <w:r>
              <w:rPr>
                <w:szCs w:val="24"/>
              </w:rPr>
              <w:t>2017</w:t>
            </w:r>
            <w:r w:rsidR="00C3161B" w:rsidRPr="00503C9F">
              <w:rPr>
                <w:szCs w:val="24"/>
              </w:rPr>
              <w:t xml:space="preserve"> 512 относно качеството на услугите и на опит (</w:t>
            </w:r>
            <w:proofErr w:type="spellStart"/>
            <w:r w:rsidR="00C3161B" w:rsidRPr="00503C9F">
              <w:rPr>
                <w:szCs w:val="24"/>
              </w:rPr>
              <w:t>QoS</w:t>
            </w:r>
            <w:proofErr w:type="spellEnd"/>
            <w:r w:rsidR="00C3161B" w:rsidRPr="00503C9F">
              <w:rPr>
                <w:szCs w:val="24"/>
              </w:rPr>
              <w:t>/</w:t>
            </w:r>
            <w:proofErr w:type="spellStart"/>
            <w:r w:rsidR="00C3161B" w:rsidRPr="00503C9F">
              <w:rPr>
                <w:szCs w:val="24"/>
              </w:rPr>
              <w:t>QoE</w:t>
            </w:r>
            <w:proofErr w:type="spellEnd"/>
            <w:r w:rsidR="00C3161B" w:rsidRPr="00503C9F">
              <w:rPr>
                <w:szCs w:val="24"/>
              </w:rPr>
              <w:t>) за широколентови и други услуги за подпомагане на изграждането на цифрови</w:t>
            </w:r>
            <w:r>
              <w:rPr>
                <w:szCs w:val="24"/>
              </w:rPr>
              <w:t>я единен паза</w:t>
            </w:r>
            <w:bookmarkStart w:id="0" w:name="_GoBack"/>
            <w:bookmarkEnd w:id="0"/>
            <w:r>
              <w:rPr>
                <w:szCs w:val="24"/>
              </w:rPr>
              <w:t>р</w:t>
            </w:r>
            <w:r w:rsidR="00C3161B" w:rsidRPr="00503C9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CA0B10">
              <w:rPr>
                <w:szCs w:val="24"/>
                <w:lang w:eastAsia="en-GB"/>
              </w:rPr>
              <w:t>MSP</w:t>
            </w:r>
            <w:r w:rsidR="00C3161B" w:rsidRPr="00503C9F">
              <w:rPr>
                <w:szCs w:val="24"/>
                <w:lang w:eastAsia="en-GB"/>
              </w:rPr>
              <w:t xml:space="preserve"> членове</w:t>
            </w:r>
            <w:r>
              <w:rPr>
                <w:szCs w:val="24"/>
                <w:lang w:eastAsia="en-GB"/>
              </w:rPr>
              <w:t>те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30 юни 2017 г.</w:t>
            </w:r>
          </w:p>
        </w:tc>
      </w:tr>
      <w:tr w:rsidR="009E0F55" w:rsidRPr="00503C9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t>20.2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 w:rsidP="00CA0B10">
            <w:pPr>
              <w:pStyle w:val="Text3"/>
              <w:ind w:left="0"/>
              <w:rPr>
                <w:i/>
              </w:rPr>
            </w:pPr>
            <w:r>
              <w:t>Ч</w:t>
            </w:r>
            <w:r w:rsidR="00C3161B" w:rsidRPr="00503C9F">
              <w:t xml:space="preserve">леновете </w:t>
            </w:r>
            <w:r>
              <w:t xml:space="preserve">на </w:t>
            </w:r>
            <w:r w:rsidRPr="00CA0B10">
              <w:t xml:space="preserve">MSP </w:t>
            </w:r>
            <w:r w:rsidR="00C3161B" w:rsidRPr="00503C9F">
              <w:t xml:space="preserve">да изпратят информация относно статута на приоритетите за стандартизацията в областта на ИКТ </w:t>
            </w:r>
            <w:r>
              <w:t xml:space="preserve">и </w:t>
            </w:r>
            <w:r w:rsidR="00C3161B" w:rsidRPr="00503C9F">
              <w:t>действия</w:t>
            </w:r>
            <w:r>
              <w:t>та</w:t>
            </w:r>
            <w:r w:rsidR="00C3161B" w:rsidRPr="00503C9F">
              <w:t xml:space="preserve"> за под</w:t>
            </w:r>
            <w:r>
              <w:t>крепа</w:t>
            </w:r>
            <w:r w:rsidR="00C3161B" w:rsidRPr="00503C9F">
              <w:t xml:space="preserve"> </w:t>
            </w:r>
            <w:r>
              <w:t>(</w:t>
            </w:r>
            <w:r w:rsidR="00C3161B" w:rsidRPr="00503C9F">
              <w:t>документ ИКТ/</w:t>
            </w:r>
            <w:r>
              <w:t xml:space="preserve"> </w:t>
            </w:r>
            <w:r w:rsidRPr="00CA0B10">
              <w:t>MSP</w:t>
            </w:r>
            <w:r w:rsidR="00C3161B" w:rsidRPr="00503C9F">
              <w:t xml:space="preserve"> </w:t>
            </w:r>
            <w:r w:rsidR="00C3161B" w:rsidRPr="00503C9F">
              <w:lastRenderedPageBreak/>
              <w:t>(2017) 454v4 актуализирани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CA0B10">
              <w:rPr>
                <w:szCs w:val="24"/>
                <w:lang w:eastAsia="en-GB"/>
              </w:rPr>
              <w:lastRenderedPageBreak/>
              <w:t>MSP</w:t>
            </w:r>
            <w:r w:rsidR="00C3161B" w:rsidRPr="00503C9F">
              <w:rPr>
                <w:szCs w:val="24"/>
                <w:lang w:eastAsia="en-GB"/>
              </w:rPr>
              <w:t xml:space="preserve"> членове</w:t>
            </w:r>
            <w:r>
              <w:rPr>
                <w:szCs w:val="24"/>
                <w:lang w:eastAsia="en-GB"/>
              </w:rPr>
              <w:t>те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Във всеки един момент</w:t>
            </w:r>
          </w:p>
        </w:tc>
      </w:tr>
      <w:tr w:rsidR="009E0F55" w:rsidRPr="00503C9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lastRenderedPageBreak/>
              <w:t>20.3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 w:rsidP="00CA0B10">
            <w:pPr>
              <w:pStyle w:val="Text3"/>
              <w:ind w:left="0"/>
              <w:rPr>
                <w:szCs w:val="24"/>
                <w:lang w:eastAsia="en-GB"/>
              </w:rPr>
            </w:pPr>
            <w:r w:rsidRPr="00CA0B10">
              <w:rPr>
                <w:szCs w:val="24"/>
                <w:lang w:eastAsia="en-GB"/>
              </w:rPr>
              <w:t>MSP</w:t>
            </w:r>
            <w:r w:rsidR="00C3161B" w:rsidRPr="00503C9F">
              <w:rPr>
                <w:szCs w:val="24"/>
                <w:lang w:eastAsia="en-GB"/>
              </w:rPr>
              <w:t xml:space="preserve"> членове</w:t>
            </w:r>
            <w:r>
              <w:rPr>
                <w:szCs w:val="24"/>
                <w:lang w:eastAsia="en-GB"/>
              </w:rPr>
              <w:t>те</w:t>
            </w:r>
            <w:r w:rsidR="00C3161B" w:rsidRPr="00503C9F">
              <w:rPr>
                <w:szCs w:val="24"/>
                <w:lang w:eastAsia="en-GB"/>
              </w:rPr>
              <w:t xml:space="preserve"> да участват в обществената консултация относно финансовите технологии (FinTech): ед</w:t>
            </w:r>
            <w:r>
              <w:rPr>
                <w:szCs w:val="24"/>
                <w:lang w:eastAsia="en-GB"/>
              </w:rPr>
              <w:t>ин</w:t>
            </w:r>
            <w:r w:rsidR="00C3161B" w:rsidRPr="00503C9F">
              <w:rPr>
                <w:szCs w:val="24"/>
                <w:lang w:eastAsia="en-GB"/>
              </w:rPr>
              <w:t xml:space="preserve"> по-конкурентоспособ</w:t>
            </w:r>
            <w:r>
              <w:rPr>
                <w:szCs w:val="24"/>
                <w:lang w:eastAsia="en-GB"/>
              </w:rPr>
              <w:t>ен</w:t>
            </w:r>
            <w:r w:rsidR="00C3161B" w:rsidRPr="00503C9F">
              <w:rPr>
                <w:szCs w:val="24"/>
                <w:lang w:eastAsia="en-GB"/>
              </w:rPr>
              <w:t xml:space="preserve"> и иноватив</w:t>
            </w:r>
            <w:r>
              <w:rPr>
                <w:szCs w:val="24"/>
                <w:lang w:eastAsia="en-GB"/>
              </w:rPr>
              <w:t>ен европейски</w:t>
            </w:r>
            <w:r w:rsidR="00C3161B" w:rsidRPr="00503C9F">
              <w:rPr>
                <w:szCs w:val="24"/>
                <w:lang w:eastAsia="en-GB"/>
              </w:rPr>
              <w:t xml:space="preserve"> финансов сектор в https://ec.europa.eu/info/consultations/public-consultation-fintech-more-competitive-and-innovative-european-financial-sector_en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CA0B10">
              <w:rPr>
                <w:szCs w:val="24"/>
                <w:lang w:eastAsia="en-GB"/>
              </w:rPr>
              <w:t>MSP</w:t>
            </w:r>
            <w:r w:rsidR="00C3161B" w:rsidRPr="00503C9F">
              <w:rPr>
                <w:szCs w:val="24"/>
                <w:lang w:eastAsia="en-GB"/>
              </w:rPr>
              <w:t xml:space="preserve"> членове</w:t>
            </w: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15 юни 2017 г.</w:t>
            </w: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  <w:p w:rsidR="009E0F55" w:rsidRPr="00503C9F" w:rsidRDefault="009E0F55">
            <w:pPr>
              <w:spacing w:after="0"/>
              <w:jc w:val="left"/>
              <w:rPr>
                <w:szCs w:val="24"/>
                <w:lang w:eastAsia="en-GB"/>
              </w:rPr>
            </w:pPr>
          </w:p>
        </w:tc>
      </w:tr>
      <w:tr w:rsidR="009E0F55" w:rsidRPr="00503C9F">
        <w:trPr>
          <w:trHeight w:val="66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t>20.4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 w:rsidP="00CA0B10">
            <w:pPr>
              <w:spacing w:after="0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ECSO</w:t>
            </w:r>
            <w:r w:rsidRPr="00503C9F">
              <w:rPr>
                <w:szCs w:val="24"/>
                <w:lang w:eastAsia="en-GB"/>
              </w:rPr>
              <w:t xml:space="preserve"> </w:t>
            </w:r>
            <w:r>
              <w:rPr>
                <w:szCs w:val="24"/>
                <w:lang w:eastAsia="en-GB"/>
              </w:rPr>
              <w:t>д</w:t>
            </w:r>
            <w:r w:rsidR="00C3161B" w:rsidRPr="00503C9F">
              <w:rPr>
                <w:szCs w:val="24"/>
                <w:lang w:eastAsia="en-GB"/>
              </w:rPr>
              <w:t xml:space="preserve">а предоставят на секретариата </w:t>
            </w:r>
            <w:r>
              <w:rPr>
                <w:szCs w:val="24"/>
                <w:lang w:eastAsia="en-GB"/>
              </w:rPr>
              <w:t xml:space="preserve">на </w:t>
            </w:r>
            <w:r w:rsidRPr="00CA0B10">
              <w:rPr>
                <w:szCs w:val="24"/>
                <w:lang w:eastAsia="en-GB"/>
              </w:rPr>
              <w:t>MSP</w:t>
            </w:r>
            <w:r w:rsidRPr="00503C9F">
              <w:rPr>
                <w:szCs w:val="24"/>
                <w:lang w:eastAsia="en-GB"/>
              </w:rPr>
              <w:t xml:space="preserve"> </w:t>
            </w:r>
            <w:r>
              <w:rPr>
                <w:szCs w:val="24"/>
                <w:lang w:eastAsia="en-GB"/>
              </w:rPr>
              <w:t>С</w:t>
            </w:r>
            <w:r w:rsidR="00C3161B" w:rsidRPr="00503C9F">
              <w:rPr>
                <w:szCs w:val="24"/>
                <w:lang w:eastAsia="en-GB"/>
              </w:rPr>
              <w:t xml:space="preserve">писъка със съществуващите изисквания, стандарти и органи (SOG-IS) за </w:t>
            </w:r>
            <w:proofErr w:type="spellStart"/>
            <w:r w:rsidR="00C3161B" w:rsidRPr="00503C9F">
              <w:rPr>
                <w:szCs w:val="24"/>
                <w:lang w:eastAsia="en-GB"/>
              </w:rPr>
              <w:t>киберсигурността</w:t>
            </w:r>
            <w:proofErr w:type="spellEnd"/>
            <w:r w:rsidR="00C3161B" w:rsidRPr="00503C9F">
              <w:rPr>
                <w:szCs w:val="24"/>
                <w:lang w:eastAsia="en-GB"/>
              </w:rPr>
              <w:t xml:space="preserve"> и схеми за сертифициране на за разпространяване до членовете за </w:t>
            </w:r>
            <w:r w:rsidRPr="00CA0B10">
              <w:rPr>
                <w:szCs w:val="24"/>
                <w:lang w:eastAsia="en-GB"/>
              </w:rPr>
              <w:t>MSP</w:t>
            </w:r>
            <w:r w:rsidR="00C3161B" w:rsidRPr="00503C9F">
              <w:rPr>
                <w:szCs w:val="24"/>
                <w:lang w:eastAsia="en-GB"/>
              </w:rPr>
              <w:t>, с оглед да получ</w:t>
            </w:r>
            <w:r>
              <w:rPr>
                <w:szCs w:val="24"/>
                <w:lang w:eastAsia="en-GB"/>
              </w:rPr>
              <w:t>ат</w:t>
            </w:r>
            <w:r w:rsidR="00C3161B" w:rsidRPr="00503C9F">
              <w:rPr>
                <w:szCs w:val="24"/>
                <w:lang w:eastAsia="en-GB"/>
              </w:rPr>
              <w:t xml:space="preserve"> информация.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ECSO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 w:rsidP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 xml:space="preserve">Преди </w:t>
            </w:r>
            <w:r w:rsidR="00CA0B10" w:rsidRPr="00503C9F">
              <w:rPr>
                <w:szCs w:val="24"/>
                <w:lang w:eastAsia="en-GB"/>
              </w:rPr>
              <w:t>следващ</w:t>
            </w:r>
            <w:r w:rsidR="00CA0B10">
              <w:rPr>
                <w:szCs w:val="24"/>
                <w:lang w:eastAsia="en-GB"/>
              </w:rPr>
              <w:t>ото заседание на</w:t>
            </w:r>
            <w:r w:rsidR="00CA0B10" w:rsidRPr="00503C9F">
              <w:rPr>
                <w:szCs w:val="24"/>
                <w:lang w:eastAsia="en-GB"/>
              </w:rPr>
              <w:t xml:space="preserve"> </w:t>
            </w:r>
            <w:r w:rsidR="00CA0B10" w:rsidRPr="00CA0B10">
              <w:rPr>
                <w:szCs w:val="24"/>
                <w:lang w:eastAsia="en-GB"/>
              </w:rPr>
              <w:t>MSP</w:t>
            </w:r>
            <w:r w:rsidR="00CA0B10" w:rsidRPr="00503C9F">
              <w:rPr>
                <w:szCs w:val="24"/>
                <w:lang w:eastAsia="en-GB"/>
              </w:rPr>
              <w:t xml:space="preserve"> </w:t>
            </w:r>
          </w:p>
        </w:tc>
      </w:tr>
      <w:tr w:rsidR="009E0F55" w:rsidRPr="00503C9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t>20.5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 w:rsidP="00CA0B10">
            <w:r w:rsidRPr="00CA0B10">
              <w:t>MSP</w:t>
            </w:r>
            <w:r w:rsidR="00C3161B" w:rsidRPr="00503C9F">
              <w:t xml:space="preserve"> членовете да изпратят конкретни </w:t>
            </w:r>
            <w:r>
              <w:t>бележки и приноси към</w:t>
            </w:r>
            <w:r w:rsidR="00C3161B" w:rsidRPr="00503C9F">
              <w:t xml:space="preserve"> ECSO </w:t>
            </w:r>
            <w:r>
              <w:t>чрез</w:t>
            </w:r>
            <w:r w:rsidR="00C3161B" w:rsidRPr="00503C9F">
              <w:t xml:space="preserve"> </w:t>
            </w:r>
            <w:r w:rsidRPr="00503C9F">
              <w:t>секретариат</w:t>
            </w:r>
            <w:r>
              <w:t>а на</w:t>
            </w:r>
            <w:r w:rsidRPr="00CA0B10">
              <w:t xml:space="preserve"> MSP</w:t>
            </w:r>
            <w:r w:rsidR="00C3161B" w:rsidRPr="00503C9F">
              <w:t xml:space="preserve">, който ще </w:t>
            </w:r>
            <w:r>
              <w:t xml:space="preserve">ги </w:t>
            </w:r>
            <w:r w:rsidR="00C3161B" w:rsidRPr="00503C9F">
              <w:t xml:space="preserve">събира и да </w:t>
            </w:r>
            <w:r>
              <w:t xml:space="preserve">се </w:t>
            </w:r>
            <w:r w:rsidR="00C3161B" w:rsidRPr="00503C9F">
              <w:t xml:space="preserve">предложат </w:t>
            </w:r>
            <w:r>
              <w:t xml:space="preserve">на </w:t>
            </w:r>
            <w:r w:rsidR="00C3161B" w:rsidRPr="00503C9F">
              <w:t>ECSO за по-нататъшни обсъждания.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CA0B10">
              <w:rPr>
                <w:szCs w:val="24"/>
                <w:lang w:eastAsia="en-GB"/>
              </w:rPr>
              <w:t>MSP</w:t>
            </w:r>
            <w:r w:rsidR="00C3161B" w:rsidRPr="00503C9F">
              <w:rPr>
                <w:szCs w:val="24"/>
                <w:lang w:eastAsia="en-GB"/>
              </w:rPr>
              <w:t xml:space="preserve"> членове</w:t>
            </w:r>
          </w:p>
          <w:p w:rsidR="009E0F55" w:rsidRPr="00503C9F" w:rsidRDefault="009E0F55">
            <w:pPr>
              <w:spacing w:after="0"/>
              <w:jc w:val="left"/>
              <w:rPr>
                <w:color w:val="C6D9F1"/>
                <w:szCs w:val="24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 w:rsidP="00CA0B10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Преди следващ</w:t>
            </w:r>
            <w:r w:rsidR="00CA0B10">
              <w:rPr>
                <w:szCs w:val="24"/>
                <w:lang w:eastAsia="en-GB"/>
              </w:rPr>
              <w:t>ото заседание на</w:t>
            </w:r>
            <w:r w:rsidRPr="00503C9F">
              <w:rPr>
                <w:szCs w:val="24"/>
                <w:lang w:eastAsia="en-GB"/>
              </w:rPr>
              <w:t xml:space="preserve"> </w:t>
            </w:r>
            <w:r w:rsidR="00CA0B10" w:rsidRPr="00CA0B10">
              <w:rPr>
                <w:szCs w:val="24"/>
                <w:lang w:eastAsia="en-GB"/>
              </w:rPr>
              <w:t>MSP</w:t>
            </w:r>
          </w:p>
        </w:tc>
      </w:tr>
      <w:tr w:rsidR="009E0F55" w:rsidRPr="00503C9F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 w:val="22"/>
                <w:szCs w:val="22"/>
                <w:lang w:eastAsia="en-GB"/>
              </w:rPr>
            </w:pPr>
            <w:r w:rsidRPr="00503C9F">
              <w:rPr>
                <w:sz w:val="22"/>
                <w:szCs w:val="22"/>
                <w:lang w:eastAsia="en-GB"/>
              </w:rPr>
              <w:t>20.6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pStyle w:val="ListParagraph"/>
              <w:ind w:left="0"/>
            </w:pPr>
            <w:r w:rsidRPr="00503C9F">
              <w:t xml:space="preserve">Представят </w:t>
            </w:r>
            <w:r w:rsidR="00CA0B10">
              <w:t xml:space="preserve">на </w:t>
            </w:r>
            <w:r w:rsidRPr="00503C9F">
              <w:t>OASIS техническа спецификация STIX и TAXII 2.0 за идентифициране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Нидерландия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0F55" w:rsidRPr="00503C9F" w:rsidRDefault="00C3161B">
            <w:pPr>
              <w:spacing w:after="0"/>
              <w:jc w:val="left"/>
              <w:rPr>
                <w:szCs w:val="24"/>
                <w:lang w:eastAsia="en-GB"/>
              </w:rPr>
            </w:pPr>
            <w:r w:rsidRPr="00503C9F">
              <w:rPr>
                <w:szCs w:val="24"/>
                <w:lang w:eastAsia="en-GB"/>
              </w:rPr>
              <w:t>14 август 2017 г.</w:t>
            </w:r>
          </w:p>
        </w:tc>
      </w:tr>
    </w:tbl>
    <w:p w:rsidR="009E0F55" w:rsidRPr="00503C9F" w:rsidRDefault="009E0F55">
      <w:pPr>
        <w:pStyle w:val="ListParagraph"/>
        <w:ind w:left="360"/>
        <w:rPr>
          <w:b/>
        </w:rPr>
      </w:pPr>
    </w:p>
    <w:p w:rsidR="009E0F55" w:rsidRPr="00503C9F" w:rsidRDefault="00C3161B">
      <w:pPr>
        <w:pStyle w:val="Heading1"/>
        <w:numPr>
          <w:ilvl w:val="0"/>
          <w:numId w:val="4"/>
        </w:numPr>
      </w:pPr>
      <w:r w:rsidRPr="00503C9F">
        <w:t>Списък на участниците</w:t>
      </w:r>
    </w:p>
    <w:p w:rsidR="009E0F55" w:rsidRPr="00503C9F" w:rsidRDefault="00F23694">
      <w:proofErr w:type="spellStart"/>
      <w:r w:rsidRPr="00F23694">
        <w:t>Abrahamse</w:t>
      </w:r>
      <w:proofErr w:type="spellEnd"/>
      <w:r w:rsidRPr="00F23694">
        <w:t xml:space="preserve"> </w:t>
      </w:r>
      <w:proofErr w:type="spellStart"/>
      <w:r w:rsidRPr="00F23694">
        <w:t>Marijke</w:t>
      </w:r>
      <w:proofErr w:type="spellEnd"/>
      <w:r w:rsidRPr="00F23694">
        <w:t xml:space="preserve">, </w:t>
      </w:r>
      <w:proofErr w:type="spellStart"/>
      <w:r w:rsidRPr="00F23694">
        <w:t>Amutio</w:t>
      </w:r>
      <w:proofErr w:type="spellEnd"/>
      <w:r w:rsidRPr="00F23694">
        <w:t xml:space="preserve"> </w:t>
      </w:r>
      <w:proofErr w:type="spellStart"/>
      <w:r w:rsidRPr="00F23694">
        <w:t>Miguel</w:t>
      </w:r>
      <w:proofErr w:type="spellEnd"/>
      <w:r w:rsidRPr="00F23694">
        <w:t xml:space="preserve">, </w:t>
      </w:r>
      <w:proofErr w:type="spellStart"/>
      <w:r w:rsidRPr="00F23694">
        <w:t>Arquevaux</w:t>
      </w:r>
      <w:proofErr w:type="spellEnd"/>
      <w:r w:rsidRPr="00F23694">
        <w:t xml:space="preserve"> </w:t>
      </w:r>
      <w:proofErr w:type="spellStart"/>
      <w:r w:rsidRPr="00F23694">
        <w:t>Remi</w:t>
      </w:r>
      <w:proofErr w:type="spellEnd"/>
      <w:r w:rsidRPr="00F23694">
        <w:t xml:space="preserve">, </w:t>
      </w:r>
      <w:proofErr w:type="spellStart"/>
      <w:r w:rsidRPr="00F23694">
        <w:t>Asserson</w:t>
      </w:r>
      <w:proofErr w:type="spellEnd"/>
      <w:r w:rsidRPr="00F23694">
        <w:t xml:space="preserve"> </w:t>
      </w:r>
      <w:proofErr w:type="spellStart"/>
      <w:r w:rsidRPr="00F23694">
        <w:t>Margrethe</w:t>
      </w:r>
      <w:proofErr w:type="spellEnd"/>
      <w:r w:rsidRPr="00F23694">
        <w:t xml:space="preserve">, </w:t>
      </w:r>
      <w:proofErr w:type="spellStart"/>
      <w:r w:rsidRPr="00F23694">
        <w:t>Barthel</w:t>
      </w:r>
      <w:proofErr w:type="spellEnd"/>
      <w:r w:rsidRPr="00F23694">
        <w:t xml:space="preserve"> </w:t>
      </w:r>
      <w:proofErr w:type="spellStart"/>
      <w:r w:rsidRPr="00F23694">
        <w:t>Henri</w:t>
      </w:r>
      <w:proofErr w:type="spellEnd"/>
      <w:r w:rsidRPr="00F23694">
        <w:t xml:space="preserve">, </w:t>
      </w:r>
      <w:proofErr w:type="spellStart"/>
      <w:r w:rsidRPr="00F23694">
        <w:t>Björkander</w:t>
      </w:r>
      <w:proofErr w:type="spellEnd"/>
      <w:r w:rsidRPr="00F23694">
        <w:t xml:space="preserve"> </w:t>
      </w:r>
      <w:proofErr w:type="spellStart"/>
      <w:r w:rsidRPr="00F23694">
        <w:t>Susanne</w:t>
      </w:r>
      <w:proofErr w:type="spellEnd"/>
      <w:r w:rsidRPr="00F23694">
        <w:t xml:space="preserve">, </w:t>
      </w:r>
      <w:proofErr w:type="spellStart"/>
      <w:r w:rsidRPr="00F23694">
        <w:t>Cabellos</w:t>
      </w:r>
      <w:proofErr w:type="spellEnd"/>
      <w:r w:rsidRPr="00F23694">
        <w:t xml:space="preserve"> Mario (</w:t>
      </w:r>
      <w:proofErr w:type="spellStart"/>
      <w:r w:rsidRPr="00F23694">
        <w:t>invited</w:t>
      </w:r>
      <w:proofErr w:type="spellEnd"/>
      <w:r w:rsidRPr="00F23694">
        <w:t xml:space="preserve"> </w:t>
      </w:r>
      <w:proofErr w:type="spellStart"/>
      <w:r w:rsidRPr="00F23694">
        <w:t>Everis</w:t>
      </w:r>
      <w:proofErr w:type="spellEnd"/>
      <w:r w:rsidRPr="00F23694">
        <w:t xml:space="preserve">), </w:t>
      </w:r>
      <w:proofErr w:type="spellStart"/>
      <w:r w:rsidRPr="00F23694">
        <w:t>Caccia</w:t>
      </w:r>
      <w:proofErr w:type="spellEnd"/>
      <w:r w:rsidRPr="00F23694">
        <w:t xml:space="preserve"> </w:t>
      </w:r>
      <w:proofErr w:type="spellStart"/>
      <w:r w:rsidRPr="00F23694">
        <w:t>Andrea</w:t>
      </w:r>
      <w:proofErr w:type="spellEnd"/>
      <w:r w:rsidRPr="00F23694">
        <w:t xml:space="preserve">, </w:t>
      </w:r>
      <w:proofErr w:type="spellStart"/>
      <w:r w:rsidRPr="00F23694">
        <w:t>Cascella</w:t>
      </w:r>
      <w:proofErr w:type="spellEnd"/>
      <w:r w:rsidRPr="00F23694">
        <w:t xml:space="preserve"> </w:t>
      </w:r>
      <w:proofErr w:type="spellStart"/>
      <w:r w:rsidRPr="00F23694">
        <w:t>Roberto</w:t>
      </w:r>
      <w:proofErr w:type="spellEnd"/>
      <w:r w:rsidRPr="00F23694">
        <w:t xml:space="preserve"> </w:t>
      </w:r>
      <w:proofErr w:type="spellStart"/>
      <w:r w:rsidRPr="00F23694">
        <w:t>Giocchino</w:t>
      </w:r>
      <w:proofErr w:type="spellEnd"/>
      <w:r w:rsidRPr="00F23694">
        <w:t xml:space="preserve"> (</w:t>
      </w:r>
      <w:proofErr w:type="spellStart"/>
      <w:r w:rsidRPr="00F23694">
        <w:t>invited</w:t>
      </w:r>
      <w:proofErr w:type="spellEnd"/>
      <w:r w:rsidRPr="00F23694">
        <w:t xml:space="preserve"> ECSO), </w:t>
      </w:r>
      <w:proofErr w:type="spellStart"/>
      <w:r w:rsidRPr="00F23694">
        <w:t>Chapman</w:t>
      </w:r>
      <w:proofErr w:type="spellEnd"/>
      <w:r w:rsidRPr="00F23694">
        <w:t xml:space="preserve"> Martin, </w:t>
      </w:r>
      <w:proofErr w:type="spellStart"/>
      <w:r w:rsidRPr="00F23694">
        <w:t>Craik</w:t>
      </w:r>
      <w:proofErr w:type="spellEnd"/>
      <w:r w:rsidRPr="00F23694">
        <w:t xml:space="preserve"> </w:t>
      </w:r>
      <w:proofErr w:type="spellStart"/>
      <w:r w:rsidRPr="00F23694">
        <w:t>Gavin</w:t>
      </w:r>
      <w:proofErr w:type="spellEnd"/>
      <w:r w:rsidRPr="00F23694">
        <w:t xml:space="preserve">, </w:t>
      </w:r>
      <w:proofErr w:type="spellStart"/>
      <w:r w:rsidRPr="00F23694">
        <w:t>Encarnação</w:t>
      </w:r>
      <w:proofErr w:type="spellEnd"/>
      <w:r w:rsidRPr="00F23694">
        <w:t xml:space="preserve"> </w:t>
      </w:r>
      <w:proofErr w:type="spellStart"/>
      <w:r w:rsidRPr="00F23694">
        <w:t>Nuno</w:t>
      </w:r>
      <w:proofErr w:type="spellEnd"/>
      <w:r w:rsidRPr="00F23694">
        <w:t xml:space="preserve">, Ford </w:t>
      </w:r>
      <w:proofErr w:type="spellStart"/>
      <w:r w:rsidRPr="00F23694">
        <w:t>Matthew</w:t>
      </w:r>
      <w:proofErr w:type="spellEnd"/>
      <w:r w:rsidRPr="00F23694">
        <w:t xml:space="preserve">, </w:t>
      </w:r>
      <w:proofErr w:type="spellStart"/>
      <w:r w:rsidRPr="00F23694">
        <w:t>Flament</w:t>
      </w:r>
      <w:proofErr w:type="spellEnd"/>
      <w:r w:rsidRPr="00F23694">
        <w:t xml:space="preserve"> </w:t>
      </w:r>
      <w:proofErr w:type="spellStart"/>
      <w:r w:rsidRPr="00F23694">
        <w:t>Maxime</w:t>
      </w:r>
      <w:proofErr w:type="spellEnd"/>
      <w:r w:rsidRPr="00F23694">
        <w:t xml:space="preserve">, </w:t>
      </w:r>
      <w:proofErr w:type="spellStart"/>
      <w:r w:rsidRPr="00F23694">
        <w:t>Forge</w:t>
      </w:r>
      <w:proofErr w:type="spellEnd"/>
      <w:r w:rsidRPr="00F23694">
        <w:t xml:space="preserve"> </w:t>
      </w:r>
      <w:proofErr w:type="spellStart"/>
      <w:r w:rsidRPr="00F23694">
        <w:t>Simon</w:t>
      </w:r>
      <w:proofErr w:type="spellEnd"/>
      <w:r w:rsidRPr="00F23694">
        <w:t xml:space="preserve"> (</w:t>
      </w:r>
      <w:proofErr w:type="spellStart"/>
      <w:r w:rsidRPr="00F23694">
        <w:t>invited</w:t>
      </w:r>
      <w:proofErr w:type="spellEnd"/>
      <w:r w:rsidRPr="00F23694">
        <w:t xml:space="preserve"> </w:t>
      </w:r>
      <w:proofErr w:type="spellStart"/>
      <w:r w:rsidRPr="00F23694">
        <w:t>Stiftelsen</w:t>
      </w:r>
      <w:proofErr w:type="spellEnd"/>
      <w:r w:rsidRPr="00F23694">
        <w:t xml:space="preserve"> IMIT), </w:t>
      </w:r>
      <w:proofErr w:type="spellStart"/>
      <w:r w:rsidRPr="00F23694">
        <w:t>Friedrich</w:t>
      </w:r>
      <w:proofErr w:type="spellEnd"/>
      <w:r w:rsidRPr="00F23694">
        <w:t xml:space="preserve"> </w:t>
      </w:r>
      <w:proofErr w:type="spellStart"/>
      <w:r w:rsidRPr="00F23694">
        <w:t>Jochen</w:t>
      </w:r>
      <w:proofErr w:type="spellEnd"/>
      <w:r w:rsidRPr="00F23694">
        <w:t xml:space="preserve">, </w:t>
      </w:r>
      <w:proofErr w:type="spellStart"/>
      <w:r w:rsidRPr="00F23694">
        <w:t>Hanssens</w:t>
      </w:r>
      <w:proofErr w:type="spellEnd"/>
      <w:r w:rsidRPr="00F23694">
        <w:t xml:space="preserve"> </w:t>
      </w:r>
      <w:proofErr w:type="spellStart"/>
      <w:r w:rsidRPr="00F23694">
        <w:t>Bart</w:t>
      </w:r>
      <w:proofErr w:type="spellEnd"/>
      <w:r w:rsidRPr="00F23694">
        <w:t xml:space="preserve">, </w:t>
      </w:r>
      <w:proofErr w:type="spellStart"/>
      <w:r w:rsidRPr="00F23694">
        <w:t>Hicks</w:t>
      </w:r>
      <w:proofErr w:type="spellEnd"/>
      <w:r w:rsidRPr="00F23694">
        <w:t xml:space="preserve"> </w:t>
      </w:r>
      <w:proofErr w:type="spellStart"/>
      <w:r w:rsidRPr="00F23694">
        <w:t>Simon</w:t>
      </w:r>
      <w:proofErr w:type="spellEnd"/>
      <w:r w:rsidRPr="00F23694">
        <w:t xml:space="preserve">, </w:t>
      </w:r>
      <w:proofErr w:type="spellStart"/>
      <w:r w:rsidRPr="00F23694">
        <w:t>Kaunistola</w:t>
      </w:r>
      <w:proofErr w:type="spellEnd"/>
      <w:r w:rsidRPr="00F23694">
        <w:t xml:space="preserve"> </w:t>
      </w:r>
      <w:proofErr w:type="spellStart"/>
      <w:r w:rsidRPr="00F23694">
        <w:t>Esa</w:t>
      </w:r>
      <w:proofErr w:type="spellEnd"/>
      <w:r w:rsidRPr="00F23694">
        <w:t xml:space="preserve">, </w:t>
      </w:r>
      <w:proofErr w:type="spellStart"/>
      <w:r w:rsidRPr="00F23694">
        <w:t>Ketchell</w:t>
      </w:r>
      <w:proofErr w:type="spellEnd"/>
      <w:r w:rsidRPr="00F23694">
        <w:t xml:space="preserve"> John, </w:t>
      </w:r>
      <w:proofErr w:type="spellStart"/>
      <w:r w:rsidRPr="00F23694">
        <w:t>Kohler</w:t>
      </w:r>
      <w:proofErr w:type="spellEnd"/>
      <w:r w:rsidRPr="00F23694">
        <w:t xml:space="preserve"> </w:t>
      </w:r>
      <w:proofErr w:type="spellStart"/>
      <w:r w:rsidRPr="00F23694">
        <w:t>Constant</w:t>
      </w:r>
      <w:proofErr w:type="spellEnd"/>
      <w:r w:rsidRPr="00F23694">
        <w:t xml:space="preserve">, </w:t>
      </w:r>
      <w:proofErr w:type="spellStart"/>
      <w:r w:rsidRPr="00F23694">
        <w:t>Kolkman</w:t>
      </w:r>
      <w:proofErr w:type="spellEnd"/>
      <w:r w:rsidRPr="00F23694">
        <w:t xml:space="preserve"> </w:t>
      </w:r>
      <w:proofErr w:type="spellStart"/>
      <w:r w:rsidRPr="00F23694">
        <w:t>Olaf</w:t>
      </w:r>
      <w:proofErr w:type="spellEnd"/>
      <w:r w:rsidRPr="00F23694">
        <w:t xml:space="preserve">, </w:t>
      </w:r>
      <w:proofErr w:type="spellStart"/>
      <w:r w:rsidRPr="00F23694">
        <w:t>Kuebler-Bork</w:t>
      </w:r>
      <w:proofErr w:type="spellEnd"/>
      <w:r w:rsidRPr="00F23694">
        <w:t xml:space="preserve"> </w:t>
      </w:r>
      <w:proofErr w:type="spellStart"/>
      <w:r w:rsidRPr="00F23694">
        <w:t>Annegret</w:t>
      </w:r>
      <w:proofErr w:type="spellEnd"/>
      <w:r w:rsidRPr="00F23694">
        <w:t xml:space="preserve">, </w:t>
      </w:r>
      <w:proofErr w:type="spellStart"/>
      <w:r w:rsidRPr="00F23694">
        <w:t>Law</w:t>
      </w:r>
      <w:proofErr w:type="spellEnd"/>
      <w:r w:rsidRPr="00F23694">
        <w:t xml:space="preserve"> </w:t>
      </w:r>
      <w:proofErr w:type="spellStart"/>
      <w:r w:rsidRPr="00F23694">
        <w:t>David</w:t>
      </w:r>
      <w:proofErr w:type="spellEnd"/>
      <w:r w:rsidRPr="00F23694">
        <w:t xml:space="preserve">, </w:t>
      </w:r>
      <w:proofErr w:type="spellStart"/>
      <w:r w:rsidRPr="00F23694">
        <w:t>Lindberg</w:t>
      </w:r>
      <w:proofErr w:type="spellEnd"/>
      <w:r w:rsidRPr="00F23694">
        <w:t xml:space="preserve"> </w:t>
      </w:r>
      <w:proofErr w:type="spellStart"/>
      <w:r w:rsidRPr="00F23694">
        <w:t>Anders</w:t>
      </w:r>
      <w:proofErr w:type="spellEnd"/>
      <w:r w:rsidRPr="00F23694">
        <w:t xml:space="preserve">, </w:t>
      </w:r>
      <w:proofErr w:type="spellStart"/>
      <w:r w:rsidRPr="00F23694">
        <w:t>Lovegrove</w:t>
      </w:r>
      <w:proofErr w:type="spellEnd"/>
      <w:r w:rsidRPr="00F23694">
        <w:t xml:space="preserve"> </w:t>
      </w:r>
      <w:proofErr w:type="spellStart"/>
      <w:r w:rsidRPr="00F23694">
        <w:t>James</w:t>
      </w:r>
      <w:proofErr w:type="spellEnd"/>
      <w:r w:rsidRPr="00F23694">
        <w:t xml:space="preserve">, </w:t>
      </w:r>
      <w:proofErr w:type="spellStart"/>
      <w:r w:rsidRPr="00F23694">
        <w:t>Ludwig</w:t>
      </w:r>
      <w:proofErr w:type="spellEnd"/>
      <w:r w:rsidRPr="00F23694">
        <w:t xml:space="preserve"> </w:t>
      </w:r>
      <w:proofErr w:type="spellStart"/>
      <w:r w:rsidRPr="00F23694">
        <w:t>Michel</w:t>
      </w:r>
      <w:proofErr w:type="spellEnd"/>
      <w:r w:rsidRPr="00F23694">
        <w:t xml:space="preserve">, </w:t>
      </w:r>
      <w:proofErr w:type="spellStart"/>
      <w:r w:rsidRPr="00F23694">
        <w:t>Madfors</w:t>
      </w:r>
      <w:proofErr w:type="spellEnd"/>
      <w:r w:rsidRPr="00F23694">
        <w:t xml:space="preserve"> </w:t>
      </w:r>
      <w:proofErr w:type="spellStart"/>
      <w:r w:rsidRPr="00F23694">
        <w:t>Magnus</w:t>
      </w:r>
      <w:proofErr w:type="spellEnd"/>
      <w:r w:rsidRPr="00F23694">
        <w:t xml:space="preserve">, </w:t>
      </w:r>
      <w:proofErr w:type="spellStart"/>
      <w:r w:rsidRPr="00F23694">
        <w:t>Maes</w:t>
      </w:r>
      <w:proofErr w:type="spellEnd"/>
      <w:r w:rsidRPr="00F23694">
        <w:t xml:space="preserve"> </w:t>
      </w:r>
      <w:proofErr w:type="spellStart"/>
      <w:r w:rsidRPr="00F23694">
        <w:t>geert</w:t>
      </w:r>
      <w:proofErr w:type="spellEnd"/>
      <w:r w:rsidRPr="00F23694">
        <w:t xml:space="preserve">, </w:t>
      </w:r>
      <w:proofErr w:type="spellStart"/>
      <w:r w:rsidRPr="00F23694">
        <w:t>Muto</w:t>
      </w:r>
      <w:proofErr w:type="spellEnd"/>
      <w:r w:rsidRPr="00F23694">
        <w:t xml:space="preserve"> </w:t>
      </w:r>
      <w:proofErr w:type="spellStart"/>
      <w:r w:rsidRPr="00F23694">
        <w:t>Sachiko</w:t>
      </w:r>
      <w:proofErr w:type="spellEnd"/>
      <w:r w:rsidRPr="00F23694">
        <w:t xml:space="preserve">, </w:t>
      </w:r>
      <w:proofErr w:type="spellStart"/>
      <w:r w:rsidRPr="00F23694">
        <w:t>Ojala</w:t>
      </w:r>
      <w:proofErr w:type="spellEnd"/>
      <w:r w:rsidRPr="00F23694">
        <w:t xml:space="preserve"> </w:t>
      </w:r>
      <w:proofErr w:type="spellStart"/>
      <w:r w:rsidRPr="00F23694">
        <w:t>Hannu</w:t>
      </w:r>
      <w:proofErr w:type="spellEnd"/>
      <w:r w:rsidRPr="00F23694">
        <w:t xml:space="preserve">, </w:t>
      </w:r>
      <w:proofErr w:type="spellStart"/>
      <w:r w:rsidRPr="00F23694">
        <w:t>Pantos</w:t>
      </w:r>
      <w:proofErr w:type="spellEnd"/>
      <w:r w:rsidRPr="00F23694">
        <w:t xml:space="preserve"> </w:t>
      </w:r>
      <w:proofErr w:type="spellStart"/>
      <w:r w:rsidRPr="00F23694">
        <w:t>Georgios</w:t>
      </w:r>
      <w:proofErr w:type="spellEnd"/>
      <w:r w:rsidRPr="00F23694">
        <w:t xml:space="preserve">, Pesheva Daniela, </w:t>
      </w:r>
      <w:proofErr w:type="spellStart"/>
      <w:r w:rsidRPr="00F23694">
        <w:t>Podgórska-Buompane</w:t>
      </w:r>
      <w:proofErr w:type="spellEnd"/>
      <w:r w:rsidRPr="00F23694">
        <w:t xml:space="preserve"> Anna, </w:t>
      </w:r>
      <w:proofErr w:type="spellStart"/>
      <w:r w:rsidRPr="00F23694">
        <w:t>Poggiali</w:t>
      </w:r>
      <w:proofErr w:type="spellEnd"/>
      <w:r w:rsidRPr="00F23694">
        <w:t xml:space="preserve"> </w:t>
      </w:r>
      <w:proofErr w:type="spellStart"/>
      <w:r w:rsidRPr="00F23694">
        <w:t>Francesca</w:t>
      </w:r>
      <w:proofErr w:type="spellEnd"/>
      <w:r w:rsidRPr="00F23694">
        <w:t xml:space="preserve">, </w:t>
      </w:r>
      <w:proofErr w:type="spellStart"/>
      <w:r w:rsidRPr="00F23694">
        <w:t>Porath</w:t>
      </w:r>
      <w:proofErr w:type="spellEnd"/>
      <w:r w:rsidRPr="00F23694">
        <w:t xml:space="preserve"> </w:t>
      </w:r>
      <w:proofErr w:type="spellStart"/>
      <w:r w:rsidRPr="00F23694">
        <w:t>Rebekka</w:t>
      </w:r>
      <w:proofErr w:type="spellEnd"/>
      <w:r w:rsidRPr="00F23694">
        <w:t xml:space="preserve">, </w:t>
      </w:r>
      <w:proofErr w:type="spellStart"/>
      <w:r w:rsidRPr="00F23694">
        <w:t>Rebuffi</w:t>
      </w:r>
      <w:proofErr w:type="spellEnd"/>
      <w:r w:rsidRPr="00F23694">
        <w:t xml:space="preserve"> </w:t>
      </w:r>
      <w:proofErr w:type="spellStart"/>
      <w:r w:rsidRPr="00F23694">
        <w:t>Luigi</w:t>
      </w:r>
      <w:proofErr w:type="spellEnd"/>
      <w:r w:rsidRPr="00F23694">
        <w:t xml:space="preserve"> (</w:t>
      </w:r>
      <w:proofErr w:type="spellStart"/>
      <w:r w:rsidRPr="00F23694">
        <w:t>invited</w:t>
      </w:r>
      <w:proofErr w:type="spellEnd"/>
      <w:r w:rsidRPr="00F23694">
        <w:t xml:space="preserve"> ECSO), </w:t>
      </w:r>
      <w:proofErr w:type="spellStart"/>
      <w:r w:rsidRPr="00F23694">
        <w:t>Kolkman</w:t>
      </w:r>
      <w:proofErr w:type="spellEnd"/>
      <w:r w:rsidRPr="00F23694">
        <w:t xml:space="preserve"> </w:t>
      </w:r>
      <w:proofErr w:type="spellStart"/>
      <w:r w:rsidRPr="00F23694">
        <w:t>Olaf</w:t>
      </w:r>
      <w:proofErr w:type="spellEnd"/>
      <w:r w:rsidRPr="00F23694">
        <w:t xml:space="preserve">, </w:t>
      </w:r>
      <w:proofErr w:type="spellStart"/>
      <w:r w:rsidRPr="00F23694">
        <w:t>Sebestyén</w:t>
      </w:r>
      <w:proofErr w:type="spellEnd"/>
      <w:r w:rsidRPr="00F23694">
        <w:t xml:space="preserve"> </w:t>
      </w:r>
      <w:proofErr w:type="spellStart"/>
      <w:r w:rsidRPr="00F23694">
        <w:t>István</w:t>
      </w:r>
      <w:proofErr w:type="spellEnd"/>
      <w:r w:rsidRPr="00F23694">
        <w:t xml:space="preserve">, </w:t>
      </w:r>
      <w:proofErr w:type="spellStart"/>
      <w:r w:rsidRPr="00F23694">
        <w:t>Skop</w:t>
      </w:r>
      <w:proofErr w:type="spellEnd"/>
      <w:r w:rsidRPr="00F23694">
        <w:t xml:space="preserve"> Miroslav, </w:t>
      </w:r>
      <w:proofErr w:type="spellStart"/>
      <w:r w:rsidRPr="00F23694">
        <w:t>Szilva</w:t>
      </w:r>
      <w:proofErr w:type="spellEnd"/>
      <w:r w:rsidRPr="00F23694">
        <w:t xml:space="preserve"> </w:t>
      </w:r>
      <w:proofErr w:type="spellStart"/>
      <w:r w:rsidRPr="00F23694">
        <w:t>Stefan</w:t>
      </w:r>
      <w:proofErr w:type="spellEnd"/>
      <w:r w:rsidRPr="00F23694">
        <w:t xml:space="preserve">,  </w:t>
      </w:r>
      <w:proofErr w:type="spellStart"/>
      <w:r w:rsidRPr="00F23694">
        <w:t>Terpager</w:t>
      </w:r>
      <w:proofErr w:type="spellEnd"/>
      <w:r w:rsidRPr="00F23694">
        <w:t xml:space="preserve"> </w:t>
      </w:r>
      <w:proofErr w:type="spellStart"/>
      <w:r w:rsidRPr="00F23694">
        <w:t>Rasmussen</w:t>
      </w:r>
      <w:proofErr w:type="spellEnd"/>
      <w:r w:rsidRPr="00F23694">
        <w:t xml:space="preserve"> </w:t>
      </w:r>
      <w:proofErr w:type="spellStart"/>
      <w:r w:rsidRPr="00F23694">
        <w:t>Pouline</w:t>
      </w:r>
      <w:proofErr w:type="spellEnd"/>
      <w:r w:rsidRPr="00F23694">
        <w:t xml:space="preserve">, </w:t>
      </w:r>
      <w:proofErr w:type="spellStart"/>
      <w:r w:rsidRPr="00F23694">
        <w:t>Toffaletti</w:t>
      </w:r>
      <w:proofErr w:type="spellEnd"/>
      <w:r w:rsidRPr="00F23694">
        <w:t xml:space="preserve"> </w:t>
      </w:r>
      <w:proofErr w:type="spellStart"/>
      <w:r w:rsidRPr="00F23694">
        <w:t>Sebastiano</w:t>
      </w:r>
      <w:proofErr w:type="spellEnd"/>
      <w:r w:rsidRPr="00F23694">
        <w:t xml:space="preserve">, </w:t>
      </w:r>
      <w:proofErr w:type="spellStart"/>
      <w:r w:rsidRPr="00F23694">
        <w:t>Tziapouras</w:t>
      </w:r>
      <w:proofErr w:type="spellEnd"/>
      <w:r w:rsidRPr="00F23694">
        <w:t xml:space="preserve"> </w:t>
      </w:r>
      <w:proofErr w:type="spellStart"/>
      <w:r w:rsidRPr="00F23694">
        <w:t>Marios</w:t>
      </w:r>
      <w:proofErr w:type="spellEnd"/>
      <w:r w:rsidRPr="00F23694">
        <w:t xml:space="preserve">, </w:t>
      </w:r>
      <w:proofErr w:type="spellStart"/>
      <w:r w:rsidRPr="00F23694">
        <w:t>Weiler</w:t>
      </w:r>
      <w:proofErr w:type="spellEnd"/>
      <w:r w:rsidRPr="00F23694">
        <w:t xml:space="preserve"> </w:t>
      </w:r>
      <w:proofErr w:type="spellStart"/>
      <w:r w:rsidRPr="00F23694">
        <w:t>Dirk</w:t>
      </w:r>
      <w:proofErr w:type="spellEnd"/>
      <w:r w:rsidRPr="00F23694">
        <w:t xml:space="preserve">, </w:t>
      </w:r>
      <w:proofErr w:type="spellStart"/>
      <w:r w:rsidRPr="00F23694">
        <w:t>Wenning</w:t>
      </w:r>
      <w:proofErr w:type="spellEnd"/>
      <w:r w:rsidRPr="00F23694">
        <w:t xml:space="preserve"> </w:t>
      </w:r>
      <w:proofErr w:type="spellStart"/>
      <w:r w:rsidRPr="00F23694">
        <w:t>Rigo</w:t>
      </w:r>
      <w:proofErr w:type="spellEnd"/>
      <w:r w:rsidRPr="00F23694">
        <w:t xml:space="preserve">, </w:t>
      </w:r>
      <w:proofErr w:type="spellStart"/>
      <w:r w:rsidRPr="00F23694">
        <w:t>Wirths</w:t>
      </w:r>
      <w:proofErr w:type="spellEnd"/>
      <w:r w:rsidRPr="00F23694">
        <w:t xml:space="preserve"> </w:t>
      </w:r>
      <w:proofErr w:type="spellStart"/>
      <w:r w:rsidRPr="00F23694">
        <w:t>Franzis</w:t>
      </w:r>
      <w:r>
        <w:t>ka</w:t>
      </w:r>
      <w:proofErr w:type="spellEnd"/>
      <w:r>
        <w:t xml:space="preserve">, </w:t>
      </w:r>
      <w:proofErr w:type="spellStart"/>
      <w:r>
        <w:t>Wurges</w:t>
      </w:r>
      <w:proofErr w:type="spellEnd"/>
      <w:r>
        <w:t xml:space="preserve"> </w:t>
      </w:r>
      <w:proofErr w:type="spellStart"/>
      <w:r>
        <w:t>Dominique</w:t>
      </w:r>
      <w:proofErr w:type="spellEnd"/>
      <w:r>
        <w:t xml:space="preserve">, </w:t>
      </w:r>
      <w:proofErr w:type="spellStart"/>
      <w:r>
        <w:t>Zorc</w:t>
      </w:r>
      <w:proofErr w:type="spellEnd"/>
      <w:r>
        <w:t xml:space="preserve"> </w:t>
      </w:r>
      <w:proofErr w:type="spellStart"/>
      <w:r>
        <w:t>Samo</w:t>
      </w:r>
      <w:proofErr w:type="spellEnd"/>
      <w:r w:rsidR="00C3161B" w:rsidRPr="00503C9F">
        <w:t>, служители на Европейската комисия.</w:t>
      </w:r>
    </w:p>
    <w:sectPr w:rsidR="009E0F55" w:rsidRPr="00503C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0" w:right="1133" w:bottom="1020" w:left="1587" w:header="601" w:footer="533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DF" w:rsidRDefault="009E0CDF">
      <w:pPr>
        <w:spacing w:after="0"/>
      </w:pPr>
      <w:r>
        <w:separator/>
      </w:r>
    </w:p>
  </w:endnote>
  <w:endnote w:type="continuationSeparator" w:id="0">
    <w:p w:rsidR="009E0CDF" w:rsidRDefault="009E0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A" w:rsidRDefault="00EC060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A0B10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A" w:rsidRDefault="00EC060A">
    <w:pPr>
      <w:pStyle w:val="Footer"/>
      <w:rPr>
        <w:sz w:val="24"/>
        <w:szCs w:val="24"/>
        <w:lang w:val="en-US"/>
      </w:rPr>
    </w:pPr>
  </w:p>
  <w:p w:rsidR="00EC060A" w:rsidRDefault="00EC060A">
    <w:pPr>
      <w:pStyle w:val="Footer"/>
      <w:rPr>
        <w:lang w:val="en-US"/>
      </w:rPr>
    </w:pPr>
    <w:proofErr w:type="spellStart"/>
    <w:r>
      <w:rPr>
        <w:lang w:val="fr-BE"/>
      </w:rPr>
      <w:t>Европейска</w:t>
    </w:r>
    <w:proofErr w:type="spellEnd"/>
    <w:r>
      <w:rPr>
        <w:lang w:val="fr-BE"/>
      </w:rPr>
      <w:t xml:space="preserve"> </w:t>
    </w:r>
    <w:proofErr w:type="spellStart"/>
    <w:r>
      <w:rPr>
        <w:lang w:val="fr-BE"/>
      </w:rPr>
      <w:t>комисия</w:t>
    </w:r>
    <w:proofErr w:type="spellEnd"/>
    <w:r>
      <w:rPr>
        <w:lang w:val="fr-BE"/>
      </w:rPr>
      <w:t>/</w:t>
    </w:r>
    <w:proofErr w:type="spellStart"/>
    <w:r>
      <w:rPr>
        <w:lang w:val="fr-BE"/>
      </w:rPr>
      <w:t>Europese</w:t>
    </w:r>
    <w:proofErr w:type="spellEnd"/>
    <w:r>
      <w:rPr>
        <w:lang w:val="fr-BE"/>
      </w:rPr>
      <w:t xml:space="preserve"> </w:t>
    </w:r>
    <w:proofErr w:type="spellStart"/>
    <w:r>
      <w:rPr>
        <w:lang w:val="fr-BE"/>
      </w:rPr>
      <w:t>Commissie</w:t>
    </w:r>
    <w:proofErr w:type="spellEnd"/>
    <w:r>
      <w:rPr>
        <w:lang w:val="fr-BE"/>
      </w:rPr>
      <w:t xml:space="preserve">, 1049 Bruxelles/Brussel, BELGIQUE/BELGIË — </w:t>
    </w:r>
    <w:proofErr w:type="spellStart"/>
    <w:r>
      <w:rPr>
        <w:lang w:val="fr-BE"/>
      </w:rPr>
      <w:t>Тел</w:t>
    </w:r>
    <w:proofErr w:type="spellEnd"/>
    <w:r>
      <w:rPr>
        <w:lang w:val="fr-BE"/>
      </w:rPr>
      <w:t>. + 32 22991111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DF" w:rsidRDefault="009E0CDF">
      <w:r>
        <w:separator/>
      </w:r>
    </w:p>
  </w:footnote>
  <w:footnote w:type="continuationSeparator" w:id="0">
    <w:p w:rsidR="009E0CDF" w:rsidRDefault="009E0CDF">
      <w:r>
        <w:continuationSeparator/>
      </w:r>
    </w:p>
  </w:footnote>
  <w:footnote w:id="1">
    <w:p w:rsidR="00EC060A" w:rsidRDefault="00EC060A">
      <w:pPr>
        <w:pStyle w:val="FootnoteText"/>
      </w:pPr>
      <w:r>
        <w:footnoteRef/>
      </w:r>
      <w:r>
        <w:tab/>
      </w:r>
      <w:r w:rsidRPr="00503C9F">
        <w:t>Европейската многостранна платформа по въпросите на стандартизацията в областта на ИКТ</w:t>
      </w:r>
      <w:r>
        <w:t xml:space="preserve"> (</w:t>
      </w:r>
      <w:r>
        <w:rPr>
          <w:lang w:val="en-US"/>
        </w:rPr>
        <w:t>MSP</w:t>
      </w:r>
      <w:r>
        <w:t>), прието на 21-то пленарно заседание от 28 септември 2017 г.</w:t>
      </w:r>
    </w:p>
  </w:footnote>
  <w:footnote w:id="2">
    <w:p w:rsidR="00EC060A" w:rsidRDefault="00EC060A">
      <w:pPr>
        <w:pStyle w:val="FootnoteText"/>
        <w:spacing w:after="0"/>
      </w:pPr>
      <w:r>
        <w:footnoteRef/>
      </w:r>
      <w:r>
        <w:tab/>
      </w:r>
      <w:r>
        <w:t>Публикувано в Регистъра на експертните групи към Комисията и други подобни органи, код номер E02758</w:t>
      </w:r>
    </w:p>
  </w:footnote>
  <w:footnote w:id="3">
    <w:p w:rsidR="00EC060A" w:rsidRDefault="00EC060A">
      <w:pPr>
        <w:pStyle w:val="FootnoteText"/>
        <w:spacing w:after="0"/>
        <w:ind w:left="0" w:firstLine="0"/>
      </w:pPr>
      <w:r>
        <w:footnoteRef/>
      </w:r>
      <w:r>
        <w:tab/>
      </w:r>
      <w:r>
        <w:t>Платформата се състои от представители от държавите членки и страните от ЕАСТ, както и на европейските и международните органи за стандартизация и други организации с нестопанска цел, действащи в Европа при разработването на стандарти в областта на ИКТ и организации, представляващи отрасъла, малките и средните предприятия, потребителите и други заинтересовани обществени групи, назначени от Комисията.</w:t>
      </w:r>
    </w:p>
  </w:footnote>
  <w:footnote w:id="4">
    <w:p w:rsidR="00EC060A" w:rsidRDefault="00EC060A">
      <w:pPr>
        <w:pStyle w:val="FootnoteText"/>
        <w:ind w:left="0" w:firstLine="0"/>
      </w:pPr>
      <w:hyperlink r:id="rId1">
        <w:r>
          <w:footnoteRef/>
        </w:r>
        <w:r>
          <w:tab/>
        </w:r>
        <w:r>
          <w:t>Целта на CAMSS е да установи неутрален и безпристрастен метод за оценка на техническите спецификации и стандарти в областта на ИКТ, https://joinup.ec.europa.eu/community/camss/home.</w:t>
        </w:r>
      </w:hyperlink>
    </w:p>
  </w:footnote>
  <w:footnote w:id="5">
    <w:p w:rsidR="00EC060A" w:rsidRDefault="00EC060A">
      <w:pPr>
        <w:pStyle w:val="FootnoteText"/>
      </w:pPr>
      <w:r>
        <w:rPr>
          <w:lang w:val="es-ES"/>
        </w:rPr>
        <w:footnoteRef/>
      </w:r>
      <w:r>
        <w:rPr>
          <w:lang w:val="es-ES"/>
        </w:rPr>
        <w:tab/>
        <w:t xml:space="preserve">COM (2016) 358 final </w:t>
      </w:r>
      <w:proofErr w:type="spellStart"/>
      <w:r>
        <w:rPr>
          <w:lang w:val="es-ES"/>
        </w:rPr>
        <w:t>окончателен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A" w:rsidRDefault="00EC0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A" w:rsidRDefault="00EC060A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E7F"/>
    <w:multiLevelType w:val="multilevel"/>
    <w:tmpl w:val="25E06C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E3767A"/>
    <w:multiLevelType w:val="multilevel"/>
    <w:tmpl w:val="148824E8"/>
    <w:lvl w:ilvl="0">
      <w:start w:val="1"/>
      <w:numFmt w:val="bullet"/>
      <w:lvlText w:val=""/>
      <w:lvlJc w:val="left"/>
      <w:pPr>
        <w:ind w:left="1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8" w:hanging="360"/>
      </w:pPr>
      <w:rPr>
        <w:rFonts w:ascii="Wingdings" w:hAnsi="Wingdings" w:cs="Wingdings" w:hint="default"/>
      </w:rPr>
    </w:lvl>
  </w:abstractNum>
  <w:abstractNum w:abstractNumId="2">
    <w:nsid w:val="0B47515A"/>
    <w:multiLevelType w:val="multilevel"/>
    <w:tmpl w:val="580E6B9E"/>
    <w:lvl w:ilvl="0">
      <w:start w:val="1"/>
      <w:numFmt w:val="bullet"/>
      <w:lvlText w:val=""/>
      <w:lvlJc w:val="left"/>
      <w:pPr>
        <w:ind w:left="63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1BD56700"/>
    <w:multiLevelType w:val="multilevel"/>
    <w:tmpl w:val="9544E7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1D7C57"/>
    <w:multiLevelType w:val="multilevel"/>
    <w:tmpl w:val="BE0EB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81470"/>
    <w:multiLevelType w:val="multilevel"/>
    <w:tmpl w:val="6C2EAD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554AA5"/>
    <w:multiLevelType w:val="multilevel"/>
    <w:tmpl w:val="D292E928"/>
    <w:lvl w:ilvl="0">
      <w:start w:val="1"/>
      <w:numFmt w:val="bullet"/>
      <w:lvlText w:val=""/>
      <w:lvlJc w:val="left"/>
      <w:pPr>
        <w:ind w:left="22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D894843"/>
    <w:multiLevelType w:val="multilevel"/>
    <w:tmpl w:val="F88A6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432359"/>
    <w:multiLevelType w:val="multilevel"/>
    <w:tmpl w:val="A9B4CA8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6403D0C"/>
    <w:multiLevelType w:val="multilevel"/>
    <w:tmpl w:val="8F22B306"/>
    <w:lvl w:ilvl="0">
      <w:start w:val="5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DA44B7"/>
    <w:multiLevelType w:val="multilevel"/>
    <w:tmpl w:val="E2267B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55"/>
    <w:rsid w:val="00120682"/>
    <w:rsid w:val="00234B62"/>
    <w:rsid w:val="002B3A67"/>
    <w:rsid w:val="002D24C3"/>
    <w:rsid w:val="002D3482"/>
    <w:rsid w:val="004447C0"/>
    <w:rsid w:val="00503C9F"/>
    <w:rsid w:val="00580C36"/>
    <w:rsid w:val="00623738"/>
    <w:rsid w:val="006A55F0"/>
    <w:rsid w:val="006C021C"/>
    <w:rsid w:val="00871FC4"/>
    <w:rsid w:val="009765F2"/>
    <w:rsid w:val="009E0CDF"/>
    <w:rsid w:val="009E0F55"/>
    <w:rsid w:val="00A739B8"/>
    <w:rsid w:val="00A75D44"/>
    <w:rsid w:val="00C27DD0"/>
    <w:rsid w:val="00C3161B"/>
    <w:rsid w:val="00CA0B10"/>
    <w:rsid w:val="00D75082"/>
    <w:rsid w:val="00EC060A"/>
    <w:rsid w:val="00F23694"/>
    <w:rsid w:val="00F327A9"/>
    <w:rsid w:val="00F47A6E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C2BB-ED16-4652-B8C4-74BE7894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bg-BG" w:eastAsia="en-US"/>
    </w:rPr>
  </w:style>
  <w:style w:type="paragraph" w:styleId="Heading1">
    <w:name w:val="heading 1"/>
    <w:basedOn w:val="Normal"/>
    <w:qFormat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qFormat/>
    <w:pPr>
      <w:keepNext/>
      <w:spacing w:before="240" w:after="360"/>
      <w:outlineLvl w:val="1"/>
    </w:pPr>
    <w:rPr>
      <w:b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spacing w:before="120" w:after="360"/>
      <w:outlineLvl w:val="2"/>
    </w:pPr>
    <w:rPr>
      <w:b/>
      <w:i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qFormat/>
    <w:rPr>
      <w:sz w:val="24"/>
      <w:lang w:eastAsia="en-US"/>
    </w:rPr>
  </w:style>
  <w:style w:type="character" w:customStyle="1" w:styleId="SignatureChar">
    <w:name w:val="Signature Char"/>
    <w:basedOn w:val="DefaultParagraphFont"/>
    <w:qFormat/>
    <w:rPr>
      <w:sz w:val="24"/>
      <w:lang w:eastAsia="en-US"/>
    </w:rPr>
  </w:style>
  <w:style w:type="character" w:customStyle="1" w:styleId="HeaderChar">
    <w:name w:val="Header Char"/>
    <w:basedOn w:val="DefaultParagraphFont"/>
    <w:qFormat/>
    <w:rPr>
      <w:sz w:val="24"/>
      <w:lang w:eastAsia="en-US"/>
    </w:rPr>
  </w:style>
  <w:style w:type="character" w:customStyle="1" w:styleId="FootnoteTextChar">
    <w:name w:val="Footnote Text Char"/>
    <w:basedOn w:val="DefaultParagraphFont"/>
    <w:qFormat/>
    <w:rPr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lang w:eastAsia="en-US"/>
    </w:rPr>
  </w:style>
  <w:style w:type="character" w:customStyle="1" w:styleId="CommentSubjectChar">
    <w:name w:val="Comment Subject Char"/>
    <w:basedOn w:val="CommentTextChar"/>
    <w:qFormat/>
    <w:rPr>
      <w:b/>
      <w:bCs/>
      <w:lang w:eastAsia="en-US"/>
    </w:rPr>
  </w:style>
  <w:style w:type="character" w:customStyle="1" w:styleId="ListLabel1">
    <w:name w:val="ListLabel 1"/>
    <w:qFormat/>
    <w:rPr>
      <w:rFonts w:eastAsia="MS Mincho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Times New Roman"/>
      <w:sz w:val="24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160"/>
      </w:tabs>
      <w:ind w:left="1077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916"/>
    </w:pPr>
  </w:style>
  <w:style w:type="paragraph" w:customStyle="1" w:styleId="Text4">
    <w:name w:val="Text 4"/>
    <w:basedOn w:val="Normal"/>
    <w:qFormat/>
    <w:pPr>
      <w:ind w:left="2880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TextBody"/>
    <w:qFormat/>
    <w:pPr>
      <w:ind w:firstLine="210"/>
    </w:p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BodyTextFirstIndent2">
    <w:name w:val="Body Text First Indent 2"/>
    <w:basedOn w:val="TextBody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styleId="Closing">
    <w:name w:val="Closing"/>
    <w:basedOn w:val="Normal"/>
    <w:next w:val="Signature"/>
    <w:qFormat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qFormat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qFormat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qFormat/>
    <w:rPr>
      <w:sz w:val="20"/>
    </w:rPr>
  </w:style>
  <w:style w:type="paragraph" w:styleId="Date">
    <w:name w:val="Date"/>
    <w:basedOn w:val="Normal"/>
    <w:qFormat/>
    <w:pPr>
      <w:spacing w:after="0"/>
      <w:ind w:left="5103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qFormat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qFormat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qFormat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qFormat/>
    <w:pPr>
      <w:ind w:left="240" w:hanging="240"/>
    </w:pPr>
  </w:style>
  <w:style w:type="paragraph" w:styleId="Index2">
    <w:name w:val="index 2"/>
    <w:basedOn w:val="Normal"/>
    <w:next w:val="Normal"/>
    <w:autoRedefine/>
    <w:qFormat/>
    <w:pPr>
      <w:ind w:left="480" w:hanging="240"/>
    </w:pPr>
  </w:style>
  <w:style w:type="paragraph" w:styleId="Index3">
    <w:name w:val="index 3"/>
    <w:basedOn w:val="Normal"/>
    <w:next w:val="Normal"/>
    <w:autoRedefine/>
    <w:qFormat/>
    <w:pPr>
      <w:ind w:left="720" w:hanging="240"/>
    </w:pPr>
  </w:style>
  <w:style w:type="paragraph" w:styleId="Index4">
    <w:name w:val="index 4"/>
    <w:basedOn w:val="Normal"/>
    <w:next w:val="Normal"/>
    <w:autoRedefine/>
    <w:qFormat/>
    <w:pPr>
      <w:ind w:left="960" w:hanging="240"/>
    </w:pPr>
  </w:style>
  <w:style w:type="paragraph" w:styleId="Index5">
    <w:name w:val="index 5"/>
    <w:basedOn w:val="Normal"/>
    <w:next w:val="Normal"/>
    <w:autoRedefine/>
    <w:qFormat/>
    <w:pPr>
      <w:ind w:left="1200" w:hanging="240"/>
    </w:pPr>
  </w:style>
  <w:style w:type="paragraph" w:styleId="Index6">
    <w:name w:val="index 6"/>
    <w:basedOn w:val="Normal"/>
    <w:next w:val="Normal"/>
    <w:autoRedefine/>
    <w:qFormat/>
    <w:pPr>
      <w:ind w:left="1440" w:hanging="240"/>
    </w:pPr>
  </w:style>
  <w:style w:type="paragraph" w:styleId="Index7">
    <w:name w:val="index 7"/>
    <w:basedOn w:val="Normal"/>
    <w:next w:val="Normal"/>
    <w:autoRedefine/>
    <w:qFormat/>
    <w:pPr>
      <w:ind w:left="1680" w:hanging="240"/>
    </w:pPr>
  </w:style>
  <w:style w:type="paragraph" w:styleId="Index8">
    <w:name w:val="index 8"/>
    <w:basedOn w:val="Normal"/>
    <w:next w:val="Normal"/>
    <w:autoRedefine/>
    <w:qFormat/>
    <w:pPr>
      <w:ind w:left="1920" w:hanging="240"/>
    </w:pPr>
  </w:style>
  <w:style w:type="paragraph" w:styleId="Index9">
    <w:name w:val="index 9"/>
    <w:basedOn w:val="Normal"/>
    <w:next w:val="Normal"/>
    <w:autoRedefine/>
    <w:qFormat/>
    <w:pPr>
      <w:ind w:left="2160" w:hanging="240"/>
    </w:pPr>
  </w:style>
  <w:style w:type="paragraph" w:styleId="IndexHeading">
    <w:name w:val="index heading"/>
    <w:basedOn w:val="Normal"/>
    <w:qFormat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</w:style>
  <w:style w:type="paragraph" w:styleId="ListBullet3">
    <w:name w:val="List Bullet 3"/>
    <w:basedOn w:val="Text3"/>
    <w:qFormat/>
  </w:style>
  <w:style w:type="paragraph" w:styleId="ListBullet4">
    <w:name w:val="List Bullet 4"/>
    <w:basedOn w:val="Text4"/>
    <w:qFormat/>
  </w:style>
  <w:style w:type="paragraph" w:styleId="ListBullet5">
    <w:name w:val="List Bullet 5"/>
    <w:basedOn w:val="Normal"/>
    <w:autoRedefine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">
    <w:name w:val="List Number"/>
    <w:basedOn w:val="Normal"/>
    <w:qFormat/>
  </w:style>
  <w:style w:type="paragraph" w:styleId="ListNumber2">
    <w:name w:val="List Number 2"/>
    <w:basedOn w:val="Text2"/>
    <w:qFormat/>
  </w:style>
  <w:style w:type="paragraph" w:styleId="ListNumber3">
    <w:name w:val="List Number 3"/>
    <w:basedOn w:val="Text3"/>
    <w:qFormat/>
  </w:style>
  <w:style w:type="paragraph" w:styleId="ListNumber4">
    <w:name w:val="List Number 4"/>
    <w:basedOn w:val="Text4"/>
    <w:qFormat/>
  </w:style>
  <w:style w:type="paragraph" w:styleId="ListNumber5">
    <w:name w:val="List Number 5"/>
    <w:basedOn w:val="Normal"/>
    <w:qFormat/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qFormat/>
    <w:pPr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qFormat/>
    <w:rPr>
      <w:b w:val="0"/>
    </w:rPr>
  </w:style>
  <w:style w:type="paragraph" w:customStyle="1" w:styleId="NumPar3">
    <w:name w:val="NumPar 3"/>
    <w:basedOn w:val="Heading3"/>
    <w:qFormat/>
    <w:pPr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qFormat/>
    <w:pPr>
      <w:numPr>
        <w:ilvl w:val="0"/>
        <w:numId w:val="0"/>
      </w:numPr>
    </w:p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customStyle="1" w:styleId="ComplimentaryClose">
    <w:name w:val="Complimentary Close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</w:style>
  <w:style w:type="paragraph" w:styleId="TableofFigures">
    <w:name w:val="table of figures"/>
    <w:basedOn w:val="Normal"/>
    <w:next w:val="Normal"/>
    <w:qFormat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/>
      <w:b/>
    </w:rPr>
  </w:style>
  <w:style w:type="paragraph" w:customStyle="1" w:styleId="Contents1">
    <w:name w:val="Contents 1"/>
    <w:basedOn w:val="Normal"/>
    <w:next w:val="Normal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customStyle="1" w:styleId="Contents2">
    <w:name w:val="Contents 2"/>
    <w:basedOn w:val="Normal"/>
    <w:next w:val="Normal"/>
    <w:pPr>
      <w:tabs>
        <w:tab w:val="right" w:leader="dot" w:pos="8640"/>
      </w:tabs>
      <w:spacing w:before="60" w:after="60"/>
      <w:ind w:left="1077" w:right="720" w:hanging="595"/>
    </w:pPr>
  </w:style>
  <w:style w:type="paragraph" w:customStyle="1" w:styleId="Contents3">
    <w:name w:val="Contents 3"/>
    <w:basedOn w:val="Normal"/>
    <w:next w:val="Normal"/>
    <w:pPr>
      <w:tabs>
        <w:tab w:val="right" w:leader="dot" w:pos="8640"/>
      </w:tabs>
      <w:spacing w:before="60" w:after="60"/>
      <w:ind w:left="1916" w:right="720" w:hanging="839"/>
    </w:pPr>
  </w:style>
  <w:style w:type="paragraph" w:customStyle="1" w:styleId="Contents4">
    <w:name w:val="Contents 4"/>
    <w:basedOn w:val="Normal"/>
    <w:next w:val="Normal"/>
    <w:pPr>
      <w:tabs>
        <w:tab w:val="right" w:leader="dot" w:pos="8641"/>
      </w:tabs>
      <w:spacing w:before="60" w:after="60"/>
      <w:ind w:left="2880" w:right="720" w:hanging="964"/>
    </w:pPr>
  </w:style>
  <w:style w:type="paragraph" w:customStyle="1" w:styleId="Contents5">
    <w:name w:val="Contents 5"/>
    <w:basedOn w:val="Normal"/>
    <w:next w:val="Normal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customStyle="1" w:styleId="Contents6">
    <w:name w:val="Contents 6"/>
    <w:basedOn w:val="Normal"/>
    <w:next w:val="Normal"/>
    <w:autoRedefine/>
    <w:pPr>
      <w:ind w:left="1200"/>
    </w:pPr>
  </w:style>
  <w:style w:type="paragraph" w:customStyle="1" w:styleId="Contents7">
    <w:name w:val="Contents 7"/>
    <w:basedOn w:val="Normal"/>
    <w:next w:val="Normal"/>
    <w:autoRedefine/>
    <w:pPr>
      <w:ind w:left="1440"/>
    </w:pPr>
  </w:style>
  <w:style w:type="paragraph" w:customStyle="1" w:styleId="Contents8">
    <w:name w:val="Contents 8"/>
    <w:basedOn w:val="Normal"/>
    <w:next w:val="Normal"/>
    <w:autoRedefine/>
    <w:pPr>
      <w:ind w:left="1680"/>
    </w:pPr>
  </w:style>
  <w:style w:type="paragraph" w:customStyle="1" w:styleId="Contents9">
    <w:name w:val="Contents 9"/>
    <w:basedOn w:val="Normal"/>
    <w:next w:val="Normal"/>
    <w:autoRedefine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</w:style>
  <w:style w:type="paragraph" w:customStyle="1" w:styleId="ListDash3">
    <w:name w:val="List Dash 3"/>
    <w:basedOn w:val="Text3"/>
    <w:qFormat/>
  </w:style>
  <w:style w:type="paragraph" w:customStyle="1" w:styleId="ListDash4">
    <w:name w:val="List Dash 4"/>
    <w:basedOn w:val="Text4"/>
    <w:qFormat/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</w:style>
  <w:style w:type="paragraph" w:customStyle="1" w:styleId="ListNumber2Level3">
    <w:name w:val="List Number 2 (Level 3)"/>
    <w:basedOn w:val="Text2"/>
    <w:qFormat/>
  </w:style>
  <w:style w:type="paragraph" w:customStyle="1" w:styleId="ListNumber2Level4">
    <w:name w:val="List Number 2 (Level 4)"/>
    <w:basedOn w:val="Text2"/>
    <w:qFormat/>
    <w:pPr>
      <w:ind w:left="3901" w:hanging="703"/>
    </w:pPr>
  </w:style>
  <w:style w:type="paragraph" w:customStyle="1" w:styleId="ListNumber3Level2">
    <w:name w:val="List Number 3 (Level 2)"/>
    <w:basedOn w:val="Text3"/>
    <w:qFormat/>
  </w:style>
  <w:style w:type="paragraph" w:customStyle="1" w:styleId="ListNumber3Level3">
    <w:name w:val="List Number 3 (Level 3)"/>
    <w:basedOn w:val="Text3"/>
    <w:qFormat/>
  </w:style>
  <w:style w:type="paragraph" w:customStyle="1" w:styleId="ListNumber3Level4">
    <w:name w:val="List Number 3 (Level 4)"/>
    <w:basedOn w:val="Text3"/>
    <w:qFormat/>
  </w:style>
  <w:style w:type="paragraph" w:customStyle="1" w:styleId="ListNumber4Level2">
    <w:name w:val="List Number 4 (Level 2)"/>
    <w:basedOn w:val="Text4"/>
    <w:qFormat/>
  </w:style>
  <w:style w:type="paragraph" w:customStyle="1" w:styleId="ListNumber4Level3">
    <w:name w:val="List Number 4 (Level 3)"/>
    <w:basedOn w:val="Text4"/>
    <w:qFormat/>
  </w:style>
  <w:style w:type="paragraph" w:customStyle="1" w:styleId="ListNumber4Level4">
    <w:name w:val="List Number 4 (Level 4)"/>
    <w:basedOn w:val="Text4"/>
    <w:qFormat/>
  </w:style>
  <w:style w:type="paragraph" w:customStyle="1" w:styleId="ContentsHeading">
    <w:name w:val="Contents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qFormat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qFormat/>
    <w:pPr>
      <w:keepLines/>
      <w:pBdr>
        <w:top w:val="single" w:sz="4" w:space="1" w:color="00000A"/>
      </w:pBdr>
      <w:spacing w:before="480" w:after="0"/>
    </w:pPr>
    <w:rPr>
      <w:i/>
    </w:rPr>
  </w:style>
  <w:style w:type="paragraph" w:customStyle="1" w:styleId="DisclaimerSJ">
    <w:name w:val="Disclaimer_SJ"/>
    <w:basedOn w:val="Normal"/>
    <w:next w:val="Normal"/>
    <w:qFormat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qFormat/>
    <w:pPr>
      <w:spacing w:after="0"/>
      <w:jc w:val="center"/>
    </w:pPr>
    <w:rPr>
      <w:b/>
      <w:caps/>
      <w:sz w:val="32"/>
      <w:bdr w:val="single" w:sz="18" w:space="0" w:color="00000A"/>
      <w:lang w:val="de-DE"/>
    </w:rPr>
  </w:style>
  <w:style w:type="paragraph" w:customStyle="1" w:styleId="ConfidentialUE">
    <w:name w:val="Confidential UE"/>
    <w:basedOn w:val="Normal"/>
    <w:qFormat/>
    <w:pPr>
      <w:spacing w:after="0"/>
      <w:jc w:val="center"/>
    </w:pPr>
    <w:rPr>
      <w:b/>
      <w:caps/>
      <w:sz w:val="32"/>
      <w:bdr w:val="single" w:sz="18" w:space="0" w:color="00000A"/>
    </w:rPr>
  </w:style>
  <w:style w:type="paragraph" w:customStyle="1" w:styleId="TrsSecretUE">
    <w:name w:val="Très Secret UE"/>
    <w:basedOn w:val="Normal"/>
    <w:qFormat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qFormat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LegalNumPar2">
    <w:name w:val="LegalNumPar2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LegalNumPar3">
    <w:name w:val="LegalNumPar3"/>
    <w:basedOn w:val="Normal"/>
    <w:qFormat/>
    <w:pPr>
      <w:spacing w:line="360" w:lineRule="auto"/>
      <w:jc w:val="left"/>
    </w:pPr>
    <w:rPr>
      <w:rFonts w:eastAsia="Calibri"/>
      <w:szCs w:val="22"/>
    </w:rPr>
  </w:style>
  <w:style w:type="paragraph" w:customStyle="1" w:styleId="ZCom">
    <w:name w:val="Z_Com"/>
    <w:basedOn w:val="Normal"/>
    <w:qFormat/>
    <w:pPr>
      <w:widowControl w:val="0"/>
      <w:spacing w:after="0"/>
      <w:ind w:right="85"/>
    </w:pPr>
    <w:rPr>
      <w:rFonts w:ascii="Arial" w:eastAsia="MS Mincho" w:hAnsi="Arial" w:cs="Arial"/>
      <w:szCs w:val="24"/>
      <w:lang w:eastAsia="en-GB"/>
    </w:rPr>
  </w:style>
  <w:style w:type="paragraph" w:customStyle="1" w:styleId="ZDGName">
    <w:name w:val="Z_DGName"/>
    <w:basedOn w:val="Normal"/>
    <w:qFormat/>
    <w:pPr>
      <w:widowControl w:val="0"/>
      <w:spacing w:after="0"/>
      <w:ind w:right="85"/>
      <w:jc w:val="left"/>
    </w:pPr>
    <w:rPr>
      <w:rFonts w:ascii="Arial" w:eastAsia="MS Mincho" w:hAnsi="Arial" w:cs="Arial"/>
      <w:sz w:val="16"/>
      <w:szCs w:val="16"/>
      <w:lang w:eastAsia="en-GB"/>
    </w:rPr>
  </w:style>
  <w:style w:type="paragraph" w:styleId="ListParagraph">
    <w:name w:val="List Paragraph"/>
    <w:basedOn w:val="Normal"/>
    <w:qFormat/>
    <w:pPr>
      <w:spacing w:after="0"/>
      <w:ind w:left="720"/>
      <w:contextualSpacing/>
      <w:jc w:val="left"/>
    </w:pPr>
    <w:rPr>
      <w:szCs w:val="24"/>
      <w:lang w:eastAsia="en-GB"/>
    </w:r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4"/>
      <w:lang w:eastAsia="en-US"/>
    </w:rPr>
  </w:style>
  <w:style w:type="paragraph" w:customStyle="1" w:styleId="Footnote">
    <w:name w:val="Footnote"/>
    <w:basedOn w:val="Normal"/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976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ETF%20&#1074;&#1080;&#1085;&#1072;&#1075;&#1080;%20&#1077;%20&#1089;&#1074;&#1098;&#1088;&#1079;&#1072;&#1085;&#1072;%20&#1089;%20&#1086;&#1090;&#1074;&#1086;&#1088;&#1077;&#1085;&#1080;&#1103;%20&#1082;&#1086;&#1076;%20&#1080;%20&#1086;&#1090;&#1074;&#1086;&#1088;&#1077;&#1085;&#1080;&#1090;&#1077;%20&#1089;&#1090;&#1072;&#1085;&#1076;&#1072;&#1088;&#1090;&#1080;,%20&#1080;%20&#1087;&#1088;&#1080;&#1079;&#1085;&#1072;&#1074;&#1072;,%20&#1095;&#1077;%20&#1077;%20&#1090;&#1086;&#1074;&#1072;%20&#1077;%20&#1085;&#1077;&#1086;&#1073;&#1093;&#1086;&#1076;&#1080;&#1084;&#1086;&#1089;&#1090;.%20IETF%20&#1089;&#1098;&#1097;&#1086;%20&#1089;&#1077;%20&#1079;&#1072;&#1085;&#1080;&#1084;&#1072;&#1074;&#1072;%20&#1089;%20&#1090;&#1086;&#1079;&#1080;%20&#1074;&#1098;&#1087;&#1088;&#1086;&#1089;%20&#1080;%20&#1087;&#1088;&#1077;&#1076;&#1083;&#1072;&#1075;&#1072;&#1090;%20&#1076;&#1072;%20&#1089;&#1077;%20&#1085;&#1072;&#1087;&#1088;&#1072;&#1074;&#1103;&#1090;%20&#1085;&#1103;&#1082;&#1086;&#1080;%20&#1087;&#1088;&#1086;&#1084;&#1077;&#1085;&#1080;,%20&#1079;&#1072;%20&#1076;&#1072;%20&#1089;&#1077;%20&#1087;&#1086;&#1074;&#1080;&#1096;&#1080;%20&#1085;&#1077;&#1075;&#1086;&#1074;&#1072;&#1090;&#1072;%20&#1087;&#1088;&#1080;&#1074;&#1083;&#1077;&#1082;&#1072;&#1090;&#1077;&#1083;&#1085;&#1086;&#1089;&#1090;.%20&#1055;&#1088;&#1086;&#1077;&#1082;&#1090;&#1098;&#1090;%20codestand%20&#1085;&#1072;&#1087;&#1088;&#1080;&#1084;&#1077;&#1088;%20&#1082;&#1088;&#1098;&#1089;&#1090;&#1086;&#1089;&#1074;&#1072;%20&#1074;&#1088;&#1098;&#1079;&#1082;&#1080;&#1090;&#1077;%20&#1084;&#1077;&#1078;&#1076;&#1091;%20&#1089;&#1087;&#1077;&#1094;&#1080;&#1092;&#1080;&#1082;&#1072;&#1094;&#1080;&#1103;&#1090;&#1072;%20&#1080;%20&#1082;&#1086;&#1076;&#1080;&#1088;&#1072;&#1085;&#1077;&#1090;&#1086;.%20&#1044;&#1088;&#1091;&#1075;%20&#1080;&#1085;&#1089;&#1090;&#1088;&#1091;&#1084;&#1077;&#1085;&#1090;%20&#1077;%20hackatons%20&#1082;&#1083;&#1077;&#1090;&#1082;&#1072;%20&#1085;&#1072;%20&#1089;&#1083;&#1077;&#1076;&#1074;&#1072;&#1097;&#1080;&#1103;%20(15-&#1080;%20&#1080;%2016-&#1080;%20&#1102;&#1083;&#1080;)%20&#1044;&#1086;&#1087;&#1098;&#1083;&#1085;&#1080;&#1090;&#1077;&#1083;&#1085;&#1072;%20&#1080;&#1085;&#1092;&#1086;&#1088;&#1084;&#1072;&#1094;&#1080;&#1103;%20&#1080;&#1084;&#1072;%20&#1074;%20IETF%20&#1091;&#1077;&#1073;&#1089;&#1072;&#1081;&#1090;&#1072;%20(&#1074;&#1078;.%20http://codestand.ietf.org%20&#1080;%20http://ietf.org/hackathon.)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inup.ec.europa.eu/community/cams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14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протокола от заседанията на експертната група</vt:lpstr>
    </vt:vector>
  </TitlesOfParts>
  <Company>Европейска комисия</Company>
  <LinksUpToDate>false</LinksUpToDate>
  <CharactersWithSpaces>39206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протокола от заседанията на експертната група</dc:title>
  <dc:creator>SecGen</dc:creator>
  <dc:description>ГД „Вътрешен пазар, промишленост, предприемачество и от продължаващото и дистанционното обучение, адаптирано към ДВ, приложени към бележка Ares(2016)6398359 от 14/11/2016</dc:description>
  <cp:lastModifiedBy>Daniela Pesheva</cp:lastModifiedBy>
  <cp:revision>5</cp:revision>
  <dcterms:created xsi:type="dcterms:W3CDTF">2018-01-22T07:44:00Z</dcterms:created>
  <dcterms:modified xsi:type="dcterms:W3CDTF">2018-01-31T13:26:00Z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Европейска комисия</vt:lpwstr>
  </property>
  <property fmtid="{D5CDD505-2E9C-101B-9397-08002B2CF9AE}" pid="4" name="ContentTypeId">
    <vt:lpwstr>0x010100258AA79CEB83498886A3A0868112325000C6C456EBC8A5D64996177CA34E5B3D7C</vt:lpwstr>
  </property>
  <property fmtid="{D5CDD505-2E9C-101B-9397-08002B2CF9AE}" pid="5" name="Created using">
    <vt:lpwstr>EL 4.6 Build 50000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not.dot</vt:lpwstr>
  </property>
  <property fmtid="{D5CDD505-2E9C-101B-9397-08002B2CF9AE}" pid="9" name="EL_Author">
    <vt:lpwstr>Pedro Ortún</vt:lpwstr>
  </property>
  <property fmtid="{D5CDD505-2E9C-101B-9397-08002B2CF9AE}" pid="10" name="EL_Language">
    <vt:lpwstr>EN</vt:lpwstr>
  </property>
  <property fmtid="{D5CDD505-2E9C-101B-9397-08002B2CF9AE}" pid="11" name="EurolookVersion">
    <vt:lpwstr>4.6</vt:lpwstr>
  </property>
  <property fmtid="{D5CDD505-2E9C-101B-9397-08002B2CF9AE}" pid="12" name="Formatting">
    <vt:lpwstr>4.1</vt:lpwstr>
  </property>
  <property fmtid="{D5CDD505-2E9C-101B-9397-08002B2CF9AE}" pid="13" name="Language">
    <vt:lpwstr>EN</vt:lpwstr>
  </property>
  <property fmtid="{D5CDD505-2E9C-101B-9397-08002B2CF9AE}" pid="14" name="Last edited using">
    <vt:lpwstr>EL 4.6 Build 50000</vt:lpwstr>
  </property>
  <property fmtid="{D5CDD505-2E9C-101B-9397-08002B2CF9AE}" pid="15" name="PresentationFormat">
    <vt:lpwstr>Microsoft Word 14.0</vt:lpwstr>
  </property>
  <property fmtid="{D5CDD505-2E9C-101B-9397-08002B2CF9AE}" pid="16" name="TemplateVersion">
    <vt:lpwstr>4.6.5.0000</vt:lpwstr>
  </property>
  <property fmtid="{D5CDD505-2E9C-101B-9397-08002B2CF9AE}" pid="17" name="Type">
    <vt:lpwstr>Бележка Eurolook &amp; писмо</vt:lpwstr>
  </property>
  <property fmtid="{D5CDD505-2E9C-101B-9397-08002B2CF9AE}" pid="18" name="_DocHome">
    <vt:i4>0</vt:i4>
  </property>
</Properties>
</file>