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A6" w:rsidRPr="00E70C1C" w:rsidRDefault="00641AA6"/>
    <w:tbl>
      <w:tblPr>
        <w:tblW w:w="9468" w:type="dxa"/>
        <w:tblCellMar>
          <w:left w:w="0" w:type="dxa"/>
          <w:right w:w="0" w:type="dxa"/>
        </w:tblCellMar>
        <w:tblLook w:val="04A0" w:firstRow="1" w:lastRow="0" w:firstColumn="1" w:lastColumn="0" w:noHBand="0" w:noVBand="1"/>
      </w:tblPr>
      <w:tblGrid>
        <w:gridCol w:w="3250"/>
        <w:gridCol w:w="6218"/>
      </w:tblGrid>
      <w:tr w:rsidR="00641AA6" w:rsidRPr="00E70C1C">
        <w:trPr>
          <w:trHeight w:val="1440"/>
        </w:trPr>
        <w:tc>
          <w:tcPr>
            <w:tcW w:w="2409" w:type="dxa"/>
            <w:shd w:val="clear" w:color="auto" w:fill="auto"/>
          </w:tcPr>
          <w:p w:rsidR="00641AA6" w:rsidRPr="00E70C1C" w:rsidRDefault="00127C39">
            <w:pPr>
              <w:pStyle w:val="ZCom"/>
              <w:ind w:right="1105"/>
            </w:pPr>
            <w:r w:rsidRPr="00E70C1C">
              <w:rPr>
                <w:noProof/>
                <w:lang w:eastAsia="bg-BG"/>
              </w:rPr>
              <w:drawing>
                <wp:inline distT="0" distB="0" distL="0" distR="9525">
                  <wp:extent cx="13620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362075" cy="685800"/>
                          </a:xfrm>
                          <a:prstGeom prst="rect">
                            <a:avLst/>
                          </a:prstGeom>
                        </pic:spPr>
                      </pic:pic>
                    </a:graphicData>
                  </a:graphic>
                </wp:inline>
              </w:drawing>
            </w:r>
          </w:p>
        </w:tc>
        <w:tc>
          <w:tcPr>
            <w:tcW w:w="7059" w:type="dxa"/>
            <w:shd w:val="clear" w:color="auto" w:fill="auto"/>
          </w:tcPr>
          <w:p w:rsidR="00641AA6" w:rsidRPr="00E70C1C" w:rsidRDefault="00127C39">
            <w:pPr>
              <w:pStyle w:val="ZCom"/>
              <w:spacing w:before="90" w:after="240"/>
            </w:pPr>
            <w:r w:rsidRPr="00E70C1C">
              <w:t>ЕВРОПЕЙСКА КОМИСИЯ</w:t>
            </w:r>
          </w:p>
          <w:p w:rsidR="00641AA6" w:rsidRPr="00E70C1C" w:rsidRDefault="00127C39">
            <w:pPr>
              <w:pStyle w:val="ZDGName"/>
            </w:pPr>
            <w:r w:rsidRPr="00E70C1C">
              <w:t>Генерална дирекция „Вътрешен пазар, промишленост, предприемачество и МСП“</w:t>
            </w:r>
          </w:p>
          <w:p w:rsidR="00641AA6" w:rsidRPr="00E70C1C" w:rsidRDefault="00641AA6">
            <w:pPr>
              <w:pStyle w:val="ZDGName"/>
            </w:pPr>
          </w:p>
          <w:p w:rsidR="00641AA6" w:rsidRPr="00E70C1C" w:rsidRDefault="00127C39">
            <w:pPr>
              <w:pStyle w:val="ZDGName"/>
            </w:pPr>
            <w:r w:rsidRPr="00E70C1C">
              <w:t>Дирекция „Иновации и усъвършенствани производствени технологии</w:t>
            </w:r>
          </w:p>
          <w:p w:rsidR="00641AA6" w:rsidRPr="00E70C1C" w:rsidRDefault="00127C39">
            <w:pPr>
              <w:pStyle w:val="ZDGName"/>
              <w:rPr>
                <w:b/>
              </w:rPr>
            </w:pPr>
            <w:r w:rsidRPr="00E70C1C">
              <w:rPr>
                <w:b/>
              </w:rPr>
              <w:t>Главни базови технологии, цифрово производство и оперативна съвместимост</w:t>
            </w:r>
          </w:p>
          <w:p w:rsidR="00641AA6" w:rsidRPr="00E70C1C" w:rsidRDefault="00641AA6">
            <w:pPr>
              <w:pStyle w:val="ZDGName"/>
            </w:pPr>
          </w:p>
          <w:p w:rsidR="00641AA6" w:rsidRPr="00E70C1C" w:rsidRDefault="00127C39">
            <w:pPr>
              <w:pStyle w:val="ZDGName"/>
            </w:pPr>
            <w:r w:rsidRPr="00E70C1C">
              <w:t xml:space="preserve">Генерална дирекция „Съобщителни мрежи, съдържание и технологии“ </w:t>
            </w:r>
          </w:p>
          <w:p w:rsidR="00641AA6" w:rsidRPr="00E70C1C" w:rsidRDefault="00641AA6">
            <w:pPr>
              <w:pStyle w:val="ZDGName"/>
            </w:pPr>
          </w:p>
          <w:p w:rsidR="00641AA6" w:rsidRPr="00E70C1C" w:rsidRDefault="00127C39">
            <w:pPr>
              <w:pStyle w:val="ZDGName"/>
            </w:pPr>
            <w:r w:rsidRPr="00E70C1C">
              <w:t>Дирекция за цифровия единен пазар</w:t>
            </w:r>
          </w:p>
          <w:p w:rsidR="00641AA6" w:rsidRPr="00E70C1C" w:rsidRDefault="00127C39">
            <w:pPr>
              <w:pStyle w:val="ZDGName"/>
              <w:rPr>
                <w:b/>
              </w:rPr>
            </w:pPr>
            <w:r w:rsidRPr="00E70C1C">
              <w:rPr>
                <w:b/>
              </w:rPr>
              <w:t>Новосъз</w:t>
            </w:r>
            <w:r w:rsidR="00E70C1C" w:rsidRPr="00E70C1C">
              <w:rPr>
                <w:b/>
              </w:rPr>
              <w:t>дадени предприятия за иновации</w:t>
            </w:r>
          </w:p>
        </w:tc>
      </w:tr>
    </w:tbl>
    <w:p w:rsidR="00641AA6" w:rsidRPr="00E70C1C" w:rsidRDefault="00641AA6">
      <w:pPr>
        <w:pStyle w:val="Date"/>
      </w:pPr>
    </w:p>
    <w:p w:rsidR="00641AA6" w:rsidRPr="00E70C1C" w:rsidRDefault="00641AA6">
      <w:pPr>
        <w:pStyle w:val="Date"/>
        <w:rPr>
          <w:highlight w:val="white"/>
        </w:rPr>
      </w:pPr>
    </w:p>
    <w:p w:rsidR="00641AA6" w:rsidRPr="00E70C1C" w:rsidRDefault="00127C39">
      <w:pPr>
        <w:pStyle w:val="Date"/>
        <w:rPr>
          <w:highlight w:val="white"/>
        </w:rPr>
      </w:pPr>
      <w:r w:rsidRPr="00E70C1C">
        <w:rPr>
          <w:highlight w:val="white"/>
        </w:rPr>
        <w:t>Брюксел, 26 октомври 2017 г.</w:t>
      </w:r>
    </w:p>
    <w:p w:rsidR="00641AA6" w:rsidRPr="00E70C1C" w:rsidRDefault="00E70C1C">
      <w:pPr>
        <w:pStyle w:val="Title"/>
      </w:pPr>
      <w:r w:rsidRPr="00E70C1C">
        <w:t>П</w:t>
      </w:r>
      <w:r w:rsidR="00127C39" w:rsidRPr="00E70C1C">
        <w:t>ротокол</w:t>
      </w:r>
    </w:p>
    <w:p w:rsidR="00641AA6" w:rsidRPr="00E70C1C" w:rsidRDefault="00641AA6">
      <w:pPr>
        <w:pStyle w:val="Subtitle"/>
      </w:pPr>
    </w:p>
    <w:p w:rsidR="00641AA6" w:rsidRPr="00E70C1C" w:rsidRDefault="00127C39">
      <w:pPr>
        <w:pStyle w:val="Subtitle"/>
      </w:pPr>
      <w:r w:rsidRPr="00E70C1C">
        <w:rPr>
          <w:b/>
        </w:rPr>
        <w:t>21-о заседание на Европейската многостранна платформа по въпросите на стандартизацията в областта на ИКТ</w:t>
      </w:r>
      <w:r w:rsidRPr="00E70C1C">
        <w:rPr>
          <w:rStyle w:val="FootnoteAnchor"/>
          <w:b/>
        </w:rPr>
        <w:footnoteReference w:id="1"/>
      </w:r>
      <w:r w:rsidR="00E70C1C">
        <w:rPr>
          <w:b/>
        </w:rPr>
        <w:t xml:space="preserve"> (</w:t>
      </w:r>
      <w:r w:rsidR="00E70C1C" w:rsidRPr="00E70C1C">
        <w:rPr>
          <w:b/>
        </w:rPr>
        <w:t>MSP</w:t>
      </w:r>
      <w:r w:rsidR="00E70C1C">
        <w:rPr>
          <w:b/>
        </w:rPr>
        <w:t>)</w:t>
      </w:r>
    </w:p>
    <w:p w:rsidR="00641AA6" w:rsidRPr="00E70C1C" w:rsidRDefault="00641AA6">
      <w:pPr>
        <w:pStyle w:val="Subtitle"/>
      </w:pPr>
    </w:p>
    <w:p w:rsidR="00641AA6" w:rsidRPr="00E70C1C" w:rsidRDefault="00127C39">
      <w:pPr>
        <w:pStyle w:val="Subtitle"/>
      </w:pPr>
      <w:r w:rsidRPr="00E70C1C">
        <w:t>28 септември 2017 г., Брюксел</w:t>
      </w:r>
    </w:p>
    <w:p w:rsidR="00641AA6" w:rsidRPr="00E70C1C" w:rsidRDefault="00641AA6">
      <w:pPr>
        <w:pStyle w:val="Subtitle"/>
      </w:pPr>
    </w:p>
    <w:p w:rsidR="00641AA6" w:rsidRPr="00E70C1C" w:rsidRDefault="00127C39">
      <w:pPr>
        <w:pStyle w:val="Heading1"/>
        <w:numPr>
          <w:ilvl w:val="0"/>
          <w:numId w:val="3"/>
        </w:numPr>
        <w:ind w:left="0"/>
      </w:pPr>
      <w:r w:rsidRPr="00E70C1C">
        <w:t>приемане на дневния ред и на протокола от предишното заседание</w:t>
      </w:r>
    </w:p>
    <w:p w:rsidR="00641AA6" w:rsidRPr="00E70C1C" w:rsidRDefault="00641AA6">
      <w:pPr>
        <w:pStyle w:val="ListParagraph"/>
        <w:ind w:left="0"/>
        <w:jc w:val="both"/>
      </w:pPr>
    </w:p>
    <w:p w:rsidR="00641AA6" w:rsidRPr="00E70C1C" w:rsidRDefault="00127C39">
      <w:pPr>
        <w:pStyle w:val="ListParagraph"/>
        <w:ind w:left="0"/>
        <w:jc w:val="both"/>
      </w:pPr>
      <w:r w:rsidRPr="00E70C1C">
        <w:t>Дневният ред (документ ИКТ/</w:t>
      </w:r>
      <w:r w:rsidR="00E70C1C" w:rsidRPr="00E70C1C">
        <w:t xml:space="preserve"> MSP</w:t>
      </w:r>
      <w:r w:rsidRPr="00E70C1C">
        <w:t xml:space="preserve"> (2017)523v2) беше представен от председателя.</w:t>
      </w:r>
      <w:hyperlink r:id="rId8">
        <w:r w:rsidRPr="00E70C1C">
          <w:t xml:space="preserve"> Има предложение </w:t>
        </w:r>
        <w:r w:rsidR="00E70C1C" w:rsidRPr="00E70C1C">
          <w:t xml:space="preserve">в дневния ред </w:t>
        </w:r>
        <w:r w:rsidRPr="00E70C1C">
          <w:t xml:space="preserve">да се включи темата </w:t>
        </w:r>
        <w:r w:rsidR="00E70C1C">
          <w:t>за</w:t>
        </w:r>
        <w:r w:rsidRPr="00E70C1C">
          <w:t xml:space="preserve"> </w:t>
        </w:r>
        <w:proofErr w:type="spellStart"/>
        <w:r w:rsidRPr="00E70C1C">
          <w:t>киберсигурността</w:t>
        </w:r>
        <w:proofErr w:type="spellEnd"/>
        <w:r w:rsidRPr="00E70C1C">
          <w:t xml:space="preserve">. Председателят обясни, че този въпрос ще бъде основна тема за следващото заседание на </w:t>
        </w:r>
        <w:r w:rsidR="00E70C1C" w:rsidRPr="00E70C1C">
          <w:t>MSP</w:t>
        </w:r>
        <w:r w:rsidR="00E70C1C">
          <w:t>, но се съгласи</w:t>
        </w:r>
        <w:r w:rsidRPr="00E70C1C">
          <w:t xml:space="preserve"> да </w:t>
        </w:r>
        <w:r w:rsidR="00E70C1C">
          <w:t>бъдат казани</w:t>
        </w:r>
        <w:r w:rsidRPr="00E70C1C">
          <w:t xml:space="preserve"> няколко думи в края на заседанието. Дневният ред беше приет без изменения.</w:t>
        </w:r>
      </w:hyperlink>
    </w:p>
    <w:p w:rsidR="00641AA6" w:rsidRPr="00E70C1C" w:rsidRDefault="00641AA6">
      <w:pPr>
        <w:pStyle w:val="ListParagraph"/>
        <w:ind w:left="0"/>
        <w:jc w:val="both"/>
      </w:pPr>
    </w:p>
    <w:p w:rsidR="00641AA6" w:rsidRPr="00E70C1C" w:rsidRDefault="00127C39">
      <w:pPr>
        <w:pStyle w:val="ListParagraph"/>
        <w:ind w:left="0"/>
        <w:jc w:val="both"/>
      </w:pPr>
      <w:r w:rsidRPr="00E70C1C">
        <w:t>Протоколът от предходното заседание (документ ИКТ/</w:t>
      </w:r>
      <w:r w:rsidR="00E70C1C" w:rsidRPr="00E70C1C">
        <w:t xml:space="preserve"> MSP</w:t>
      </w:r>
      <w:r w:rsidRPr="00E70C1C">
        <w:t xml:space="preserve"> (2017)520), </w:t>
      </w:r>
      <w:r w:rsidR="00E70C1C">
        <w:t>беш</w:t>
      </w:r>
      <w:r w:rsidRPr="00E70C1C">
        <w:t>е приет с промените, поискан</w:t>
      </w:r>
      <w:r w:rsidR="00E70C1C">
        <w:t>и</w:t>
      </w:r>
      <w:r w:rsidRPr="00E70C1C">
        <w:t xml:space="preserve"> от Германия, Обединеното кралство и Италия.</w:t>
      </w:r>
      <w:hyperlink r:id="rId9">
        <w:r w:rsidRPr="00E70C1C">
          <w:t xml:space="preserve"> Те ще бъдат въведени след поправка в CIRCABC.</w:t>
        </w:r>
      </w:hyperlink>
    </w:p>
    <w:p w:rsidR="00641AA6" w:rsidRPr="00E70C1C" w:rsidRDefault="00641AA6">
      <w:pPr>
        <w:pStyle w:val="ListParagraph"/>
        <w:ind w:left="0"/>
        <w:jc w:val="both"/>
        <w:rPr>
          <w:color w:val="FF0000"/>
        </w:rPr>
      </w:pPr>
    </w:p>
    <w:p w:rsidR="00641AA6" w:rsidRPr="00E70C1C" w:rsidRDefault="00127C39">
      <w:pPr>
        <w:pStyle w:val="ListParagraph"/>
        <w:ind w:left="0"/>
        <w:jc w:val="both"/>
      </w:pPr>
      <w:proofErr w:type="spellStart"/>
      <w:r w:rsidRPr="00E70C1C">
        <w:rPr>
          <w:i/>
        </w:rPr>
        <w:t>Belén</w:t>
      </w:r>
      <w:proofErr w:type="spellEnd"/>
      <w:r w:rsidRPr="00E70C1C">
        <w:rPr>
          <w:i/>
        </w:rPr>
        <w:t xml:space="preserve"> </w:t>
      </w:r>
      <w:proofErr w:type="spellStart"/>
      <w:r w:rsidR="00E70C1C" w:rsidRPr="00E70C1C">
        <w:rPr>
          <w:i/>
        </w:rPr>
        <w:t>Martínez</w:t>
      </w:r>
      <w:proofErr w:type="spellEnd"/>
      <w:r w:rsidRPr="00E70C1C">
        <w:rPr>
          <w:i/>
        </w:rPr>
        <w:t xml:space="preserve"> (ГД GROW) се спря на списъка с действия, включени в края на протокола.</w:t>
      </w:r>
      <w:r w:rsidRPr="00E70C1C">
        <w:t xml:space="preserve"> Тя поясни, че само е извършено действие 20.6; по отношение на действие 20.1 само Швейцария са изпратили информация; действия 20.2, 20.3 и 20.5 </w:t>
      </w:r>
      <w:r w:rsidR="00E70C1C">
        <w:t xml:space="preserve">по които </w:t>
      </w:r>
      <w:r w:rsidRPr="00E70C1C">
        <w:t>държавите членки бяха помолени да предоставят данни</w:t>
      </w:r>
      <w:r w:rsidR="00E70C1C">
        <w:t>,</w:t>
      </w:r>
      <w:r w:rsidRPr="00E70C1C">
        <w:t xml:space="preserve"> не са </w:t>
      </w:r>
      <w:r w:rsidR="00E70C1C">
        <w:t>извършени</w:t>
      </w:r>
      <w:r w:rsidRPr="00E70C1C">
        <w:t xml:space="preserve">. Същото се </w:t>
      </w:r>
      <w:r w:rsidR="00E70C1C">
        <w:t xml:space="preserve">е </w:t>
      </w:r>
      <w:r w:rsidRPr="00E70C1C">
        <w:t>случи</w:t>
      </w:r>
      <w:r w:rsidR="00E70C1C">
        <w:t>ло и</w:t>
      </w:r>
      <w:r w:rsidRPr="00E70C1C">
        <w:t xml:space="preserve"> с действие 20.4, въпреки че в този случай по-голямата част от изискваната информация е получена чрез оценка на въздействието, извършена преди приемането на пакет</w:t>
      </w:r>
      <w:r w:rsidR="00E70C1C">
        <w:t>а</w:t>
      </w:r>
      <w:r w:rsidRPr="00E70C1C">
        <w:t xml:space="preserve"> за </w:t>
      </w:r>
      <w:proofErr w:type="spellStart"/>
      <w:r w:rsidRPr="00E70C1C">
        <w:t>киберсигурност</w:t>
      </w:r>
      <w:proofErr w:type="spellEnd"/>
      <w:r w:rsidRPr="00E70C1C">
        <w:t>. Действия 20.4 и 20.5 остават открити и ще бъдат включени отново за следващото заседание.</w:t>
      </w:r>
    </w:p>
    <w:p w:rsidR="00641AA6" w:rsidRPr="00E70C1C" w:rsidRDefault="00E70C1C">
      <w:pPr>
        <w:pStyle w:val="ListParagraph"/>
        <w:ind w:left="0"/>
        <w:jc w:val="both"/>
      </w:pPr>
      <w:r>
        <w:t>Беше поставен въпрос за промяната в политиката относно поименните приноси към</w:t>
      </w:r>
      <w:r w:rsidR="00127C39" w:rsidRPr="00E70C1C">
        <w:t xml:space="preserve"> протокола. Комисията потвърди, че няма промяна — допринасящи страни с</w:t>
      </w:r>
      <w:r>
        <w:t>е</w:t>
      </w:r>
      <w:r w:rsidR="00127C39" w:rsidRPr="00E70C1C">
        <w:t xml:space="preserve"> посоч</w:t>
      </w:r>
      <w:r>
        <w:t>ват</w:t>
      </w:r>
      <w:r w:rsidR="00127C39" w:rsidRPr="00E70C1C">
        <w:t xml:space="preserve"> само в случай че те поискат, или в случай че това увеличава яснотата на съдържанието.</w:t>
      </w:r>
    </w:p>
    <w:p w:rsidR="00641AA6" w:rsidRPr="00E70C1C" w:rsidRDefault="003C30B9">
      <w:pPr>
        <w:pStyle w:val="Heading1"/>
        <w:numPr>
          <w:ilvl w:val="0"/>
          <w:numId w:val="3"/>
        </w:numPr>
        <w:ind w:left="0" w:firstLine="0"/>
      </w:pPr>
      <w:r>
        <w:lastRenderedPageBreak/>
        <w:t>Заседание по същество</w:t>
      </w:r>
    </w:p>
    <w:p w:rsidR="00641AA6" w:rsidRPr="00E70C1C" w:rsidRDefault="00127C39">
      <w:pPr>
        <w:spacing w:after="0"/>
      </w:pPr>
      <w:r w:rsidRPr="00E70C1C">
        <w:t xml:space="preserve">Заседанието беше </w:t>
      </w:r>
      <w:r w:rsidR="003C30B9">
        <w:t>закрито</w:t>
      </w:r>
      <w:r w:rsidRPr="00E70C1C">
        <w:t xml:space="preserve">. Участниците бяха членове на платформата, </w:t>
      </w:r>
      <w:r w:rsidR="003C30B9">
        <w:t xml:space="preserve">длъжностни </w:t>
      </w:r>
      <w:r w:rsidR="003C30B9" w:rsidRPr="00E70C1C">
        <w:t xml:space="preserve">лица </w:t>
      </w:r>
      <w:r w:rsidR="003C30B9">
        <w:t xml:space="preserve">от </w:t>
      </w:r>
      <w:r w:rsidRPr="00E70C1C">
        <w:t>Комисията, занимаващи се със съответните политики и някои експерти, поканени по конкретни точки в дневния ред (вж. списък на участниците в точка 5).</w:t>
      </w:r>
      <w:r w:rsidRPr="00E70C1C">
        <w:rPr>
          <w:rStyle w:val="FootnoteAnchor"/>
        </w:rPr>
        <w:footnoteReference w:id="2"/>
      </w:r>
    </w:p>
    <w:p w:rsidR="00641AA6" w:rsidRPr="00E70C1C" w:rsidRDefault="00127C39">
      <w:pPr>
        <w:pStyle w:val="Heading1"/>
        <w:numPr>
          <w:ilvl w:val="0"/>
          <w:numId w:val="3"/>
        </w:numPr>
        <w:ind w:left="0" w:firstLine="0"/>
      </w:pPr>
      <w:r w:rsidRPr="00E70C1C">
        <w:t>Списък с дискутираните точки</w:t>
      </w:r>
    </w:p>
    <w:p w:rsidR="00641AA6" w:rsidRPr="003C30B9" w:rsidRDefault="003C30B9">
      <w:pPr>
        <w:pStyle w:val="Heading1"/>
        <w:numPr>
          <w:ilvl w:val="0"/>
          <w:numId w:val="0"/>
        </w:numPr>
        <w:pBdr>
          <w:bottom w:val="single" w:sz="4" w:space="1" w:color="00000A"/>
        </w:pBdr>
        <w:ind w:left="480" w:hanging="480"/>
        <w:rPr>
          <w:rFonts w:asciiTheme="minorHAnsi" w:hAnsiTheme="minorHAnsi"/>
        </w:rPr>
      </w:pPr>
      <w:r>
        <w:rPr>
          <w:rFonts w:ascii="Times New Roman Bold" w:hAnsi="Times New Roman Bold"/>
        </w:rPr>
        <w:t>Откриване на заседанието</w:t>
      </w:r>
    </w:p>
    <w:p w:rsidR="00641AA6" w:rsidRPr="00E70C1C" w:rsidRDefault="00127C39">
      <w:pPr>
        <w:pStyle w:val="ListParagraph"/>
        <w:spacing w:before="120" w:after="240"/>
        <w:ind w:left="0"/>
        <w:jc w:val="both"/>
      </w:pPr>
      <w:proofErr w:type="spellStart"/>
      <w:r w:rsidRPr="00E70C1C">
        <w:rPr>
          <w:i/>
        </w:rPr>
        <w:t>Kirsi</w:t>
      </w:r>
      <w:proofErr w:type="spellEnd"/>
      <w:r w:rsidRPr="00E70C1C">
        <w:rPr>
          <w:i/>
        </w:rPr>
        <w:t xml:space="preserve"> </w:t>
      </w:r>
      <w:proofErr w:type="spellStart"/>
      <w:r w:rsidRPr="00E70C1C">
        <w:rPr>
          <w:i/>
        </w:rPr>
        <w:t>Ekroth-Manssila</w:t>
      </w:r>
      <w:proofErr w:type="spellEnd"/>
      <w:r w:rsidRPr="00E70C1C">
        <w:rPr>
          <w:i/>
        </w:rPr>
        <w:t>, съпредседател (ГД GROW), откри заседанието.</w:t>
      </w:r>
      <w:r w:rsidRPr="00E70C1C">
        <w:t xml:space="preserve"> Следобедната сесия беше председателствана от </w:t>
      </w:r>
      <w:proofErr w:type="spellStart"/>
      <w:r w:rsidR="003C30B9" w:rsidRPr="003C30B9">
        <w:t>Peteris</w:t>
      </w:r>
      <w:proofErr w:type="spellEnd"/>
      <w:r w:rsidRPr="00E70C1C">
        <w:t xml:space="preserve"> </w:t>
      </w:r>
      <w:proofErr w:type="spellStart"/>
      <w:r w:rsidRPr="00E70C1C">
        <w:t>Zilgalvis</w:t>
      </w:r>
      <w:proofErr w:type="spellEnd"/>
      <w:r w:rsidRPr="00E70C1C">
        <w:t xml:space="preserve"> (ГД „Съобщителни мрежи, съдържание и технологии“). Тя приветства новия заместник-член на IEEE, г-н </w:t>
      </w:r>
      <w:proofErr w:type="spellStart"/>
      <w:r w:rsidRPr="00E70C1C">
        <w:t>Hermann</w:t>
      </w:r>
      <w:proofErr w:type="spellEnd"/>
      <w:r w:rsidRPr="00E70C1C">
        <w:t xml:space="preserve"> </w:t>
      </w:r>
      <w:proofErr w:type="spellStart"/>
      <w:r w:rsidRPr="00E70C1C">
        <w:t>Brand</w:t>
      </w:r>
      <w:proofErr w:type="spellEnd"/>
      <w:r w:rsidRPr="00E70C1C">
        <w:t xml:space="preserve">. </w:t>
      </w:r>
      <w:r w:rsidR="003C30B9">
        <w:t xml:space="preserve">Председателят </w:t>
      </w:r>
      <w:r w:rsidRPr="00E70C1C">
        <w:t xml:space="preserve"> обяви следните замени: Г-н </w:t>
      </w:r>
      <w:proofErr w:type="spellStart"/>
      <w:r w:rsidRPr="00E70C1C">
        <w:t>Constant</w:t>
      </w:r>
      <w:proofErr w:type="spellEnd"/>
      <w:r w:rsidRPr="00E70C1C">
        <w:t xml:space="preserve"> </w:t>
      </w:r>
      <w:proofErr w:type="spellStart"/>
      <w:r w:rsidRPr="00E70C1C">
        <w:t>Kohler</w:t>
      </w:r>
      <w:proofErr w:type="spellEnd"/>
      <w:r w:rsidRPr="00E70C1C">
        <w:t xml:space="preserve"> ще представляват CENELEC в отсъствието на </w:t>
      </w:r>
      <w:proofErr w:type="spellStart"/>
      <w:r w:rsidRPr="00E70C1C">
        <w:t>Geert</w:t>
      </w:r>
      <w:proofErr w:type="spellEnd"/>
      <w:r w:rsidRPr="00E70C1C">
        <w:t xml:space="preserve"> </w:t>
      </w:r>
      <w:proofErr w:type="spellStart"/>
      <w:r w:rsidRPr="00E70C1C">
        <w:t>Maes</w:t>
      </w:r>
      <w:proofErr w:type="spellEnd"/>
      <w:r w:rsidRPr="00E70C1C">
        <w:t xml:space="preserve">; Г-жа </w:t>
      </w:r>
      <w:proofErr w:type="spellStart"/>
      <w:r w:rsidRPr="00E70C1C">
        <w:t>Margot</w:t>
      </w:r>
      <w:proofErr w:type="spellEnd"/>
      <w:r w:rsidRPr="00E70C1C">
        <w:t xml:space="preserve"> </w:t>
      </w:r>
      <w:proofErr w:type="spellStart"/>
      <w:r w:rsidRPr="00E70C1C">
        <w:t>Dor</w:t>
      </w:r>
      <w:proofErr w:type="spellEnd"/>
      <w:r w:rsidRPr="00E70C1C">
        <w:t xml:space="preserve"> ще замени </w:t>
      </w:r>
      <w:proofErr w:type="spellStart"/>
      <w:r w:rsidRPr="00E70C1C">
        <w:t>Dirk</w:t>
      </w:r>
      <w:proofErr w:type="spellEnd"/>
      <w:r w:rsidRPr="00E70C1C">
        <w:t xml:space="preserve"> </w:t>
      </w:r>
      <w:proofErr w:type="spellStart"/>
      <w:r w:rsidRPr="00E70C1C">
        <w:t>Weiler</w:t>
      </w:r>
      <w:proofErr w:type="spellEnd"/>
      <w:r w:rsidRPr="00E70C1C">
        <w:t xml:space="preserve">, представител на ETSI; Г-жа </w:t>
      </w:r>
      <w:proofErr w:type="spellStart"/>
      <w:r w:rsidRPr="00E70C1C">
        <w:t>Gill</w:t>
      </w:r>
      <w:proofErr w:type="spellEnd"/>
      <w:r w:rsidRPr="00E70C1C">
        <w:t xml:space="preserve"> </w:t>
      </w:r>
      <w:proofErr w:type="spellStart"/>
      <w:r w:rsidRPr="00E70C1C">
        <w:t>Whitney</w:t>
      </w:r>
      <w:proofErr w:type="spellEnd"/>
      <w:r w:rsidRPr="00E70C1C">
        <w:t xml:space="preserve"> ще представлява ANEC и г-</w:t>
      </w:r>
      <w:r w:rsidR="003C30B9">
        <w:t xml:space="preserve">н </w:t>
      </w:r>
      <w:proofErr w:type="spellStart"/>
      <w:r w:rsidR="003C30B9">
        <w:t>Michel</w:t>
      </w:r>
      <w:proofErr w:type="spellEnd"/>
      <w:r w:rsidR="003C30B9">
        <w:t xml:space="preserve"> </w:t>
      </w:r>
      <w:proofErr w:type="spellStart"/>
      <w:r w:rsidR="003C30B9">
        <w:t>Ludwig</w:t>
      </w:r>
      <w:proofErr w:type="spellEnd"/>
      <w:r w:rsidR="003C30B9">
        <w:t xml:space="preserve"> ще представлява</w:t>
      </w:r>
      <w:r w:rsidRPr="00E70C1C">
        <w:t xml:space="preserve"> </w:t>
      </w:r>
      <w:r w:rsidR="003C30B9" w:rsidRPr="00E70C1C">
        <w:t xml:space="preserve">от </w:t>
      </w:r>
      <w:r w:rsidRPr="00E70C1C">
        <w:t>днес Люксембург.</w:t>
      </w:r>
    </w:p>
    <w:p w:rsidR="00641AA6" w:rsidRPr="00E70C1C" w:rsidRDefault="00127C39">
      <w:pPr>
        <w:pStyle w:val="ListParagraph"/>
        <w:spacing w:before="120" w:after="240"/>
        <w:ind w:left="0"/>
        <w:jc w:val="both"/>
      </w:pPr>
      <w:r w:rsidRPr="00E70C1C">
        <w:t xml:space="preserve">Председателят представи извинения за френския представител, г-н </w:t>
      </w:r>
      <w:r w:rsidR="003C30B9">
        <w:rPr>
          <w:lang w:val="en-US"/>
        </w:rPr>
        <w:t>Remi</w:t>
      </w:r>
      <w:r w:rsidRPr="00E70C1C">
        <w:t xml:space="preserve"> </w:t>
      </w:r>
      <w:proofErr w:type="spellStart"/>
      <w:r w:rsidRPr="00E70C1C">
        <w:t>Arquevaux</w:t>
      </w:r>
      <w:proofErr w:type="spellEnd"/>
      <w:r w:rsidRPr="00E70C1C">
        <w:t xml:space="preserve"> и г-н </w:t>
      </w:r>
      <w:proofErr w:type="spellStart"/>
      <w:r w:rsidRPr="00E70C1C">
        <w:t>Thomas</w:t>
      </w:r>
      <w:proofErr w:type="spellEnd"/>
      <w:r w:rsidRPr="00E70C1C">
        <w:t xml:space="preserve"> </w:t>
      </w:r>
      <w:proofErr w:type="spellStart"/>
      <w:r w:rsidRPr="00E70C1C">
        <w:t>N</w:t>
      </w:r>
      <w:r w:rsidR="003C30B9" w:rsidRPr="00E70C1C">
        <w:t>äf</w:t>
      </w:r>
      <w:proofErr w:type="spellEnd"/>
      <w:r w:rsidRPr="00E70C1C">
        <w:t xml:space="preserve">, представителя на Лихтенщайн, които не могат да присъстват поради други ангажименти; Представителят на Австрия, г-н Martin </w:t>
      </w:r>
      <w:proofErr w:type="spellStart"/>
      <w:r w:rsidRPr="00E70C1C">
        <w:t>Prager</w:t>
      </w:r>
      <w:proofErr w:type="spellEnd"/>
      <w:r w:rsidRPr="00E70C1C">
        <w:t>, преда</w:t>
      </w:r>
      <w:r w:rsidR="003C30B9">
        <w:t>де</w:t>
      </w:r>
      <w:r w:rsidRPr="00E70C1C">
        <w:t xml:space="preserve"> своята благодарност </w:t>
      </w:r>
      <w:r w:rsidR="003C30B9">
        <w:t>н</w:t>
      </w:r>
      <w:r w:rsidRPr="00E70C1C">
        <w:t>а членове</w:t>
      </w:r>
      <w:r w:rsidR="003C30B9">
        <w:t>те</w:t>
      </w:r>
      <w:r w:rsidRPr="00E70C1C">
        <w:t xml:space="preserve"> за </w:t>
      </w:r>
      <w:r w:rsidR="003C30B9">
        <w:t>поканата</w:t>
      </w:r>
      <w:r w:rsidRPr="00E70C1C">
        <w:t xml:space="preserve"> и заяви желанието си да присъства на следващото заседание </w:t>
      </w:r>
      <w:r w:rsidR="003C30B9" w:rsidRPr="00E70C1C">
        <w:t xml:space="preserve">на </w:t>
      </w:r>
      <w:r w:rsidR="003C30B9" w:rsidRPr="003C30B9">
        <w:t xml:space="preserve">MSP </w:t>
      </w:r>
      <w:r w:rsidRPr="00E70C1C">
        <w:t>през декември.</w:t>
      </w:r>
    </w:p>
    <w:p w:rsidR="00641AA6" w:rsidRPr="00E70C1C" w:rsidRDefault="00127C39">
      <w:pPr>
        <w:pStyle w:val="ListParagraph"/>
        <w:spacing w:before="120" w:after="240"/>
        <w:ind w:left="0"/>
        <w:jc w:val="both"/>
      </w:pPr>
      <w:r w:rsidRPr="00E70C1C">
        <w:t xml:space="preserve">При откриването председателят отбеляза приемането на </w:t>
      </w:r>
      <w:r w:rsidR="003C30B9" w:rsidRPr="00E70C1C">
        <w:t xml:space="preserve">инициативата </w:t>
      </w:r>
      <w:r w:rsidR="003C30B9">
        <w:t>за новата индустриална политика,</w:t>
      </w:r>
      <w:r w:rsidRPr="00E70C1C">
        <w:t xml:space="preserve"> нейните основни елементи и как т</w:t>
      </w:r>
      <w:r w:rsidR="003C30B9">
        <w:t>я</w:t>
      </w:r>
      <w:r w:rsidRPr="00E70C1C">
        <w:t xml:space="preserve"> обхваща настоящата политика на Комисията.</w:t>
      </w:r>
      <w:hyperlink r:id="rId10">
        <w:r w:rsidRPr="00E70C1C">
          <w:t xml:space="preserve"> Ролята на стандартизацията в модернизацията на промишлеността се споменава в съобщението.</w:t>
        </w:r>
      </w:hyperlink>
    </w:p>
    <w:p w:rsidR="00641AA6" w:rsidRPr="00E70C1C" w:rsidRDefault="00127C39" w:rsidP="003C30B9">
      <w:pPr>
        <w:pStyle w:val="Heading2"/>
        <w:spacing w:after="0"/>
      </w:pPr>
      <w:r w:rsidRPr="00E70C1C">
        <w:t>Стратегически подход към процеса на идентификация — Въпроси 4 и 5 &amp; обобщение на обсъжданията</w:t>
      </w:r>
    </w:p>
    <w:p w:rsidR="00641AA6" w:rsidRPr="00E70C1C" w:rsidRDefault="00F3586B">
      <w:pPr>
        <w:pStyle w:val="ListParagraph"/>
        <w:ind w:left="0"/>
        <w:jc w:val="both"/>
        <w:rPr>
          <w:i/>
        </w:rPr>
      </w:pPr>
      <w:hyperlink r:id="rId11">
        <w:r w:rsidR="00127C39" w:rsidRPr="00E70C1C">
          <w:t>Председателят се позова на документи ICT/MSP(2016)528, 530 &amp; 531 и прикани членовете на платформата да обсъдят дв</w:t>
        </w:r>
        <w:r w:rsidR="003C30B9">
          <w:t>ата</w:t>
        </w:r>
        <w:r w:rsidR="00127C39" w:rsidRPr="00E70C1C">
          <w:t xml:space="preserve"> оставащи въпроси, формулирани в документи</w:t>
        </w:r>
        <w:r w:rsidR="003C30B9">
          <w:t>те</w:t>
        </w:r>
        <w:r w:rsidR="00127C39" w:rsidRPr="00E70C1C">
          <w:t xml:space="preserve">, които бяха предложени от Испания след заседанието </w:t>
        </w:r>
        <w:r w:rsidR="003C30B9" w:rsidRPr="003C30B9">
          <w:t xml:space="preserve">на MSP </w:t>
        </w:r>
        <w:r w:rsidR="00127C39" w:rsidRPr="00E70C1C">
          <w:t>от 8 декември 2016 г. (документ за ИКТ/</w:t>
        </w:r>
        <w:r w:rsidR="003C30B9" w:rsidRPr="003C30B9">
          <w:t xml:space="preserve"> MSP</w:t>
        </w:r>
        <w:r w:rsidR="00127C39" w:rsidRPr="00E70C1C">
          <w:t xml:space="preserve"> (2017) 472) и да разгледа</w:t>
        </w:r>
        <w:r w:rsidR="003C30B9">
          <w:t>т</w:t>
        </w:r>
        <w:r w:rsidR="00127C39" w:rsidRPr="00E70C1C">
          <w:t xml:space="preserve"> обобщение</w:t>
        </w:r>
        <w:r w:rsidR="003C30B9">
          <w:t>то</w:t>
        </w:r>
        <w:r w:rsidR="00127C39" w:rsidRPr="00E70C1C">
          <w:t xml:space="preserve"> на становищата, изразени по време на последното заседание на </w:t>
        </w:r>
        <w:r w:rsidR="003C30B9" w:rsidRPr="003C30B9">
          <w:t>MSP</w:t>
        </w:r>
        <w:r w:rsidR="00127C39" w:rsidRPr="00E70C1C">
          <w:t>, включени в протокола, както и приносът на OFE и цифрова Европа и поуките от пилотния проект относно идентифицирането на STIX &amp; TAXII.</w:t>
        </w:r>
      </w:hyperlink>
    </w:p>
    <w:p w:rsidR="00641AA6" w:rsidRPr="00E70C1C" w:rsidRDefault="00127C39">
      <w:pPr>
        <w:pStyle w:val="ListParagraph"/>
        <w:ind w:left="0"/>
        <w:jc w:val="both"/>
      </w:pPr>
      <w:r w:rsidRPr="00C76765">
        <w:t>По време на последвалата дискусия членовете подчертаха ролята на цифровизацията в публичните</w:t>
      </w:r>
      <w:r w:rsidRPr="00E70C1C">
        <w:t xml:space="preserve"> политики. Те считат, че стандартите, разработени от форуми &amp; консорциуми са крайно необходими инструменти за модернизиране на промишлеността и публичните услуги. Следователно процесът на идентифициране е по-важ</w:t>
      </w:r>
      <w:r w:rsidR="00C76765">
        <w:t>ен</w:t>
      </w:r>
      <w:r w:rsidRPr="00E70C1C">
        <w:t xml:space="preserve"> от всякога, за да се интегрират тези спецификации в процедурите за възлагане на обществени поръчки. Този процес е едно от големите постижения на Регламент № 1025/2012, тъй като той дава възможност за позоваване на спецификациите на форуми &amp; консорциуми в областта на обществените поръчки. Комисията бе насърчена да извърши по-нататъшно опростяване и подобряване на процеса, ако е необходимо, но не и да постави под въпрос съществуването му. Целта на процеса е подкрепена от членове</w:t>
      </w:r>
      <w:r w:rsidR="00C76765">
        <w:t xml:space="preserve">те на </w:t>
      </w:r>
      <w:r w:rsidR="00C76765" w:rsidRPr="00C76765">
        <w:t>MSP</w:t>
      </w:r>
      <w:r w:rsidRPr="00E70C1C">
        <w:t>. В дискусията относно полезността на процеса на идентификация, членовете разгранич</w:t>
      </w:r>
      <w:r w:rsidR="00F00670">
        <w:t>иха</w:t>
      </w:r>
      <w:r w:rsidRPr="00E70C1C">
        <w:t xml:space="preserve"> ефективност </w:t>
      </w:r>
      <w:r w:rsidRPr="00E70C1C">
        <w:lastRenderedPageBreak/>
        <w:t xml:space="preserve">и ефикасност. Като има доказателство за ефективността на процеса, неговата </w:t>
      </w:r>
      <w:r w:rsidR="00F00670" w:rsidRPr="00E70C1C">
        <w:t xml:space="preserve">ефикасност </w:t>
      </w:r>
      <w:r w:rsidRPr="00E70C1C">
        <w:t xml:space="preserve">може да бъде допълнително подобрена. </w:t>
      </w:r>
      <w:r w:rsidR="00F00670">
        <w:t xml:space="preserve">Пилотният проект на </w:t>
      </w:r>
      <w:r w:rsidRPr="00E70C1C">
        <w:t xml:space="preserve">CAMSS </w:t>
      </w:r>
      <w:r w:rsidR="00F00670">
        <w:t xml:space="preserve">е </w:t>
      </w:r>
      <w:r w:rsidRPr="00E70C1C">
        <w:t>обнадеждаващ и положителна стъпка в правилната посока.</w:t>
      </w:r>
    </w:p>
    <w:p w:rsidR="00641AA6" w:rsidRPr="00E70C1C" w:rsidRDefault="00641AA6">
      <w:pPr>
        <w:pStyle w:val="ListParagraph"/>
        <w:ind w:left="0"/>
        <w:jc w:val="both"/>
      </w:pPr>
    </w:p>
    <w:p w:rsidR="00641AA6" w:rsidRPr="00E70C1C" w:rsidRDefault="00127C39">
      <w:pPr>
        <w:pStyle w:val="ListParagraph"/>
        <w:ind w:left="284"/>
        <w:jc w:val="both"/>
        <w:rPr>
          <w:i/>
        </w:rPr>
      </w:pPr>
      <w:r w:rsidRPr="00E70C1C">
        <w:rPr>
          <w:i/>
        </w:rPr>
        <w:t>Въпрос 4: „</w:t>
      </w:r>
      <w:r w:rsidR="00F00670">
        <w:rPr>
          <w:i/>
        </w:rPr>
        <w:t>Трябва ли</w:t>
      </w:r>
      <w:r w:rsidRPr="00E70C1C">
        <w:rPr>
          <w:i/>
        </w:rPr>
        <w:t xml:space="preserve"> идентифицирането на ИКТ техническите спецификации да бъд</w:t>
      </w:r>
      <w:r w:rsidR="00F00670">
        <w:rPr>
          <w:i/>
        </w:rPr>
        <w:t>е</w:t>
      </w:r>
      <w:r w:rsidRPr="00E70C1C">
        <w:rPr>
          <w:i/>
        </w:rPr>
        <w:t xml:space="preserve"> </w:t>
      </w:r>
      <w:r w:rsidR="00F00670">
        <w:rPr>
          <w:i/>
        </w:rPr>
        <w:t>насърчавано</w:t>
      </w:r>
      <w:r w:rsidRPr="00E70C1C">
        <w:rPr>
          <w:i/>
        </w:rPr>
        <w:t xml:space="preserve"> в 5-те приоритетни области?</w:t>
      </w:r>
    </w:p>
    <w:p w:rsidR="00641AA6" w:rsidRPr="00E70C1C" w:rsidRDefault="00127C39">
      <w:pPr>
        <w:pStyle w:val="ListParagraph"/>
        <w:ind w:left="0"/>
        <w:jc w:val="both"/>
      </w:pPr>
      <w:r w:rsidRPr="00E70C1C">
        <w:t>Бяха изразени различни мнения:</w:t>
      </w:r>
    </w:p>
    <w:p w:rsidR="00641AA6" w:rsidRPr="00E70C1C" w:rsidRDefault="00127C39" w:rsidP="00F00670">
      <w:pPr>
        <w:tabs>
          <w:tab w:val="left" w:pos="284"/>
        </w:tabs>
        <w:spacing w:after="0"/>
      </w:pPr>
      <w:r w:rsidRPr="00E70C1C">
        <w:t>Някои членове заявиха, че процесът на идентифициране на важните градивни елементи, от които се състои интернет инфраструктура едва сега започва. Съсредоточаване</w:t>
      </w:r>
      <w:r w:rsidR="00F00670">
        <w:t>то</w:t>
      </w:r>
      <w:r w:rsidRPr="00E70C1C">
        <w:t xml:space="preserve"> върху области на политиката (т.е. вертикали) може да доведе до отказ </w:t>
      </w:r>
      <w:r w:rsidR="00F00670">
        <w:t>от</w:t>
      </w:r>
      <w:r w:rsidRPr="00E70C1C">
        <w:t xml:space="preserve"> достатъчно внимание </w:t>
      </w:r>
      <w:r w:rsidR="00F00670">
        <w:t>върху</w:t>
      </w:r>
      <w:r w:rsidRPr="00E70C1C">
        <w:t xml:space="preserve"> тези основни градивни елементи, които са от решаващо значение за всяка модерна публична служба.</w:t>
      </w:r>
    </w:p>
    <w:p w:rsidR="00641AA6" w:rsidRPr="00E70C1C" w:rsidRDefault="00127C39" w:rsidP="00F00670">
      <w:pPr>
        <w:tabs>
          <w:tab w:val="left" w:pos="284"/>
        </w:tabs>
        <w:spacing w:after="0"/>
      </w:pPr>
      <w:r w:rsidRPr="00E70C1C">
        <w:t>Други делегации подкрепиха акцент</w:t>
      </w:r>
      <w:r w:rsidR="00F00670">
        <w:t>а</w:t>
      </w:r>
      <w:r w:rsidRPr="00E70C1C">
        <w:t xml:space="preserve"> върху 5-те приоритетни области, </w:t>
      </w:r>
      <w:r w:rsidR="00F00670">
        <w:t>докато съществува възможността</w:t>
      </w:r>
      <w:r w:rsidRPr="00E70C1C">
        <w:t xml:space="preserve"> друг</w:t>
      </w:r>
      <w:r w:rsidR="00F00670">
        <w:t>и спецификации</w:t>
      </w:r>
      <w:r w:rsidRPr="00E70C1C">
        <w:t xml:space="preserve"> да бъдат включени в процеса на </w:t>
      </w:r>
      <w:r w:rsidR="00F00670">
        <w:t>идентификация</w:t>
      </w:r>
      <w:r w:rsidRPr="00E70C1C">
        <w:t>.</w:t>
      </w:r>
    </w:p>
    <w:p w:rsidR="00641AA6" w:rsidRPr="00E70C1C" w:rsidRDefault="00127C39" w:rsidP="00F00670">
      <w:pPr>
        <w:tabs>
          <w:tab w:val="left" w:pos="284"/>
        </w:tabs>
        <w:spacing w:after="0"/>
      </w:pPr>
      <w:r w:rsidRPr="00E70C1C">
        <w:t>Някои чл</w:t>
      </w:r>
      <w:r w:rsidR="00F00670">
        <w:t>енове предложиха да се използва</w:t>
      </w:r>
      <w:r w:rsidRPr="00E70C1C">
        <w:t xml:space="preserve"> бъдещи</w:t>
      </w:r>
      <w:r w:rsidR="00F00670">
        <w:t>я</w:t>
      </w:r>
      <w:r w:rsidRPr="00E70C1C">
        <w:t xml:space="preserve"> </w:t>
      </w:r>
      <w:r w:rsidR="00F00670">
        <w:t>К</w:t>
      </w:r>
      <w:r w:rsidRPr="00E70C1C">
        <w:t xml:space="preserve">аталог на стандартите в областта на ИКТ за обществени поръчки като инструмент за насърчаване на определени спецификации. Те отбелязаха също, че </w:t>
      </w:r>
      <w:r w:rsidR="00F00670" w:rsidRPr="00E70C1C">
        <w:t>среда</w:t>
      </w:r>
      <w:r w:rsidR="00F00670">
        <w:t>та</w:t>
      </w:r>
      <w:r w:rsidR="00F00670" w:rsidRPr="00E70C1C">
        <w:t xml:space="preserve"> </w:t>
      </w:r>
      <w:r w:rsidRPr="00E70C1C">
        <w:t>трябва да бъде стабилна, като също така се вземат под внимание жизнения цикъл на спецификациите от евентуалното им идентифициране, чрез процеса на идентификация и евентуални бъдещи актуализации.</w:t>
      </w:r>
    </w:p>
    <w:p w:rsidR="00641AA6" w:rsidRPr="00E70C1C" w:rsidRDefault="00127C39" w:rsidP="00F00670">
      <w:pPr>
        <w:tabs>
          <w:tab w:val="left" w:pos="284"/>
        </w:tabs>
        <w:spacing w:after="0"/>
      </w:pPr>
      <w:r w:rsidRPr="00E70C1C">
        <w:t>Някои предложи също така да се взем</w:t>
      </w:r>
      <w:r w:rsidR="00F00670">
        <w:t>ат</w:t>
      </w:r>
      <w:r w:rsidRPr="00E70C1C">
        <w:t xml:space="preserve"> предвид изследователски</w:t>
      </w:r>
      <w:r w:rsidR="00F00670">
        <w:t>те</w:t>
      </w:r>
      <w:r w:rsidRPr="00E70C1C">
        <w:t xml:space="preserve"> проекти, които често водят до спецификациите с потенциал да бъдат идентифицирани. Други реагираха и настоя</w:t>
      </w:r>
      <w:r w:rsidR="00F00670">
        <w:t>ха</w:t>
      </w:r>
      <w:r w:rsidRPr="00E70C1C">
        <w:t>, че докато новаторските спецификации са добре дошли, те не следва да отклонява</w:t>
      </w:r>
      <w:r w:rsidR="00F00670">
        <w:t>т</w:t>
      </w:r>
      <w:r w:rsidRPr="00E70C1C">
        <w:t xml:space="preserve"> вниманието от основни</w:t>
      </w:r>
      <w:r w:rsidR="00F00670">
        <w:t>те</w:t>
      </w:r>
      <w:r w:rsidRPr="00E70C1C">
        <w:t xml:space="preserve"> градивни елементи, които са от решаващо значение за изграждането на инфраструктурата на интернет.</w:t>
      </w:r>
    </w:p>
    <w:p w:rsidR="00641AA6" w:rsidRPr="00E70C1C" w:rsidRDefault="00127C39">
      <w:pPr>
        <w:tabs>
          <w:tab w:val="left" w:pos="284"/>
        </w:tabs>
      </w:pPr>
      <w:r w:rsidRPr="00E70C1C">
        <w:t>Накрая някои членове изразиха задоволството си от използването на CAMSS методология</w:t>
      </w:r>
      <w:r w:rsidR="00F00670">
        <w:t>та</w:t>
      </w:r>
      <w:r w:rsidRPr="00E70C1C">
        <w:t xml:space="preserve"> и призова</w:t>
      </w:r>
      <w:r w:rsidR="00F00670">
        <w:t>ха</w:t>
      </w:r>
      <w:r w:rsidRPr="00E70C1C">
        <w:t xml:space="preserve"> за създаването на онлайн среда, където могат да бъдат </w:t>
      </w:r>
      <w:r w:rsidR="00F00670">
        <w:t xml:space="preserve">качени </w:t>
      </w:r>
      <w:r w:rsidRPr="00E70C1C">
        <w:t>всички свързани документи в стабилна среда.</w:t>
      </w:r>
    </w:p>
    <w:p w:rsidR="00641AA6" w:rsidRPr="00E70C1C" w:rsidRDefault="00127C39">
      <w:pPr>
        <w:pStyle w:val="ListParagraph"/>
        <w:ind w:left="284"/>
        <w:jc w:val="both"/>
        <w:rPr>
          <w:i/>
        </w:rPr>
      </w:pPr>
      <w:r w:rsidRPr="00E70C1C">
        <w:rPr>
          <w:i/>
        </w:rPr>
        <w:t>Въпрос 5. какви практически препоръки може да се съкрати процедурата на определяне? (например, че оценката не повтаря аспекти на организации с вече определените спецификации и други възможни мерки).</w:t>
      </w:r>
    </w:p>
    <w:p w:rsidR="00641AA6" w:rsidRPr="00E70C1C" w:rsidRDefault="00127C39" w:rsidP="00F00670">
      <w:pPr>
        <w:tabs>
          <w:tab w:val="left" w:pos="284"/>
        </w:tabs>
        <w:spacing w:after="0"/>
      </w:pPr>
      <w:r w:rsidRPr="00E70C1C">
        <w:t xml:space="preserve">По време на обсъждането беше направено позоваване на </w:t>
      </w:r>
      <w:r w:rsidR="00F00670">
        <w:t>Е</w:t>
      </w:r>
      <w:r w:rsidRPr="00E70C1C">
        <w:t>вропейски</w:t>
      </w:r>
      <w:r w:rsidR="00F00670">
        <w:t>я</w:t>
      </w:r>
      <w:r w:rsidRPr="00E70C1C">
        <w:t xml:space="preserve"> каталог на стандартите в областта на ИКТ. За улесняване на процеса на идентификация, освен че има </w:t>
      </w:r>
      <w:r w:rsidR="00F00670">
        <w:t>К</w:t>
      </w:r>
      <w:r w:rsidRPr="00E70C1C">
        <w:t>аталог, също така е важно да се поддържа „</w:t>
      </w:r>
      <w:proofErr w:type="spellStart"/>
      <w:r w:rsidRPr="00E70C1C">
        <w:t>pre-catalogue</w:t>
      </w:r>
      <w:proofErr w:type="spellEnd"/>
      <w:r w:rsidRPr="00E70C1C">
        <w:t xml:space="preserve">“, т.е. набор от спецификации, които е възможно да бъдат </w:t>
      </w:r>
      <w:r w:rsidR="00F00670">
        <w:t>идентифицирани</w:t>
      </w:r>
      <w:r w:rsidRPr="00E70C1C">
        <w:t>. Някои подчерта</w:t>
      </w:r>
      <w:r w:rsidR="00F00670">
        <w:t>ха</w:t>
      </w:r>
      <w:r w:rsidRPr="00E70C1C">
        <w:t xml:space="preserve"> също така, че процесът на </w:t>
      </w:r>
      <w:r w:rsidR="00F00670">
        <w:t>идентификация</w:t>
      </w:r>
      <w:r w:rsidRPr="00E70C1C">
        <w:t xml:space="preserve"> не следва да се разглежда като еднократен процес: к</w:t>
      </w:r>
      <w:r w:rsidR="00F00670">
        <w:t>огато една</w:t>
      </w:r>
      <w:r w:rsidRPr="00E70C1C">
        <w:t xml:space="preserve"> спецификации ще бъде актуализирана, ще бъде </w:t>
      </w:r>
      <w:r w:rsidR="00F00670">
        <w:t>важно да се разработи процес, като периодично се актуализира</w:t>
      </w:r>
      <w:r w:rsidRPr="00E70C1C">
        <w:t xml:space="preserve"> </w:t>
      </w:r>
      <w:r w:rsidR="00F00670">
        <w:t>К</w:t>
      </w:r>
      <w:r w:rsidRPr="00E70C1C">
        <w:t>аталог</w:t>
      </w:r>
      <w:r w:rsidR="00F00670">
        <w:t>а</w:t>
      </w:r>
      <w:r w:rsidRPr="00E70C1C">
        <w:t xml:space="preserve"> и </w:t>
      </w:r>
      <w:r w:rsidR="00F00670">
        <w:t xml:space="preserve">се </w:t>
      </w:r>
      <w:r w:rsidRPr="00E70C1C">
        <w:t>оценява</w:t>
      </w:r>
      <w:r w:rsidR="00F00670">
        <w:t>т</w:t>
      </w:r>
      <w:r w:rsidRPr="00E70C1C">
        <w:t xml:space="preserve"> всички спецификации.</w:t>
      </w:r>
    </w:p>
    <w:p w:rsidR="00641AA6" w:rsidRPr="00E70C1C" w:rsidRDefault="00127C39">
      <w:r w:rsidRPr="00E70C1C">
        <w:t>Председателят приключи обсъжданията относно процеса на идентифициране</w:t>
      </w:r>
      <w:r w:rsidR="00F00670">
        <w:t>, включен</w:t>
      </w:r>
      <w:r w:rsidRPr="00E70C1C">
        <w:t xml:space="preserve"> </w:t>
      </w:r>
      <w:r w:rsidR="00F00670">
        <w:t>в</w:t>
      </w:r>
      <w:r w:rsidRPr="00E70C1C">
        <w:t xml:space="preserve"> тази точка.</w:t>
      </w:r>
    </w:p>
    <w:p w:rsidR="00641AA6" w:rsidRPr="00E70C1C" w:rsidRDefault="00127C39">
      <w:pPr>
        <w:pStyle w:val="Heading1"/>
        <w:numPr>
          <w:ilvl w:val="0"/>
          <w:numId w:val="0"/>
        </w:numPr>
        <w:pBdr>
          <w:bottom w:val="single" w:sz="4" w:space="1" w:color="00000A"/>
        </w:pBdr>
        <w:ind w:left="480" w:hanging="480"/>
      </w:pPr>
      <w:r w:rsidRPr="00E70C1C">
        <w:t>Приоритети по отношение на политиката</w:t>
      </w:r>
    </w:p>
    <w:p w:rsidR="00641AA6" w:rsidRPr="00E70C1C" w:rsidRDefault="00127C39">
      <w:pPr>
        <w:pStyle w:val="Heading2"/>
        <w:rPr>
          <w:sz w:val="26"/>
          <w:szCs w:val="26"/>
          <w:u w:val="single"/>
        </w:rPr>
      </w:pPr>
      <w:r w:rsidRPr="00E70C1C">
        <w:rPr>
          <w:sz w:val="26"/>
          <w:szCs w:val="26"/>
          <w:u w:val="single"/>
        </w:rPr>
        <w:t>Съобщението „Приоритети за стандартизацията в областта на ИКТ</w:t>
      </w:r>
    </w:p>
    <w:p w:rsidR="00641AA6" w:rsidRPr="00E70C1C" w:rsidRDefault="00127C39">
      <w:pPr>
        <w:numPr>
          <w:ilvl w:val="0"/>
          <w:numId w:val="5"/>
        </w:numPr>
        <w:spacing w:after="200" w:line="276" w:lineRule="auto"/>
        <w:contextualSpacing/>
        <w:rPr>
          <w:rFonts w:eastAsia="Calibri"/>
          <w:b/>
          <w:i/>
          <w:szCs w:val="24"/>
        </w:rPr>
      </w:pPr>
      <w:r w:rsidRPr="00E70C1C">
        <w:rPr>
          <w:rFonts w:eastAsia="Calibri"/>
          <w:b/>
          <w:i/>
          <w:szCs w:val="24"/>
        </w:rPr>
        <w:t>Актуална информация относно приоритетни области: изчисления в облак</w:t>
      </w:r>
    </w:p>
    <w:p w:rsidR="00641AA6" w:rsidRPr="00E70C1C" w:rsidRDefault="00127C39" w:rsidP="00F00670">
      <w:pPr>
        <w:tabs>
          <w:tab w:val="left" w:pos="284"/>
        </w:tabs>
        <w:spacing w:after="0"/>
      </w:pPr>
      <w:proofErr w:type="spellStart"/>
      <w:r w:rsidRPr="00E70C1C">
        <w:rPr>
          <w:i/>
        </w:rPr>
        <w:t>Luis</w:t>
      </w:r>
      <w:proofErr w:type="spellEnd"/>
      <w:r w:rsidRPr="00E70C1C">
        <w:rPr>
          <w:i/>
        </w:rPr>
        <w:t xml:space="preserve"> В. </w:t>
      </w:r>
      <w:proofErr w:type="spellStart"/>
      <w:r w:rsidRPr="00E70C1C">
        <w:rPr>
          <w:i/>
        </w:rPr>
        <w:t>Busquets</w:t>
      </w:r>
      <w:proofErr w:type="spellEnd"/>
      <w:r w:rsidRPr="00E70C1C">
        <w:rPr>
          <w:i/>
        </w:rPr>
        <w:t xml:space="preserve"> </w:t>
      </w:r>
      <w:proofErr w:type="spellStart"/>
      <w:r w:rsidRPr="00E70C1C">
        <w:rPr>
          <w:i/>
        </w:rPr>
        <w:t>Pérez</w:t>
      </w:r>
      <w:proofErr w:type="spellEnd"/>
      <w:r w:rsidRPr="00E70C1C">
        <w:rPr>
          <w:i/>
        </w:rPr>
        <w:t xml:space="preserve"> (CNECT E2) представи документ ICT/MSP(2017)549</w:t>
      </w:r>
      <w:r w:rsidR="00456405">
        <w:rPr>
          <w:i/>
        </w:rPr>
        <w:t>, който</w:t>
      </w:r>
      <w:r w:rsidRPr="00E70C1C">
        <w:rPr>
          <w:i/>
        </w:rPr>
        <w:t xml:space="preserve"> се позовава на две проучвания („</w:t>
      </w:r>
      <w:r w:rsidR="00456405">
        <w:rPr>
          <w:i/>
        </w:rPr>
        <w:t>С</w:t>
      </w:r>
      <w:r w:rsidRPr="00E70C1C">
        <w:rPr>
          <w:i/>
        </w:rPr>
        <w:t>мяна на доставчици</w:t>
      </w:r>
      <w:r w:rsidR="00456405">
        <w:rPr>
          <w:i/>
        </w:rPr>
        <w:t xml:space="preserve">те на компютърни услуги в облак“ </w:t>
      </w:r>
      <w:r w:rsidRPr="00E70C1C">
        <w:rPr>
          <w:i/>
        </w:rPr>
        <w:t>и „Схеми за сертифициране на изчисления в обла</w:t>
      </w:r>
      <w:r w:rsidR="00456405">
        <w:rPr>
          <w:i/>
        </w:rPr>
        <w:t>к“), които изпълняват действие</w:t>
      </w:r>
      <w:r w:rsidRPr="00E70C1C">
        <w:rPr>
          <w:i/>
        </w:rPr>
        <w:t xml:space="preserve"> D1.1 на </w:t>
      </w:r>
      <w:r w:rsidR="00456405">
        <w:rPr>
          <w:i/>
        </w:rPr>
        <w:t>С</w:t>
      </w:r>
      <w:r w:rsidRPr="00E70C1C">
        <w:rPr>
          <w:i/>
        </w:rPr>
        <w:t>ъобщението:</w:t>
      </w:r>
      <w:hyperlink r:id="rId12">
        <w:r w:rsidRPr="00E70C1C">
          <w:t xml:space="preserve"> „Комисията възнамерява да подкрепя отпускането на средства за разработване и използване на стандартите в областта на ИКТ, които са необходими за </w:t>
        </w:r>
        <w:r w:rsidRPr="00E70C1C">
          <w:lastRenderedPageBreak/>
          <w:t>по-нататъшното подобряване на оперативната съвместимост и преносимостта на данните в облак“.</w:t>
        </w:r>
      </w:hyperlink>
    </w:p>
    <w:p w:rsidR="00641AA6" w:rsidRPr="00E70C1C" w:rsidRDefault="00127C39" w:rsidP="00F00670">
      <w:pPr>
        <w:tabs>
          <w:tab w:val="left" w:pos="284"/>
        </w:tabs>
        <w:spacing w:after="0"/>
      </w:pPr>
      <w:r w:rsidRPr="00E70C1C">
        <w:t xml:space="preserve">По време на последвалата дискусия, </w:t>
      </w:r>
      <w:r w:rsidR="00456405">
        <w:t>беше поставена</w:t>
      </w:r>
      <w:r w:rsidRPr="00E70C1C">
        <w:t xml:space="preserve"> под въпрос необходимостта от сертифициране на сигурността, </w:t>
      </w:r>
      <w:r w:rsidR="00456405">
        <w:t>което</w:t>
      </w:r>
      <w:r w:rsidRPr="00E70C1C">
        <w:t xml:space="preserve"> според неотдавнашно проучване — е вреден подход.</w:t>
      </w:r>
      <w:r w:rsidRPr="00E70C1C">
        <w:rPr>
          <w:rStyle w:val="FootnoteAnchor"/>
        </w:rPr>
        <w:footnoteReference w:id="3"/>
      </w:r>
    </w:p>
    <w:p w:rsidR="00641AA6" w:rsidRPr="00E70C1C" w:rsidRDefault="00127C39" w:rsidP="00F00670">
      <w:pPr>
        <w:tabs>
          <w:tab w:val="left" w:pos="284"/>
        </w:tabs>
        <w:spacing w:after="0"/>
      </w:pPr>
      <w:r w:rsidRPr="00E70C1C">
        <w:t xml:space="preserve">Той също така </w:t>
      </w:r>
      <w:r w:rsidR="00456405">
        <w:t>запита</w:t>
      </w:r>
      <w:r w:rsidRPr="00E70C1C">
        <w:t xml:space="preserve"> защо личните данни не </w:t>
      </w:r>
      <w:r w:rsidR="00456405">
        <w:t>са</w:t>
      </w:r>
      <w:r w:rsidRPr="00E70C1C">
        <w:t xml:space="preserve"> в обхвата на свободното движение на данни. Комисията обясни, че причината за това е, че личните данни са обхванати от Общия регламент относно защитата на данните, </w:t>
      </w:r>
      <w:r w:rsidR="00456405">
        <w:t xml:space="preserve">и </w:t>
      </w:r>
      <w:r w:rsidRPr="00E70C1C">
        <w:t xml:space="preserve">тъй като тези аспекти ще бъдат квалифицирани като </w:t>
      </w:r>
      <w:r w:rsidR="00456405">
        <w:t xml:space="preserve">аспекти на </w:t>
      </w:r>
      <w:r w:rsidR="00456405" w:rsidRPr="00E70C1C">
        <w:t>законодателство</w:t>
      </w:r>
      <w:r w:rsidR="00456405">
        <w:t>то на</w:t>
      </w:r>
      <w:r w:rsidR="00456405" w:rsidRPr="00E70C1C">
        <w:t xml:space="preserve"> </w:t>
      </w:r>
      <w:r w:rsidRPr="00E70C1C">
        <w:t>вътреш</w:t>
      </w:r>
      <w:r w:rsidR="00456405">
        <w:t xml:space="preserve">ния </w:t>
      </w:r>
      <w:r w:rsidRPr="00E70C1C">
        <w:t xml:space="preserve">пазар, </w:t>
      </w:r>
      <w:r w:rsidR="00456405">
        <w:t>то не е</w:t>
      </w:r>
      <w:r w:rsidRPr="00E70C1C">
        <w:t xml:space="preserve"> подходящо правно основание за уреждането на </w:t>
      </w:r>
      <w:r w:rsidR="00456405" w:rsidRPr="00E70C1C">
        <w:t xml:space="preserve">аспекти </w:t>
      </w:r>
      <w:r w:rsidR="00456405">
        <w:t xml:space="preserve">за </w:t>
      </w:r>
      <w:r w:rsidRPr="00E70C1C">
        <w:t>личните данни.</w:t>
      </w:r>
      <w:r w:rsidRPr="00E70C1C">
        <w:rPr>
          <w:rStyle w:val="FootnoteAnchor"/>
        </w:rPr>
        <w:footnoteReference w:id="4"/>
      </w:r>
    </w:p>
    <w:p w:rsidR="00641AA6" w:rsidRPr="00E70C1C" w:rsidRDefault="00127C39" w:rsidP="00F00670">
      <w:pPr>
        <w:tabs>
          <w:tab w:val="left" w:pos="284"/>
        </w:tabs>
        <w:spacing w:after="0"/>
      </w:pPr>
      <w:r w:rsidRPr="00E70C1C">
        <w:t>Някои членове изтъкнаха липсата на краткосрочно и дългосрочно архивиране, обхващащи аспекти на данните, съхранявани в облака, като изтък</w:t>
      </w:r>
      <w:r w:rsidR="00456405">
        <w:t>наха</w:t>
      </w:r>
      <w:r w:rsidRPr="00E70C1C">
        <w:t xml:space="preserve"> дългосрочните въпроси на извличане на данни </w:t>
      </w:r>
      <w:r w:rsidR="00456405">
        <w:t>както на</w:t>
      </w:r>
      <w:r w:rsidRPr="00E70C1C">
        <w:t xml:space="preserve"> физическ</w:t>
      </w:r>
      <w:r w:rsidR="00456405">
        <w:t>о</w:t>
      </w:r>
      <w:r w:rsidRPr="00E70C1C">
        <w:t xml:space="preserve">, така и </w:t>
      </w:r>
      <w:r w:rsidR="00456405">
        <w:t xml:space="preserve">на </w:t>
      </w:r>
      <w:r w:rsidRPr="00E70C1C">
        <w:t>синтактичн</w:t>
      </w:r>
      <w:r w:rsidR="00456405">
        <w:t>о</w:t>
      </w:r>
      <w:r w:rsidRPr="00E70C1C">
        <w:t xml:space="preserve">/семантично равнище. Комисията отговори, че политика за изчисления в облак е съсредоточена върху </w:t>
      </w:r>
      <w:r w:rsidR="00456405" w:rsidRPr="00E70C1C">
        <w:t>аспекти</w:t>
      </w:r>
      <w:r w:rsidR="00456405">
        <w:t>те на</w:t>
      </w:r>
      <w:r w:rsidR="00456405" w:rsidRPr="00E70C1C">
        <w:t xml:space="preserve"> </w:t>
      </w:r>
      <w:r w:rsidRPr="00E70C1C">
        <w:t xml:space="preserve">услугата на изчислителния облак: кои са пречките пред увеличаването на използването на услуги в облак. Във връзка с това счита, че тези услуги </w:t>
      </w:r>
      <w:r w:rsidR="00456405">
        <w:t xml:space="preserve">са </w:t>
      </w:r>
      <w:r w:rsidRPr="00E70C1C">
        <w:t xml:space="preserve">като „черна кутия“, </w:t>
      </w:r>
      <w:r w:rsidR="00456405">
        <w:t>без да оценява</w:t>
      </w:r>
      <w:r w:rsidRPr="00E70C1C">
        <w:t xml:space="preserve"> техническите аспекти на базовата архитектура. Подобен обхват позволява целенасочен подход към икономическата стойност и конкурентоспособността, пор</w:t>
      </w:r>
      <w:r w:rsidR="00456405">
        <w:t>одени от изчислителните облаци.</w:t>
      </w:r>
    </w:p>
    <w:p w:rsidR="00641AA6" w:rsidRPr="00E70C1C" w:rsidRDefault="00127C39" w:rsidP="00F00670">
      <w:pPr>
        <w:tabs>
          <w:tab w:val="left" w:pos="284"/>
        </w:tabs>
        <w:spacing w:after="0"/>
      </w:pPr>
      <w:r w:rsidRPr="00E70C1C">
        <w:t xml:space="preserve">Друга </w:t>
      </w:r>
      <w:r w:rsidR="00AB02ED">
        <w:t>отбелязаха долавящия се</w:t>
      </w:r>
      <w:r w:rsidRPr="00E70C1C">
        <w:t xml:space="preserve"> антагонизъм в </w:t>
      </w:r>
      <w:r w:rsidR="00AB02ED">
        <w:t>слайда</w:t>
      </w:r>
      <w:r w:rsidRPr="00E70C1C">
        <w:t xml:space="preserve"> за възможните сценарии.</w:t>
      </w:r>
      <w:r w:rsidRPr="00E70C1C">
        <w:rPr>
          <w:rStyle w:val="FootnoteAnchor"/>
        </w:rPr>
        <w:footnoteReference w:id="5"/>
      </w:r>
      <w:r w:rsidRPr="00E70C1C">
        <w:t xml:space="preserve"> По-конкретно, за новите технологии, обусловени от пазара </w:t>
      </w:r>
      <w:r w:rsidR="00AB02ED">
        <w:t xml:space="preserve">чрез </w:t>
      </w:r>
      <w:r w:rsidRPr="00E70C1C">
        <w:t xml:space="preserve">саморегулиране и </w:t>
      </w:r>
      <w:r w:rsidR="00AB02ED">
        <w:t xml:space="preserve">чрез </w:t>
      </w:r>
      <w:r w:rsidRPr="00E70C1C">
        <w:t>регулаторен надзор, не са взаимно отделни алтернативи. Комбинация от дв</w:t>
      </w:r>
      <w:r w:rsidR="00AB02ED">
        <w:t>ата</w:t>
      </w:r>
      <w:r w:rsidRPr="00E70C1C">
        <w:t xml:space="preserve"> подход</w:t>
      </w:r>
      <w:r w:rsidR="00AB02ED">
        <w:t>а</w:t>
      </w:r>
      <w:r w:rsidRPr="00E70C1C">
        <w:t xml:space="preserve"> обикновено вод</w:t>
      </w:r>
      <w:r w:rsidR="00AB02ED">
        <w:t>и</w:t>
      </w:r>
      <w:r w:rsidRPr="00E70C1C">
        <w:t xml:space="preserve"> до най-добри резултати. </w:t>
      </w:r>
      <w:r w:rsidR="00AB02ED">
        <w:t>Следва да се к</w:t>
      </w:r>
      <w:r w:rsidRPr="00E70C1C">
        <w:t>онцентр</w:t>
      </w:r>
      <w:r w:rsidR="00AB02ED">
        <w:t>ир</w:t>
      </w:r>
      <w:r w:rsidRPr="00E70C1C">
        <w:t>а</w:t>
      </w:r>
      <w:r w:rsidR="00AB02ED">
        <w:t>ме върху</w:t>
      </w:r>
      <w:r w:rsidRPr="00E70C1C">
        <w:t xml:space="preserve"> значение</w:t>
      </w:r>
      <w:r w:rsidR="00AB02ED">
        <w:t>то</w:t>
      </w:r>
      <w:r w:rsidRPr="00E70C1C">
        <w:t xml:space="preserve"> </w:t>
      </w:r>
      <w:r w:rsidR="00AB02ED">
        <w:t>н</w:t>
      </w:r>
      <w:r w:rsidRPr="00E70C1C">
        <w:t xml:space="preserve">а защитата и сигурността, </w:t>
      </w:r>
      <w:r w:rsidR="00AB02ED">
        <w:t xml:space="preserve">и да се </w:t>
      </w:r>
      <w:r w:rsidRPr="00E70C1C">
        <w:t>изясн</w:t>
      </w:r>
      <w:r w:rsidR="00AB02ED">
        <w:t>ят</w:t>
      </w:r>
      <w:r w:rsidRPr="00E70C1C">
        <w:t xml:space="preserve"> изискванията и стандартите, които могат да бъдат от полза. Комисията отговори, че </w:t>
      </w:r>
      <w:r w:rsidR="00AB02ED">
        <w:t>слайдът</w:t>
      </w:r>
      <w:r w:rsidRPr="00E70C1C">
        <w:t xml:space="preserve"> има за цел </w:t>
      </w:r>
      <w:r w:rsidR="00AB02ED">
        <w:t xml:space="preserve">да покаже </w:t>
      </w:r>
      <w:r w:rsidRPr="00E70C1C">
        <w:t xml:space="preserve">единствено проект на възможни сценарии, от </w:t>
      </w:r>
      <w:proofErr w:type="spellStart"/>
      <w:r w:rsidRPr="00E70C1C">
        <w:t>нерегулиране</w:t>
      </w:r>
      <w:proofErr w:type="spellEnd"/>
      <w:r w:rsidRPr="00E70C1C">
        <w:t xml:space="preserve"> на пъл</w:t>
      </w:r>
      <w:r w:rsidR="00AB02ED">
        <w:t>на</w:t>
      </w:r>
      <w:r w:rsidRPr="00E70C1C">
        <w:t xml:space="preserve"> регула</w:t>
      </w:r>
      <w:r w:rsidR="00AB02ED">
        <w:t>ция</w:t>
      </w:r>
      <w:r w:rsidRPr="00E70C1C">
        <w:t xml:space="preserve">. Преди да </w:t>
      </w:r>
      <w:r w:rsidR="00AB02ED">
        <w:t xml:space="preserve">се </w:t>
      </w:r>
      <w:r w:rsidRPr="00E70C1C">
        <w:t xml:space="preserve">направи извод относно възможни сценарии </w:t>
      </w:r>
      <w:r w:rsidR="00AB02ED" w:rsidRPr="00E70C1C">
        <w:t xml:space="preserve">трябва да бъдат анализирани </w:t>
      </w:r>
      <w:r w:rsidRPr="00E70C1C">
        <w:t>и сценари</w:t>
      </w:r>
      <w:r w:rsidR="00AB02ED">
        <w:t>ите</w:t>
      </w:r>
      <w:r w:rsidRPr="00E70C1C">
        <w:t xml:space="preserve"> на ползите и недостатъците. Причината, поради която пазарн</w:t>
      </w:r>
      <w:r w:rsidR="00AB02ED">
        <w:t>ият</w:t>
      </w:r>
      <w:r w:rsidRPr="00E70C1C">
        <w:t xml:space="preserve"> сценарий е в точка 0 е, че това положение не води до каквато и да е дейност от страна на Комисията. Комисията трябва да направи избор между въвеждане на повече правни или технически изисквания.</w:t>
      </w:r>
    </w:p>
    <w:p w:rsidR="00641AA6" w:rsidRPr="00E70C1C" w:rsidRDefault="00127C39" w:rsidP="00F00670">
      <w:pPr>
        <w:tabs>
          <w:tab w:val="left" w:pos="284"/>
        </w:tabs>
        <w:spacing w:after="0"/>
      </w:pPr>
      <w:r w:rsidRPr="00E70C1C">
        <w:t>Някои членове изразиха загриженост във връзка с големите предизвикателства по отношение на образованието на потребителите [на] за компютърни услуги „в облак“, свързани със сигурността. Те призоваха за ясно разграничаване на аспектите на сигурността от общото качество на продукта/услуг</w:t>
      </w:r>
      <w:r w:rsidR="00AB02ED">
        <w:t>ата</w:t>
      </w:r>
      <w:r w:rsidRPr="00E70C1C">
        <w:t xml:space="preserve"> като сигурност</w:t>
      </w:r>
      <w:r w:rsidR="00AB02ED">
        <w:t>та</w:t>
      </w:r>
      <w:r w:rsidRPr="00E70C1C">
        <w:t>, не следва да бъд</w:t>
      </w:r>
      <w:r w:rsidR="00AB02ED">
        <w:t>е</w:t>
      </w:r>
      <w:r w:rsidRPr="00E70C1C">
        <w:t xml:space="preserve"> част от цялостното качество, </w:t>
      </w:r>
      <w:r w:rsidR="00AB02ED">
        <w:t>а</w:t>
      </w:r>
      <w:r w:rsidRPr="00E70C1C">
        <w:t xml:space="preserve"> </w:t>
      </w:r>
      <w:r w:rsidR="00AB02ED">
        <w:t xml:space="preserve">да </w:t>
      </w:r>
      <w:r w:rsidRPr="00E70C1C">
        <w:t xml:space="preserve">се </w:t>
      </w:r>
      <w:r w:rsidR="00AB02ED">
        <w:t>разглежда</w:t>
      </w:r>
      <w:r w:rsidRPr="00E70C1C">
        <w:t xml:space="preserve"> отделно.</w:t>
      </w:r>
    </w:p>
    <w:p w:rsidR="00641AA6" w:rsidRDefault="00127C39" w:rsidP="00F00670">
      <w:pPr>
        <w:tabs>
          <w:tab w:val="left" w:pos="284"/>
        </w:tabs>
        <w:spacing w:after="0"/>
      </w:pPr>
      <w:r w:rsidRPr="00E70C1C">
        <w:t xml:space="preserve">Те също така приканиха Комисията </w:t>
      </w:r>
      <w:r w:rsidR="00AB02ED" w:rsidRPr="00E70C1C">
        <w:t xml:space="preserve">най-напред </w:t>
      </w:r>
      <w:r w:rsidRPr="00E70C1C">
        <w:t>да разчита на пазарни решения за разрешаването на възникващи проблеми. Силно регулирана</w:t>
      </w:r>
      <w:r w:rsidR="00AB02ED">
        <w:t>та</w:t>
      </w:r>
      <w:r w:rsidRPr="00E70C1C">
        <w:t xml:space="preserve"> среда следва да бъде </w:t>
      </w:r>
      <w:r w:rsidR="00AB02ED" w:rsidRPr="00E70C1C">
        <w:t xml:space="preserve">само </w:t>
      </w:r>
      <w:r w:rsidRPr="00E70C1C">
        <w:t>защит</w:t>
      </w:r>
      <w:r w:rsidR="00AB02ED">
        <w:t>но решение</w:t>
      </w:r>
      <w:r w:rsidRPr="00E70C1C">
        <w:t xml:space="preserve">, </w:t>
      </w:r>
      <w:r w:rsidR="00AB02ED">
        <w:t>а не</w:t>
      </w:r>
      <w:r w:rsidRPr="00E70C1C">
        <w:t xml:space="preserve"> </w:t>
      </w:r>
      <w:r w:rsidR="00AB02ED">
        <w:t>основна</w:t>
      </w:r>
      <w:r w:rsidRPr="00E70C1C">
        <w:t xml:space="preserve"> линия, която да се следва.</w:t>
      </w:r>
    </w:p>
    <w:p w:rsidR="00F00670" w:rsidRPr="00E70C1C" w:rsidRDefault="00F00670" w:rsidP="00F00670">
      <w:pPr>
        <w:tabs>
          <w:tab w:val="left" w:pos="284"/>
        </w:tabs>
        <w:spacing w:after="0"/>
      </w:pPr>
    </w:p>
    <w:p w:rsidR="00641AA6" w:rsidRPr="00E70C1C" w:rsidRDefault="00127C39">
      <w:pPr>
        <w:numPr>
          <w:ilvl w:val="0"/>
          <w:numId w:val="5"/>
        </w:numPr>
        <w:spacing w:after="200" w:line="276" w:lineRule="auto"/>
        <w:contextualSpacing/>
        <w:rPr>
          <w:rFonts w:eastAsia="Calibri"/>
          <w:b/>
          <w:i/>
          <w:szCs w:val="24"/>
        </w:rPr>
      </w:pPr>
      <w:r w:rsidRPr="00E70C1C">
        <w:rPr>
          <w:rFonts w:eastAsia="Calibri"/>
          <w:b/>
          <w:i/>
          <w:szCs w:val="24"/>
        </w:rPr>
        <w:t xml:space="preserve">Пакет за </w:t>
      </w:r>
      <w:proofErr w:type="spellStart"/>
      <w:r w:rsidRPr="00E70C1C">
        <w:rPr>
          <w:rFonts w:eastAsia="Calibri"/>
          <w:b/>
          <w:i/>
          <w:szCs w:val="24"/>
        </w:rPr>
        <w:t>киберсигурност</w:t>
      </w:r>
      <w:proofErr w:type="spellEnd"/>
    </w:p>
    <w:p w:rsidR="00641AA6" w:rsidRPr="00AB02ED" w:rsidRDefault="00127C39" w:rsidP="00AB02ED">
      <w:pPr>
        <w:tabs>
          <w:tab w:val="left" w:pos="284"/>
        </w:tabs>
        <w:spacing w:after="0"/>
        <w:rPr>
          <w:szCs w:val="24"/>
        </w:rPr>
      </w:pPr>
      <w:r w:rsidRPr="00AB02ED">
        <w:rPr>
          <w:szCs w:val="24"/>
        </w:rPr>
        <w:t xml:space="preserve">По искане на OFE, </w:t>
      </w:r>
      <w:proofErr w:type="spellStart"/>
      <w:r w:rsidR="00AB02ED" w:rsidRPr="00AB02ED">
        <w:rPr>
          <w:szCs w:val="24"/>
        </w:rPr>
        <w:t>Peteris</w:t>
      </w:r>
      <w:proofErr w:type="spellEnd"/>
      <w:r w:rsidRPr="00AB02ED">
        <w:rPr>
          <w:szCs w:val="24"/>
        </w:rPr>
        <w:t xml:space="preserve"> </w:t>
      </w:r>
      <w:proofErr w:type="spellStart"/>
      <w:r w:rsidRPr="00AB02ED">
        <w:rPr>
          <w:szCs w:val="24"/>
        </w:rPr>
        <w:t>Zilgalvis</w:t>
      </w:r>
      <w:proofErr w:type="spellEnd"/>
      <w:r w:rsidRPr="00AB02ED">
        <w:rPr>
          <w:szCs w:val="24"/>
        </w:rPr>
        <w:t xml:space="preserve"> </w:t>
      </w:r>
      <w:r w:rsidR="00AB02ED" w:rsidRPr="00AB02ED">
        <w:rPr>
          <w:szCs w:val="24"/>
        </w:rPr>
        <w:t>информира</w:t>
      </w:r>
      <w:r w:rsidRPr="00AB02ED">
        <w:rPr>
          <w:szCs w:val="24"/>
        </w:rPr>
        <w:t xml:space="preserve"> </w:t>
      </w:r>
      <w:r w:rsidR="00AB02ED" w:rsidRPr="00AB02ED">
        <w:rPr>
          <w:szCs w:val="24"/>
        </w:rPr>
        <w:t>MSP</w:t>
      </w:r>
      <w:r w:rsidRPr="00AB02ED">
        <w:rPr>
          <w:szCs w:val="24"/>
        </w:rPr>
        <w:t xml:space="preserve"> накратко на приетия пакет за </w:t>
      </w:r>
      <w:proofErr w:type="spellStart"/>
      <w:r w:rsidRPr="00AB02ED">
        <w:rPr>
          <w:rStyle w:val="Hyperlink"/>
          <w:color w:val="auto"/>
          <w:u w:val="none"/>
        </w:rPr>
        <w:t>киберсигурност</w:t>
      </w:r>
      <w:proofErr w:type="spellEnd"/>
      <w:r w:rsidRPr="00AB02ED">
        <w:rPr>
          <w:szCs w:val="24"/>
        </w:rPr>
        <w:t>.</w:t>
      </w:r>
      <w:hyperlink r:id="rId13" w:history="1">
        <w:r w:rsidR="00AB02ED" w:rsidRPr="00AB02ED">
          <w:rPr>
            <w:rStyle w:val="Hyperlink"/>
            <w:color w:val="auto"/>
            <w:szCs w:val="24"/>
            <w:u w:val="none"/>
          </w:rPr>
          <w:t xml:space="preserve"> Пакетът ще бъде разгледан в по-големи подробности на заседанието през декември с участието на колеги от съответните блокове. Повече информация може да бъде намерена на адрес: http://europa.eu/rapid/press-release_IP-17-3193_en.htm</w:t>
        </w:r>
      </w:hyperlink>
    </w:p>
    <w:p w:rsidR="00641AA6" w:rsidRPr="00E70C1C" w:rsidRDefault="00641AA6">
      <w:pPr>
        <w:spacing w:after="0" w:line="276" w:lineRule="auto"/>
        <w:rPr>
          <w:b/>
          <w:szCs w:val="24"/>
          <w:u w:val="single"/>
        </w:rPr>
      </w:pPr>
    </w:p>
    <w:p w:rsidR="00641AA6" w:rsidRPr="00E70C1C" w:rsidRDefault="00127C39">
      <w:pPr>
        <w:spacing w:after="0" w:line="276" w:lineRule="auto"/>
        <w:rPr>
          <w:b/>
          <w:sz w:val="26"/>
          <w:szCs w:val="26"/>
          <w:u w:val="single"/>
        </w:rPr>
      </w:pPr>
      <w:r w:rsidRPr="00E70C1C">
        <w:rPr>
          <w:b/>
          <w:sz w:val="26"/>
          <w:szCs w:val="26"/>
          <w:u w:val="single"/>
        </w:rPr>
        <w:t xml:space="preserve">Текущо актуализирания </w:t>
      </w:r>
      <w:r w:rsidR="00AB02ED">
        <w:rPr>
          <w:b/>
          <w:sz w:val="26"/>
          <w:szCs w:val="26"/>
          <w:u w:val="single"/>
        </w:rPr>
        <w:t>П</w:t>
      </w:r>
      <w:r w:rsidRPr="00E70C1C">
        <w:rPr>
          <w:b/>
          <w:sz w:val="26"/>
          <w:szCs w:val="26"/>
          <w:u w:val="single"/>
        </w:rPr>
        <w:t xml:space="preserve">лан за </w:t>
      </w:r>
      <w:r w:rsidR="00AB02ED">
        <w:rPr>
          <w:b/>
          <w:sz w:val="26"/>
          <w:szCs w:val="26"/>
          <w:u w:val="single"/>
        </w:rPr>
        <w:t xml:space="preserve">действие </w:t>
      </w:r>
      <w:r w:rsidRPr="00E70C1C">
        <w:rPr>
          <w:b/>
          <w:sz w:val="26"/>
          <w:szCs w:val="26"/>
          <w:u w:val="single"/>
        </w:rPr>
        <w:t>до 2018 г.</w:t>
      </w:r>
    </w:p>
    <w:p w:rsidR="00641AA6" w:rsidRPr="00E70C1C" w:rsidRDefault="00641AA6">
      <w:pPr>
        <w:spacing w:after="0" w:line="276" w:lineRule="auto"/>
        <w:rPr>
          <w:b/>
          <w:i/>
          <w:szCs w:val="24"/>
          <w:u w:val="single"/>
        </w:rPr>
      </w:pPr>
    </w:p>
    <w:p w:rsidR="00641AA6" w:rsidRPr="00E70C1C" w:rsidRDefault="00BF6EC5">
      <w:pPr>
        <w:numPr>
          <w:ilvl w:val="0"/>
          <w:numId w:val="2"/>
        </w:numPr>
        <w:spacing w:after="0" w:line="276" w:lineRule="auto"/>
        <w:ind w:left="567"/>
        <w:rPr>
          <w:b/>
          <w:i/>
          <w:szCs w:val="24"/>
        </w:rPr>
      </w:pPr>
      <w:r>
        <w:rPr>
          <w:b/>
          <w:i/>
          <w:szCs w:val="24"/>
        </w:rPr>
        <w:lastRenderedPageBreak/>
        <w:t xml:space="preserve">2018  Промяна на Плана за действие </w:t>
      </w:r>
      <w:r w:rsidR="00127C39" w:rsidRPr="00E70C1C">
        <w:rPr>
          <w:b/>
          <w:i/>
          <w:szCs w:val="24"/>
        </w:rPr>
        <w:t>— актуално състояние</w:t>
      </w:r>
    </w:p>
    <w:p w:rsidR="00641AA6" w:rsidRPr="00E70C1C" w:rsidRDefault="00127C39" w:rsidP="00BF6EC5">
      <w:pPr>
        <w:tabs>
          <w:tab w:val="left" w:pos="284"/>
        </w:tabs>
        <w:spacing w:after="0"/>
      </w:pPr>
      <w:proofErr w:type="spellStart"/>
      <w:r w:rsidRPr="00E70C1C">
        <w:rPr>
          <w:i/>
          <w:szCs w:val="24"/>
        </w:rPr>
        <w:t>Szabolcs</w:t>
      </w:r>
      <w:proofErr w:type="spellEnd"/>
      <w:r w:rsidRPr="00E70C1C">
        <w:rPr>
          <w:i/>
          <w:szCs w:val="24"/>
        </w:rPr>
        <w:t xml:space="preserve"> </w:t>
      </w:r>
      <w:proofErr w:type="spellStart"/>
      <w:r w:rsidRPr="00E70C1C">
        <w:rPr>
          <w:i/>
          <w:szCs w:val="24"/>
        </w:rPr>
        <w:t>Szekacs</w:t>
      </w:r>
      <w:proofErr w:type="spellEnd"/>
      <w:r w:rsidRPr="00E70C1C">
        <w:rPr>
          <w:i/>
          <w:szCs w:val="24"/>
        </w:rPr>
        <w:t xml:space="preserve"> (ГД GROW) представи точката.</w:t>
      </w:r>
      <w:r w:rsidRPr="00E70C1C">
        <w:rPr>
          <w:szCs w:val="24"/>
        </w:rPr>
        <w:t xml:space="preserve"> Текущо актуализираният </w:t>
      </w:r>
      <w:r w:rsidR="00BF6EC5">
        <w:rPr>
          <w:szCs w:val="24"/>
        </w:rPr>
        <w:t>П</w:t>
      </w:r>
      <w:r w:rsidRPr="00E70C1C">
        <w:rPr>
          <w:szCs w:val="24"/>
        </w:rPr>
        <w:t xml:space="preserve">лан е инструмент, </w:t>
      </w:r>
      <w:r w:rsidR="00BF6EC5">
        <w:rPr>
          <w:szCs w:val="24"/>
        </w:rPr>
        <w:t xml:space="preserve">в </w:t>
      </w:r>
      <w:r w:rsidRPr="00E70C1C">
        <w:rPr>
          <w:szCs w:val="24"/>
        </w:rPr>
        <w:t>който се събират както бъдещите нужди от стандартизация на Европейската комисия, свързани с конкретни области на политиката</w:t>
      </w:r>
      <w:r w:rsidR="00BF6EC5">
        <w:rPr>
          <w:szCs w:val="24"/>
        </w:rPr>
        <w:t>, така</w:t>
      </w:r>
      <w:r w:rsidRPr="00E70C1C">
        <w:rPr>
          <w:szCs w:val="24"/>
        </w:rPr>
        <w:t xml:space="preserve"> и дейностите, извършвани от организациите за стандартизация по тези теми. То</w:t>
      </w:r>
      <w:r w:rsidR="00BF6EC5">
        <w:rPr>
          <w:szCs w:val="24"/>
        </w:rPr>
        <w:t>й</w:t>
      </w:r>
      <w:r w:rsidRPr="00E70C1C">
        <w:rPr>
          <w:szCs w:val="24"/>
        </w:rPr>
        <w:t xml:space="preserve"> също така е инструмент, използван от различните заинтересовани страни </w:t>
      </w:r>
      <w:r w:rsidR="00BF6EC5">
        <w:rPr>
          <w:szCs w:val="24"/>
        </w:rPr>
        <w:t>за осведомяване</w:t>
      </w:r>
      <w:r w:rsidRPr="00E70C1C">
        <w:rPr>
          <w:szCs w:val="24"/>
        </w:rPr>
        <w:t xml:space="preserve"> за текущите дейности по стандартизация в различни </w:t>
      </w:r>
      <w:r w:rsidR="00BF6EC5">
        <w:rPr>
          <w:szCs w:val="24"/>
        </w:rPr>
        <w:t>стандартизационни организации и за обмяна на</w:t>
      </w:r>
      <w:r w:rsidRPr="00E70C1C">
        <w:rPr>
          <w:szCs w:val="24"/>
        </w:rPr>
        <w:t xml:space="preserve"> мнения по тях. Тази година преразглеждане</w:t>
      </w:r>
      <w:r w:rsidR="00BF6EC5">
        <w:rPr>
          <w:szCs w:val="24"/>
        </w:rPr>
        <w:t>то</w:t>
      </w:r>
      <w:r w:rsidRPr="00E70C1C">
        <w:rPr>
          <w:szCs w:val="24"/>
        </w:rPr>
        <w:t xml:space="preserve"> започна през май и </w:t>
      </w:r>
      <w:r w:rsidR="00BF6EC5">
        <w:rPr>
          <w:szCs w:val="24"/>
        </w:rPr>
        <w:t>вече е предстоящо</w:t>
      </w:r>
      <w:r w:rsidRPr="00E70C1C">
        <w:rPr>
          <w:szCs w:val="24"/>
        </w:rPr>
        <w:t xml:space="preserve"> постигане</w:t>
      </w:r>
      <w:r w:rsidR="00BF6EC5">
        <w:rPr>
          <w:szCs w:val="24"/>
        </w:rPr>
        <w:t>то</w:t>
      </w:r>
      <w:r w:rsidRPr="00E70C1C">
        <w:rPr>
          <w:szCs w:val="24"/>
        </w:rPr>
        <w:t xml:space="preserve"> на окончателен проект. Работната група е получила над 200 становища, включително </w:t>
      </w:r>
      <w:r w:rsidR="00BF6EC5">
        <w:rPr>
          <w:szCs w:val="24"/>
        </w:rPr>
        <w:t xml:space="preserve">за </w:t>
      </w:r>
      <w:r w:rsidRPr="00E70C1C">
        <w:rPr>
          <w:szCs w:val="24"/>
        </w:rPr>
        <w:t xml:space="preserve">3 нови глави. Както при всички предишни години, </w:t>
      </w:r>
      <w:r w:rsidR="00BF6EC5" w:rsidRPr="00BF6EC5">
        <w:rPr>
          <w:szCs w:val="24"/>
        </w:rPr>
        <w:t>MSP</w:t>
      </w:r>
      <w:r w:rsidRPr="00E70C1C">
        <w:rPr>
          <w:szCs w:val="24"/>
        </w:rPr>
        <w:t xml:space="preserve">, нейната работна група и председателят, </w:t>
      </w:r>
      <w:proofErr w:type="spellStart"/>
      <w:r w:rsidRPr="00E70C1C">
        <w:rPr>
          <w:szCs w:val="24"/>
        </w:rPr>
        <w:t>Jochen</w:t>
      </w:r>
      <w:proofErr w:type="spellEnd"/>
      <w:r w:rsidRPr="00E70C1C">
        <w:rPr>
          <w:szCs w:val="24"/>
        </w:rPr>
        <w:t xml:space="preserve"> </w:t>
      </w:r>
      <w:proofErr w:type="spellStart"/>
      <w:r w:rsidRPr="00E70C1C">
        <w:rPr>
          <w:szCs w:val="24"/>
        </w:rPr>
        <w:t>Friedrich</w:t>
      </w:r>
      <w:proofErr w:type="spellEnd"/>
      <w:r w:rsidRPr="00E70C1C">
        <w:rPr>
          <w:szCs w:val="24"/>
        </w:rPr>
        <w:t xml:space="preserve"> изиграха решаваща роля, за да се гарантира, че през октомври </w:t>
      </w:r>
      <w:r w:rsidR="00BF6EC5">
        <w:rPr>
          <w:szCs w:val="24"/>
        </w:rPr>
        <w:t>ще има</w:t>
      </w:r>
      <w:r w:rsidRPr="00E70C1C">
        <w:rPr>
          <w:szCs w:val="24"/>
        </w:rPr>
        <w:t xml:space="preserve"> един преработен план. Преди да даде думата на </w:t>
      </w:r>
      <w:proofErr w:type="spellStart"/>
      <w:r w:rsidRPr="00E70C1C">
        <w:rPr>
          <w:szCs w:val="24"/>
        </w:rPr>
        <w:t>Jochen</w:t>
      </w:r>
      <w:proofErr w:type="spellEnd"/>
      <w:r w:rsidRPr="00E70C1C">
        <w:rPr>
          <w:szCs w:val="24"/>
        </w:rPr>
        <w:t xml:space="preserve">, </w:t>
      </w:r>
      <w:r w:rsidR="00BF6EC5">
        <w:rPr>
          <w:szCs w:val="24"/>
        </w:rPr>
        <w:t>председателят</w:t>
      </w:r>
      <w:r w:rsidRPr="00E70C1C">
        <w:rPr>
          <w:szCs w:val="24"/>
        </w:rPr>
        <w:t xml:space="preserve"> благодари на </w:t>
      </w:r>
      <w:r w:rsidR="00BF6EC5" w:rsidRPr="00BF6EC5">
        <w:rPr>
          <w:szCs w:val="24"/>
        </w:rPr>
        <w:t xml:space="preserve">MSP </w:t>
      </w:r>
      <w:r w:rsidRPr="00E70C1C">
        <w:rPr>
          <w:szCs w:val="24"/>
        </w:rPr>
        <w:t>и особено на Работна група за добре свършената работа.</w:t>
      </w:r>
    </w:p>
    <w:p w:rsidR="00641AA6" w:rsidRPr="00E70C1C" w:rsidRDefault="00BF6EC5">
      <w:pPr>
        <w:spacing w:after="0" w:line="276" w:lineRule="auto"/>
        <w:rPr>
          <w:szCs w:val="24"/>
        </w:rPr>
      </w:pPr>
      <w:proofErr w:type="spellStart"/>
      <w:r w:rsidRPr="00BF6EC5">
        <w:rPr>
          <w:i/>
          <w:szCs w:val="24"/>
        </w:rPr>
        <w:t>Jochen</w:t>
      </w:r>
      <w:proofErr w:type="spellEnd"/>
      <w:r w:rsidRPr="00BF6EC5">
        <w:rPr>
          <w:i/>
          <w:szCs w:val="24"/>
        </w:rPr>
        <w:t xml:space="preserve"> </w:t>
      </w:r>
      <w:proofErr w:type="spellStart"/>
      <w:r w:rsidRPr="00BF6EC5">
        <w:rPr>
          <w:i/>
          <w:szCs w:val="24"/>
        </w:rPr>
        <w:t>Friedrich</w:t>
      </w:r>
      <w:proofErr w:type="spellEnd"/>
      <w:r w:rsidRPr="00BF6EC5">
        <w:rPr>
          <w:i/>
          <w:szCs w:val="24"/>
        </w:rPr>
        <w:t xml:space="preserve"> </w:t>
      </w:r>
      <w:r w:rsidR="00127C39" w:rsidRPr="00E70C1C">
        <w:rPr>
          <w:i/>
          <w:szCs w:val="24"/>
        </w:rPr>
        <w:t xml:space="preserve">(председател на работна група </w:t>
      </w:r>
      <w:r>
        <w:rPr>
          <w:i/>
          <w:szCs w:val="24"/>
        </w:rPr>
        <w:t>(</w:t>
      </w:r>
      <w:proofErr w:type="spellStart"/>
      <w:r>
        <w:rPr>
          <w:i/>
          <w:szCs w:val="24"/>
        </w:rPr>
        <w:t>Rolling</w:t>
      </w:r>
      <w:proofErr w:type="spellEnd"/>
      <w:r>
        <w:rPr>
          <w:i/>
          <w:szCs w:val="24"/>
        </w:rPr>
        <w:t xml:space="preserve"> </w:t>
      </w:r>
      <w:proofErr w:type="spellStart"/>
      <w:r>
        <w:rPr>
          <w:i/>
          <w:szCs w:val="24"/>
        </w:rPr>
        <w:t>Plan</w:t>
      </w:r>
      <w:proofErr w:type="spellEnd"/>
      <w:r>
        <w:rPr>
          <w:i/>
          <w:szCs w:val="24"/>
        </w:rPr>
        <w:t xml:space="preserve"> TFRP) представи </w:t>
      </w:r>
      <w:r w:rsidR="00127C39" w:rsidRPr="00E70C1C">
        <w:rPr>
          <w:i/>
          <w:szCs w:val="24"/>
        </w:rPr>
        <w:t>документ ИКТ/</w:t>
      </w:r>
      <w:r w:rsidRPr="00BF6EC5">
        <w:t xml:space="preserve"> </w:t>
      </w:r>
      <w:r w:rsidRPr="00BF6EC5">
        <w:rPr>
          <w:i/>
          <w:szCs w:val="24"/>
        </w:rPr>
        <w:t>MSP</w:t>
      </w:r>
      <w:r w:rsidR="00127C39" w:rsidRPr="00E70C1C">
        <w:rPr>
          <w:i/>
          <w:szCs w:val="24"/>
        </w:rPr>
        <w:t xml:space="preserve"> (2017)536</w:t>
      </w:r>
      <w:r>
        <w:rPr>
          <w:i/>
          <w:szCs w:val="24"/>
        </w:rPr>
        <w:t>, който очертава</w:t>
      </w:r>
      <w:r w:rsidR="00127C39" w:rsidRPr="00E70C1C">
        <w:rPr>
          <w:i/>
          <w:szCs w:val="24"/>
        </w:rPr>
        <w:t xml:space="preserve"> процеса след последното заседание на </w:t>
      </w:r>
      <w:r w:rsidRPr="00BF6EC5">
        <w:rPr>
          <w:i/>
          <w:szCs w:val="24"/>
        </w:rPr>
        <w:t>MSP</w:t>
      </w:r>
      <w:r w:rsidR="00127C39" w:rsidRPr="00E70C1C">
        <w:rPr>
          <w:i/>
          <w:szCs w:val="24"/>
        </w:rPr>
        <w:t>, с особен акцент върху цифровизацията на процеса на преглед.</w:t>
      </w:r>
      <w:hyperlink r:id="rId14">
        <w:r w:rsidR="00127C39" w:rsidRPr="00E70C1C">
          <w:rPr>
            <w:szCs w:val="24"/>
          </w:rPr>
          <w:t xml:space="preserve"> </w:t>
        </w:r>
        <w:proofErr w:type="spellStart"/>
        <w:r>
          <w:rPr>
            <w:szCs w:val="24"/>
          </w:rPr>
          <w:t>У</w:t>
        </w:r>
        <w:r w:rsidR="00127C39" w:rsidRPr="00E70C1C">
          <w:rPr>
            <w:szCs w:val="24"/>
          </w:rPr>
          <w:t>ики</w:t>
        </w:r>
        <w:proofErr w:type="spellEnd"/>
        <w:r w:rsidR="00127C39" w:rsidRPr="00E70C1C">
          <w:rPr>
            <w:szCs w:val="24"/>
          </w:rPr>
          <w:t xml:space="preserve"> сайта се превърна в централно хранилище за всички документи за преразглеждане.</w:t>
        </w:r>
      </w:hyperlink>
      <w:r w:rsidR="00127C39" w:rsidRPr="00E70C1C">
        <w:rPr>
          <w:rStyle w:val="FootnoteAnchor"/>
          <w:szCs w:val="24"/>
        </w:rPr>
        <w:footnoteReference w:id="6"/>
      </w:r>
    </w:p>
    <w:p w:rsidR="00641AA6" w:rsidRPr="00E70C1C" w:rsidRDefault="00127C39">
      <w:pPr>
        <w:spacing w:after="0" w:line="276" w:lineRule="auto"/>
        <w:rPr>
          <w:szCs w:val="24"/>
        </w:rPr>
      </w:pPr>
      <w:r w:rsidRPr="00E70C1C">
        <w:rPr>
          <w:szCs w:val="24"/>
        </w:rPr>
        <w:t xml:space="preserve">Краен срок за </w:t>
      </w:r>
      <w:r w:rsidR="00BF6EC5">
        <w:rPr>
          <w:szCs w:val="24"/>
        </w:rPr>
        <w:t>приноси към Плана</w:t>
      </w:r>
      <w:r w:rsidRPr="00E70C1C">
        <w:rPr>
          <w:szCs w:val="24"/>
        </w:rPr>
        <w:t xml:space="preserve"> беше 29 септември. Работната група ще приключи всички разяснения </w:t>
      </w:r>
      <w:r w:rsidR="00BF6EC5">
        <w:rPr>
          <w:szCs w:val="24"/>
        </w:rPr>
        <w:t>до</w:t>
      </w:r>
      <w:r w:rsidRPr="00E70C1C">
        <w:rPr>
          <w:szCs w:val="24"/>
        </w:rPr>
        <w:t xml:space="preserve"> 25 октомври и ще направи проект на подробния </w:t>
      </w:r>
      <w:r w:rsidR="00BF6EC5">
        <w:rPr>
          <w:szCs w:val="24"/>
        </w:rPr>
        <w:t>П</w:t>
      </w:r>
      <w:r w:rsidRPr="00E70C1C">
        <w:rPr>
          <w:szCs w:val="24"/>
        </w:rPr>
        <w:t>лан за членове</w:t>
      </w:r>
      <w:r w:rsidR="00BF6EC5">
        <w:rPr>
          <w:szCs w:val="24"/>
        </w:rPr>
        <w:t xml:space="preserve">те на </w:t>
      </w:r>
      <w:r w:rsidR="00BF6EC5" w:rsidRPr="00BF6EC5">
        <w:rPr>
          <w:szCs w:val="24"/>
        </w:rPr>
        <w:t>MSP</w:t>
      </w:r>
      <w:r w:rsidRPr="00E70C1C">
        <w:rPr>
          <w:szCs w:val="24"/>
        </w:rPr>
        <w:t>, като подготовка за официалната консултация през декември. Както беше договорено от членове</w:t>
      </w:r>
      <w:r w:rsidR="00BF6EC5">
        <w:rPr>
          <w:szCs w:val="24"/>
        </w:rPr>
        <w:t xml:space="preserve">те на </w:t>
      </w:r>
      <w:r w:rsidR="00BF6EC5" w:rsidRPr="00BF6EC5">
        <w:rPr>
          <w:szCs w:val="24"/>
        </w:rPr>
        <w:t>MSP</w:t>
      </w:r>
      <w:r w:rsidRPr="00E70C1C">
        <w:rPr>
          <w:szCs w:val="24"/>
        </w:rPr>
        <w:t>, проект</w:t>
      </w:r>
      <w:r w:rsidR="00BF6EC5">
        <w:rPr>
          <w:szCs w:val="24"/>
        </w:rPr>
        <w:t>ът</w:t>
      </w:r>
      <w:r w:rsidRPr="00E70C1C">
        <w:rPr>
          <w:szCs w:val="24"/>
        </w:rPr>
        <w:t xml:space="preserve"> на версия ще бъде достъп</w:t>
      </w:r>
      <w:r w:rsidR="00BF6EC5">
        <w:rPr>
          <w:szCs w:val="24"/>
        </w:rPr>
        <w:t>ен</w:t>
      </w:r>
      <w:r w:rsidRPr="00E70C1C">
        <w:rPr>
          <w:szCs w:val="24"/>
        </w:rPr>
        <w:t xml:space="preserve"> само онлайн (както почистена от тагове версия и версия с „</w:t>
      </w:r>
      <w:proofErr w:type="spellStart"/>
      <w:r w:rsidRPr="00E70C1C">
        <w:rPr>
          <w:szCs w:val="24"/>
        </w:rPr>
        <w:t>track</w:t>
      </w:r>
      <w:proofErr w:type="spellEnd"/>
      <w:r w:rsidRPr="00E70C1C">
        <w:rPr>
          <w:szCs w:val="24"/>
        </w:rPr>
        <w:t xml:space="preserve"> </w:t>
      </w:r>
      <w:proofErr w:type="spellStart"/>
      <w:r w:rsidRPr="00E70C1C">
        <w:rPr>
          <w:szCs w:val="24"/>
        </w:rPr>
        <w:t>changes</w:t>
      </w:r>
      <w:proofErr w:type="spellEnd"/>
      <w:r w:rsidRPr="00E70C1C">
        <w:rPr>
          <w:szCs w:val="24"/>
        </w:rPr>
        <w:t>“).</w:t>
      </w:r>
    </w:p>
    <w:p w:rsidR="00641AA6" w:rsidRPr="00E70C1C" w:rsidRDefault="00127C39">
      <w:pPr>
        <w:spacing w:after="0" w:line="276" w:lineRule="auto"/>
        <w:rPr>
          <w:szCs w:val="24"/>
        </w:rPr>
      </w:pPr>
      <w:r w:rsidRPr="00E70C1C">
        <w:rPr>
          <w:szCs w:val="24"/>
        </w:rPr>
        <w:t>Председателят спомена изкуствения интелект (ИИ), като нов потенциален принос и потвърди намерението на Комисията да публикува стратегия през следващата година.</w:t>
      </w:r>
    </w:p>
    <w:p w:rsidR="00641AA6" w:rsidRPr="00E70C1C" w:rsidRDefault="00BF6EC5">
      <w:pPr>
        <w:spacing w:after="0" w:line="276" w:lineRule="auto"/>
        <w:rPr>
          <w:szCs w:val="24"/>
        </w:rPr>
      </w:pPr>
      <w:r>
        <w:rPr>
          <w:szCs w:val="24"/>
        </w:rPr>
        <w:t>Ч</w:t>
      </w:r>
      <w:r w:rsidR="00127C39" w:rsidRPr="00E70C1C">
        <w:rPr>
          <w:szCs w:val="24"/>
        </w:rPr>
        <w:t xml:space="preserve">леновете </w:t>
      </w:r>
      <w:r>
        <w:rPr>
          <w:szCs w:val="24"/>
        </w:rPr>
        <w:t xml:space="preserve">на </w:t>
      </w:r>
      <w:r w:rsidRPr="00BF6EC5">
        <w:rPr>
          <w:szCs w:val="24"/>
        </w:rPr>
        <w:t xml:space="preserve">MSP </w:t>
      </w:r>
      <w:r w:rsidR="00127C39" w:rsidRPr="00E70C1C">
        <w:rPr>
          <w:szCs w:val="24"/>
        </w:rPr>
        <w:t>отправ</w:t>
      </w:r>
      <w:r>
        <w:rPr>
          <w:szCs w:val="24"/>
        </w:rPr>
        <w:t>иха</w:t>
      </w:r>
      <w:r w:rsidR="00127C39" w:rsidRPr="00E70C1C">
        <w:rPr>
          <w:szCs w:val="24"/>
        </w:rPr>
        <w:t xml:space="preserve"> искане към Комисията да даде възможност на </w:t>
      </w:r>
      <w:r>
        <w:rPr>
          <w:szCs w:val="24"/>
        </w:rPr>
        <w:t>Платформата</w:t>
      </w:r>
      <w:r w:rsidR="00127C39" w:rsidRPr="00E70C1C">
        <w:rPr>
          <w:szCs w:val="24"/>
        </w:rPr>
        <w:t xml:space="preserve"> да коментира </w:t>
      </w:r>
      <w:r w:rsidR="00127C39">
        <w:rPr>
          <w:szCs w:val="24"/>
        </w:rPr>
        <w:t>всяка последна</w:t>
      </w:r>
      <w:r w:rsidR="00127C39" w:rsidRPr="00E70C1C">
        <w:rPr>
          <w:szCs w:val="24"/>
        </w:rPr>
        <w:t xml:space="preserve"> информация или нова глава, следва ли да има един в края на процеса на преразглеждане.</w:t>
      </w:r>
    </w:p>
    <w:p w:rsidR="00641AA6" w:rsidRPr="00E70C1C" w:rsidRDefault="00641AA6">
      <w:pPr>
        <w:spacing w:after="0" w:line="276" w:lineRule="auto"/>
        <w:rPr>
          <w:szCs w:val="24"/>
        </w:rPr>
      </w:pPr>
    </w:p>
    <w:p w:rsidR="00641AA6" w:rsidRPr="00E70C1C" w:rsidRDefault="00127C39">
      <w:pPr>
        <w:spacing w:after="0" w:line="276" w:lineRule="auto"/>
        <w:rPr>
          <w:b/>
          <w:sz w:val="26"/>
          <w:szCs w:val="26"/>
          <w:u w:val="single"/>
        </w:rPr>
      </w:pPr>
      <w:r w:rsidRPr="00E70C1C">
        <w:rPr>
          <w:b/>
          <w:sz w:val="26"/>
          <w:szCs w:val="26"/>
          <w:u w:val="single"/>
        </w:rPr>
        <w:t>Европейския каталог</w:t>
      </w:r>
    </w:p>
    <w:p w:rsidR="00641AA6" w:rsidRPr="00E70C1C" w:rsidRDefault="00641AA6">
      <w:pPr>
        <w:spacing w:after="0" w:line="276" w:lineRule="auto"/>
        <w:rPr>
          <w:b/>
          <w:szCs w:val="24"/>
          <w:u w:val="single"/>
        </w:rPr>
      </w:pPr>
    </w:p>
    <w:p w:rsidR="00641AA6" w:rsidRPr="00E70C1C" w:rsidRDefault="00127C39">
      <w:pPr>
        <w:numPr>
          <w:ilvl w:val="0"/>
          <w:numId w:val="2"/>
        </w:numPr>
        <w:spacing w:after="0" w:line="276" w:lineRule="auto"/>
        <w:ind w:left="709"/>
        <w:rPr>
          <w:b/>
          <w:i/>
          <w:szCs w:val="24"/>
        </w:rPr>
      </w:pPr>
      <w:r w:rsidRPr="00E70C1C">
        <w:rPr>
          <w:b/>
          <w:i/>
          <w:szCs w:val="24"/>
        </w:rPr>
        <w:t>Представяне на постигнатия напредък в областта на обществените поръчки на ИКТ стандарти и връзки</w:t>
      </w:r>
    </w:p>
    <w:p w:rsidR="00641AA6" w:rsidRPr="00E70C1C" w:rsidRDefault="00127C39" w:rsidP="00127C39">
      <w:pPr>
        <w:spacing w:after="0" w:line="276" w:lineRule="auto"/>
      </w:pPr>
      <w:proofErr w:type="spellStart"/>
      <w:r w:rsidRPr="00E70C1C">
        <w:rPr>
          <w:i/>
          <w:szCs w:val="24"/>
        </w:rPr>
        <w:t>Rodolphe</w:t>
      </w:r>
      <w:proofErr w:type="spellEnd"/>
      <w:r w:rsidRPr="00E70C1C">
        <w:rPr>
          <w:i/>
          <w:szCs w:val="24"/>
        </w:rPr>
        <w:t xml:space="preserve"> </w:t>
      </w:r>
      <w:proofErr w:type="spellStart"/>
      <w:r w:rsidRPr="00E70C1C">
        <w:rPr>
          <w:i/>
          <w:szCs w:val="24"/>
        </w:rPr>
        <w:t>Wouters</w:t>
      </w:r>
      <w:proofErr w:type="spellEnd"/>
      <w:r w:rsidRPr="00E70C1C">
        <w:rPr>
          <w:i/>
          <w:szCs w:val="24"/>
        </w:rPr>
        <w:t xml:space="preserve"> (ГД GROW) представи документ ИКТ/MSP(2017) 535 и обяви предстоящото приемане от Комисията </w:t>
      </w:r>
      <w:r>
        <w:rPr>
          <w:i/>
          <w:szCs w:val="24"/>
        </w:rPr>
        <w:t xml:space="preserve">на </w:t>
      </w:r>
      <w:r w:rsidRPr="00E70C1C">
        <w:rPr>
          <w:i/>
          <w:szCs w:val="24"/>
        </w:rPr>
        <w:t xml:space="preserve">пакет относно обществените поръчки на 3 октомври, което ще включва препоръка на </w:t>
      </w:r>
      <w:proofErr w:type="spellStart"/>
      <w:r w:rsidRPr="00E70C1C">
        <w:rPr>
          <w:i/>
          <w:szCs w:val="24"/>
        </w:rPr>
        <w:t>професионализирането</w:t>
      </w:r>
      <w:proofErr w:type="spellEnd"/>
      <w:r w:rsidRPr="00E70C1C">
        <w:rPr>
          <w:i/>
          <w:szCs w:val="24"/>
        </w:rPr>
        <w:t xml:space="preserve"> на обществените поръчки и </w:t>
      </w:r>
      <w:r>
        <w:rPr>
          <w:i/>
          <w:szCs w:val="24"/>
        </w:rPr>
        <w:t>изграждането</w:t>
      </w:r>
      <w:r w:rsidRPr="00E70C1C">
        <w:rPr>
          <w:i/>
          <w:szCs w:val="24"/>
        </w:rPr>
        <w:t xml:space="preserve"> на център за електронна компетенция в областта на обществените поръчки.</w:t>
      </w:r>
      <w:hyperlink r:id="rId15">
        <w:r w:rsidRPr="00E70C1C">
          <w:rPr>
            <w:szCs w:val="24"/>
          </w:rPr>
          <w:t xml:space="preserve"> Европейския каталог на стандартите в областта на ИКТ за обществени поръчки ще бъд</w:t>
        </w:r>
        <w:r>
          <w:rPr>
            <w:szCs w:val="24"/>
          </w:rPr>
          <w:t>е</w:t>
        </w:r>
        <w:r w:rsidRPr="00E70C1C">
          <w:rPr>
            <w:szCs w:val="24"/>
          </w:rPr>
          <w:t xml:space="preserve"> част от общ</w:t>
        </w:r>
        <w:r>
          <w:rPr>
            <w:szCs w:val="24"/>
          </w:rPr>
          <w:t>ия</w:t>
        </w:r>
        <w:r w:rsidRPr="00E70C1C">
          <w:rPr>
            <w:szCs w:val="24"/>
          </w:rPr>
          <w:t xml:space="preserve"> център за електронна компетенция.</w:t>
        </w:r>
      </w:hyperlink>
    </w:p>
    <w:p w:rsidR="00641AA6" w:rsidRPr="00E70C1C" w:rsidRDefault="00127C39">
      <w:pPr>
        <w:pStyle w:val="Text2"/>
        <w:ind w:left="0"/>
      </w:pPr>
      <w:r w:rsidRPr="00E70C1C">
        <w:t>Той обясни как планирани</w:t>
      </w:r>
      <w:r>
        <w:t>я</w:t>
      </w:r>
      <w:r w:rsidRPr="00E70C1C">
        <w:t xml:space="preserve"> център ще действа като създаване на „едно гише</w:t>
      </w:r>
      <w:r>
        <w:t>“</w:t>
      </w:r>
      <w:r w:rsidRPr="00E70C1C">
        <w:t xml:space="preserve"> портал за обществени поръчки и как </w:t>
      </w:r>
      <w:r>
        <w:t>Каталогът ще се отнася</w:t>
      </w:r>
      <w:r w:rsidRPr="00E70C1C">
        <w:t xml:space="preserve"> до него — всички документи, свързани с политиката, препоръки ще бъдат прехвърлени към портала, като същевременно описанието и техническа информация за посочените стандарти и спецификации ще бъдат управлявани на платформата </w:t>
      </w:r>
      <w:proofErr w:type="spellStart"/>
      <w:r w:rsidRPr="00E70C1C">
        <w:t>Joinup</w:t>
      </w:r>
      <w:proofErr w:type="spellEnd"/>
      <w:r w:rsidRPr="00E70C1C">
        <w:t>.</w:t>
      </w:r>
    </w:p>
    <w:p w:rsidR="00641AA6" w:rsidRPr="00E70C1C" w:rsidRDefault="00127C39">
      <w:pPr>
        <w:pStyle w:val="Heading2"/>
        <w:rPr>
          <w:sz w:val="26"/>
          <w:szCs w:val="26"/>
          <w:u w:val="single"/>
        </w:rPr>
      </w:pPr>
      <w:r w:rsidRPr="00E70C1C">
        <w:rPr>
          <w:sz w:val="26"/>
          <w:szCs w:val="26"/>
          <w:u w:val="single"/>
        </w:rPr>
        <w:lastRenderedPageBreak/>
        <w:t xml:space="preserve">Предстоящата </w:t>
      </w:r>
      <w:proofErr w:type="spellStart"/>
      <w:r w:rsidRPr="00E70C1C">
        <w:rPr>
          <w:sz w:val="26"/>
          <w:szCs w:val="26"/>
          <w:u w:val="single"/>
        </w:rPr>
        <w:t>стандартизационна</w:t>
      </w:r>
      <w:proofErr w:type="spellEnd"/>
      <w:r w:rsidRPr="00E70C1C">
        <w:rPr>
          <w:sz w:val="26"/>
          <w:szCs w:val="26"/>
          <w:u w:val="single"/>
        </w:rPr>
        <w:t xml:space="preserve"> дейност</w:t>
      </w:r>
    </w:p>
    <w:p w:rsidR="00641AA6" w:rsidRPr="00E70C1C" w:rsidRDefault="00127C39">
      <w:pPr>
        <w:pStyle w:val="ListParagraph"/>
        <w:numPr>
          <w:ilvl w:val="0"/>
          <w:numId w:val="2"/>
        </w:numPr>
        <w:ind w:left="567"/>
        <w:rPr>
          <w:b/>
          <w:i/>
          <w:szCs w:val="20"/>
          <w:lang w:eastAsia="en-US"/>
        </w:rPr>
      </w:pPr>
      <w:r w:rsidRPr="00E70C1C">
        <w:rPr>
          <w:b/>
          <w:i/>
          <w:szCs w:val="20"/>
          <w:lang w:eastAsia="en-US"/>
        </w:rPr>
        <w:t>Цифровизация/модернизация на промишлеността</w:t>
      </w:r>
    </w:p>
    <w:p w:rsidR="00641AA6" w:rsidRPr="00E70C1C" w:rsidRDefault="00127C39" w:rsidP="00127C39">
      <w:pPr>
        <w:spacing w:after="0" w:line="276" w:lineRule="auto"/>
      </w:pPr>
      <w:proofErr w:type="spellStart"/>
      <w:r w:rsidRPr="00E70C1C">
        <w:rPr>
          <w:i/>
        </w:rPr>
        <w:t>Antonio</w:t>
      </w:r>
      <w:proofErr w:type="spellEnd"/>
      <w:r w:rsidRPr="00E70C1C">
        <w:rPr>
          <w:i/>
        </w:rPr>
        <w:t xml:space="preserve"> </w:t>
      </w:r>
      <w:proofErr w:type="spellStart"/>
      <w:r w:rsidRPr="00E70C1C">
        <w:rPr>
          <w:i/>
        </w:rPr>
        <w:t>Conte</w:t>
      </w:r>
      <w:proofErr w:type="spellEnd"/>
      <w:r w:rsidRPr="00E70C1C">
        <w:rPr>
          <w:i/>
        </w:rPr>
        <w:t xml:space="preserve"> (ГД GROW) представи документ ИКТ/</w:t>
      </w:r>
      <w:r w:rsidRPr="00127C39">
        <w:t xml:space="preserve"> </w:t>
      </w:r>
      <w:r w:rsidRPr="00127C39">
        <w:rPr>
          <w:i/>
        </w:rPr>
        <w:t>MSP</w:t>
      </w:r>
      <w:r w:rsidRPr="00E70C1C">
        <w:rPr>
          <w:i/>
        </w:rPr>
        <w:t xml:space="preserve"> (2017)537 и съобщи за предстоящия семинар за стандартизация в подкрепа на цифровизацията на </w:t>
      </w:r>
      <w:r w:rsidRPr="00127C39">
        <w:rPr>
          <w:i/>
          <w:szCs w:val="24"/>
        </w:rPr>
        <w:t>европейската</w:t>
      </w:r>
      <w:r>
        <w:rPr>
          <w:i/>
        </w:rPr>
        <w:t xml:space="preserve"> промишленост, организиран</w:t>
      </w:r>
      <w:r w:rsidRPr="00E70C1C">
        <w:rPr>
          <w:i/>
        </w:rPr>
        <w:t xml:space="preserve"> съвместно от </w:t>
      </w:r>
      <w:r>
        <w:rPr>
          <w:i/>
        </w:rPr>
        <w:t>ГД „</w:t>
      </w:r>
      <w:r w:rsidRPr="00E70C1C">
        <w:rPr>
          <w:i/>
        </w:rPr>
        <w:t>Съобщителни мрежи, съдържание и технологии</w:t>
      </w:r>
      <w:r>
        <w:rPr>
          <w:i/>
        </w:rPr>
        <w:t>“ и ГД</w:t>
      </w:r>
      <w:r w:rsidRPr="00E70C1C">
        <w:rPr>
          <w:i/>
        </w:rPr>
        <w:t xml:space="preserve"> „</w:t>
      </w:r>
      <w:r w:rsidRPr="00127C39">
        <w:rPr>
          <w:i/>
        </w:rPr>
        <w:t>GROW</w:t>
      </w:r>
      <w:r>
        <w:rPr>
          <w:i/>
        </w:rPr>
        <w:t>“</w:t>
      </w:r>
      <w:r w:rsidRPr="00127C39">
        <w:rPr>
          <w:i/>
        </w:rPr>
        <w:t xml:space="preserve"> </w:t>
      </w:r>
      <w:r w:rsidRPr="00E70C1C">
        <w:rPr>
          <w:i/>
        </w:rPr>
        <w:t>на 17 октомври 2017 г. и покани членовете да участват в нея.</w:t>
      </w:r>
      <w:hyperlink r:id="rId16">
        <w:r w:rsidRPr="00E70C1C">
          <w:t xml:space="preserve"> Комисията ще изпра</w:t>
        </w:r>
        <w:r>
          <w:t>ти</w:t>
        </w:r>
        <w:r w:rsidRPr="00E70C1C">
          <w:t xml:space="preserve"> отново</w:t>
        </w:r>
        <w:r>
          <w:t xml:space="preserve"> покани</w:t>
        </w:r>
        <w:r w:rsidRPr="00E70C1C">
          <w:t xml:space="preserve"> </w:t>
        </w:r>
        <w:r>
          <w:t xml:space="preserve">до </w:t>
        </w:r>
        <w:r w:rsidRPr="00E70C1C">
          <w:t xml:space="preserve">всички членове на </w:t>
        </w:r>
        <w:r w:rsidRPr="00127C39">
          <w:t>MSP</w:t>
        </w:r>
        <w:r w:rsidRPr="00E70C1C">
          <w:t xml:space="preserve">, </w:t>
        </w:r>
        <w:r>
          <w:t>тъй като</w:t>
        </w:r>
        <w:r w:rsidRPr="00E70C1C">
          <w:t xml:space="preserve"> изглежда, че членове</w:t>
        </w:r>
        <w:r>
          <w:t>те</w:t>
        </w:r>
        <w:r w:rsidRPr="00E70C1C">
          <w:t xml:space="preserve"> не са ги получили.</w:t>
        </w:r>
      </w:hyperlink>
    </w:p>
    <w:p w:rsidR="00641AA6" w:rsidRPr="00E70C1C" w:rsidRDefault="00127C39" w:rsidP="00127C39">
      <w:pPr>
        <w:spacing w:after="0" w:line="276" w:lineRule="auto"/>
      </w:pPr>
      <w:r w:rsidRPr="00E70C1C">
        <w:t xml:space="preserve">Целта на семинара е да се </w:t>
      </w:r>
      <w:r>
        <w:t>представи</w:t>
      </w:r>
      <w:r w:rsidRPr="00E70C1C">
        <w:t xml:space="preserve"> ясна картина на различните инициативи и намиране на </w:t>
      </w:r>
      <w:proofErr w:type="spellStart"/>
      <w:r w:rsidRPr="00E70C1C">
        <w:t>синергии</w:t>
      </w:r>
      <w:proofErr w:type="spellEnd"/>
      <w:r w:rsidRPr="00E70C1C">
        <w:t xml:space="preserve"> и </w:t>
      </w:r>
      <w:r>
        <w:t xml:space="preserve">да се </w:t>
      </w:r>
      <w:r w:rsidRPr="00E70C1C">
        <w:t>обсъд</w:t>
      </w:r>
      <w:r>
        <w:t>ят</w:t>
      </w:r>
      <w:r w:rsidRPr="00E70C1C">
        <w:t xml:space="preserve"> следващите стъпки.</w:t>
      </w:r>
    </w:p>
    <w:p w:rsidR="00641AA6" w:rsidRPr="00E70C1C" w:rsidRDefault="00127C39" w:rsidP="00127C39">
      <w:pPr>
        <w:spacing w:after="0" w:line="276" w:lineRule="auto"/>
      </w:pPr>
      <w:r w:rsidRPr="00E70C1C">
        <w:t xml:space="preserve">По отношение на цифровизацията на промишлеността, </w:t>
      </w:r>
      <w:r>
        <w:t xml:space="preserve">един член предложи </w:t>
      </w:r>
      <w:r w:rsidRPr="00E70C1C">
        <w:t xml:space="preserve">да </w:t>
      </w:r>
      <w:r>
        <w:t xml:space="preserve">се </w:t>
      </w:r>
      <w:r w:rsidRPr="00E70C1C">
        <w:t>включ</w:t>
      </w:r>
      <w:r>
        <w:t>ат</w:t>
      </w:r>
      <w:r w:rsidRPr="00E70C1C">
        <w:t xml:space="preserve"> </w:t>
      </w:r>
      <w:proofErr w:type="spellStart"/>
      <w:r w:rsidRPr="00E70C1C">
        <w:t>стандартизационни</w:t>
      </w:r>
      <w:r>
        <w:t>те</w:t>
      </w:r>
      <w:proofErr w:type="spellEnd"/>
      <w:r w:rsidRPr="00E70C1C">
        <w:t xml:space="preserve"> дейности като част от иновационни</w:t>
      </w:r>
      <w:r>
        <w:t>те</w:t>
      </w:r>
      <w:r w:rsidRPr="00E70C1C">
        <w:t xml:space="preserve"> центрове. Той се пита как Комисията вижда центрове за иновации, свързани със стандартизацията. Комисията отговори, че това би могло да бъде също така въпрос, който следва да бъде разгледан на предстоящия семинар.</w:t>
      </w:r>
    </w:p>
    <w:p w:rsidR="00641AA6" w:rsidRPr="00E70C1C" w:rsidRDefault="00127C39" w:rsidP="00127C39">
      <w:pPr>
        <w:spacing w:after="0" w:line="276" w:lineRule="auto"/>
      </w:pPr>
      <w:r w:rsidRPr="00E70C1C">
        <w:t>Друг член призова за включване на дадена точка от дневния ред относно ускоряването на процеса на стандартизация. Председателят отговори, че обхватът на семинар</w:t>
      </w:r>
      <w:r>
        <w:t>а</w:t>
      </w:r>
      <w:r w:rsidRPr="00E70C1C">
        <w:t xml:space="preserve"> би позво</w:t>
      </w:r>
      <w:r>
        <w:t>лил</w:t>
      </w:r>
      <w:r w:rsidRPr="00E70C1C">
        <w:t xml:space="preserve"> подобни въпроси само ако дискусията е била ограничена до ИКТ спецификации, което не е така.</w:t>
      </w:r>
    </w:p>
    <w:p w:rsidR="00641AA6" w:rsidRPr="00E70C1C" w:rsidRDefault="00127C39">
      <w:pPr>
        <w:pStyle w:val="Heading1"/>
        <w:numPr>
          <w:ilvl w:val="0"/>
          <w:numId w:val="0"/>
        </w:numPr>
        <w:pBdr>
          <w:bottom w:val="single" w:sz="4" w:space="1" w:color="00000A"/>
        </w:pBdr>
        <w:ind w:left="480" w:hanging="480"/>
      </w:pPr>
      <w:r w:rsidRPr="00E70C1C">
        <w:t>Идентифициране на ИКТ спецификации</w:t>
      </w:r>
    </w:p>
    <w:p w:rsidR="00641AA6" w:rsidRPr="00E70C1C" w:rsidRDefault="00127C39">
      <w:pPr>
        <w:pStyle w:val="Heading2"/>
        <w:rPr>
          <w:sz w:val="26"/>
          <w:szCs w:val="26"/>
          <w:u w:val="single"/>
        </w:rPr>
      </w:pPr>
      <w:r w:rsidRPr="00E70C1C">
        <w:rPr>
          <w:sz w:val="26"/>
          <w:szCs w:val="26"/>
          <w:u w:val="single"/>
        </w:rPr>
        <w:t>Доклади от оценка на работни групи (ЕРГ)</w:t>
      </w:r>
    </w:p>
    <w:p w:rsidR="00641AA6" w:rsidRPr="00AB2F0E" w:rsidRDefault="00AB2F0E" w:rsidP="00AB2F0E">
      <w:pPr>
        <w:pStyle w:val="ListParagraph"/>
        <w:numPr>
          <w:ilvl w:val="0"/>
          <w:numId w:val="2"/>
        </w:numPr>
        <w:rPr>
          <w:b/>
          <w:i/>
          <w:szCs w:val="20"/>
          <w:lang w:eastAsia="en-US"/>
        </w:rPr>
      </w:pPr>
      <w:r w:rsidRPr="00AB2F0E">
        <w:rPr>
          <w:b/>
          <w:i/>
          <w:szCs w:val="20"/>
          <w:lang w:eastAsia="en-US"/>
        </w:rPr>
        <w:t>RDA</w:t>
      </w:r>
      <w:r w:rsidR="00127C39" w:rsidRPr="00AB2F0E">
        <w:rPr>
          <w:b/>
          <w:i/>
          <w:szCs w:val="20"/>
          <w:lang w:eastAsia="en-US"/>
        </w:rPr>
        <w:t xml:space="preserve"> технически спецификации (</w:t>
      </w:r>
      <w:r>
        <w:rPr>
          <w:b/>
          <w:i/>
          <w:szCs w:val="20"/>
          <w:lang w:eastAsia="en-US"/>
        </w:rPr>
        <w:t>за становище</w:t>
      </w:r>
      <w:r w:rsidR="00127C39" w:rsidRPr="00AB2F0E">
        <w:rPr>
          <w:b/>
          <w:i/>
          <w:szCs w:val="20"/>
          <w:lang w:eastAsia="en-US"/>
        </w:rPr>
        <w:t>)</w:t>
      </w:r>
    </w:p>
    <w:p w:rsidR="00641AA6" w:rsidRPr="00E70C1C" w:rsidRDefault="00127C39" w:rsidP="00127C39">
      <w:pPr>
        <w:spacing w:after="0" w:line="276" w:lineRule="auto"/>
        <w:rPr>
          <w:b/>
          <w:i/>
        </w:rPr>
      </w:pPr>
      <w:r w:rsidRPr="00AB2F0E">
        <w:t xml:space="preserve">5 </w:t>
      </w:r>
      <w:r w:rsidR="00AB2F0E" w:rsidRPr="00AB2F0E">
        <w:t>RDA</w:t>
      </w:r>
      <w:r w:rsidRPr="00AB2F0E">
        <w:t xml:space="preserve"> Технически спецификации (данни, </w:t>
      </w:r>
      <w:proofErr w:type="spellStart"/>
      <w:r w:rsidRPr="00AB2F0E">
        <w:t>Martone</w:t>
      </w:r>
      <w:proofErr w:type="spellEnd"/>
      <w:r w:rsidRPr="00AB2F0E">
        <w:t xml:space="preserve"> M. (</w:t>
      </w:r>
      <w:r w:rsidR="00AB2F0E" w:rsidRPr="00AB2F0E">
        <w:t xml:space="preserve">Data </w:t>
      </w:r>
      <w:proofErr w:type="spellStart"/>
      <w:r w:rsidR="00AB2F0E" w:rsidRPr="00AB2F0E">
        <w:t>Citation</w:t>
      </w:r>
      <w:proofErr w:type="spellEnd"/>
      <w:r w:rsidR="00AB2F0E" w:rsidRPr="00AB2F0E">
        <w:t xml:space="preserve"> </w:t>
      </w:r>
      <w:proofErr w:type="spellStart"/>
      <w:r w:rsidR="00AB2F0E" w:rsidRPr="00AB2F0E">
        <w:t>of</w:t>
      </w:r>
      <w:proofErr w:type="spellEnd"/>
      <w:r w:rsidR="00AB2F0E" w:rsidRPr="00AB2F0E">
        <w:t xml:space="preserve"> </w:t>
      </w:r>
      <w:proofErr w:type="spellStart"/>
      <w:r w:rsidR="00AB2F0E" w:rsidRPr="00AB2F0E">
        <w:t>Evolving</w:t>
      </w:r>
      <w:proofErr w:type="spellEnd"/>
      <w:r w:rsidR="00AB2F0E" w:rsidRPr="00AB2F0E">
        <w:t xml:space="preserve"> Data, Data </w:t>
      </w:r>
      <w:proofErr w:type="spellStart"/>
      <w:r w:rsidR="00AB2F0E" w:rsidRPr="00AB2F0E">
        <w:t>Description</w:t>
      </w:r>
      <w:proofErr w:type="spellEnd"/>
      <w:r w:rsidR="00AB2F0E" w:rsidRPr="00AB2F0E">
        <w:t xml:space="preserve"> </w:t>
      </w:r>
      <w:proofErr w:type="spellStart"/>
      <w:r w:rsidR="00AB2F0E" w:rsidRPr="00AB2F0E">
        <w:t>Registry</w:t>
      </w:r>
      <w:proofErr w:type="spellEnd"/>
      <w:r w:rsidR="00AB2F0E" w:rsidRPr="00AB2F0E">
        <w:t xml:space="preserve"> </w:t>
      </w:r>
      <w:proofErr w:type="spellStart"/>
      <w:r w:rsidR="00AB2F0E" w:rsidRPr="00AB2F0E">
        <w:t>Interoperability</w:t>
      </w:r>
      <w:proofErr w:type="spellEnd"/>
      <w:r w:rsidR="00AB2F0E" w:rsidRPr="00AB2F0E">
        <w:t xml:space="preserve"> </w:t>
      </w:r>
      <w:proofErr w:type="spellStart"/>
      <w:r w:rsidR="00AB2F0E" w:rsidRPr="00AB2F0E">
        <w:t>Model</w:t>
      </w:r>
      <w:proofErr w:type="spellEnd"/>
      <w:r w:rsidR="00AB2F0E" w:rsidRPr="00AB2F0E">
        <w:t xml:space="preserve">, RDA/WDS </w:t>
      </w:r>
      <w:proofErr w:type="spellStart"/>
      <w:r w:rsidR="00AB2F0E" w:rsidRPr="00AB2F0E">
        <w:t>Repository</w:t>
      </w:r>
      <w:proofErr w:type="spellEnd"/>
      <w:r w:rsidR="00AB2F0E" w:rsidRPr="00AB2F0E">
        <w:t xml:space="preserve"> </w:t>
      </w:r>
      <w:proofErr w:type="spellStart"/>
      <w:r w:rsidR="00AB2F0E" w:rsidRPr="00AB2F0E">
        <w:t>Audit</w:t>
      </w:r>
      <w:proofErr w:type="spellEnd"/>
      <w:r w:rsidR="00AB2F0E" w:rsidRPr="00AB2F0E">
        <w:t xml:space="preserve"> </w:t>
      </w:r>
      <w:proofErr w:type="spellStart"/>
      <w:r w:rsidR="00AB2F0E" w:rsidRPr="00AB2F0E">
        <w:t>and</w:t>
      </w:r>
      <w:proofErr w:type="spellEnd"/>
      <w:r w:rsidR="00AB2F0E" w:rsidRPr="00AB2F0E">
        <w:t xml:space="preserve"> </w:t>
      </w:r>
      <w:proofErr w:type="spellStart"/>
      <w:r w:rsidR="00AB2F0E" w:rsidRPr="00AB2F0E">
        <w:t>Certification</w:t>
      </w:r>
      <w:proofErr w:type="spellEnd"/>
      <w:r w:rsidR="00AB2F0E" w:rsidRPr="00AB2F0E">
        <w:t xml:space="preserve"> </w:t>
      </w:r>
      <w:proofErr w:type="spellStart"/>
      <w:r w:rsidR="00AB2F0E" w:rsidRPr="00AB2F0E">
        <w:t>Catalogues</w:t>
      </w:r>
      <w:proofErr w:type="spellEnd"/>
      <w:r w:rsidR="00AB2F0E" w:rsidRPr="00AB2F0E">
        <w:t xml:space="preserve">, RDA/WDS </w:t>
      </w:r>
      <w:proofErr w:type="spellStart"/>
      <w:r w:rsidR="00AB2F0E" w:rsidRPr="00AB2F0E">
        <w:t>Workflows</w:t>
      </w:r>
      <w:proofErr w:type="spellEnd"/>
      <w:r w:rsidR="00AB2F0E" w:rsidRPr="00AB2F0E">
        <w:t xml:space="preserve"> </w:t>
      </w:r>
      <w:proofErr w:type="spellStart"/>
      <w:r w:rsidR="00AB2F0E" w:rsidRPr="00AB2F0E">
        <w:t>for</w:t>
      </w:r>
      <w:proofErr w:type="spellEnd"/>
      <w:r w:rsidR="00AB2F0E" w:rsidRPr="00AB2F0E">
        <w:t xml:space="preserve"> </w:t>
      </w:r>
      <w:proofErr w:type="spellStart"/>
      <w:r w:rsidR="00AB2F0E" w:rsidRPr="00AB2F0E">
        <w:t>Research</w:t>
      </w:r>
      <w:proofErr w:type="spellEnd"/>
      <w:r w:rsidR="00AB2F0E" w:rsidRPr="00AB2F0E">
        <w:t xml:space="preserve"> Data </w:t>
      </w:r>
      <w:proofErr w:type="spellStart"/>
      <w:r w:rsidR="00AB2F0E" w:rsidRPr="00AB2F0E">
        <w:t>Publishing</w:t>
      </w:r>
      <w:proofErr w:type="spellEnd"/>
      <w:r w:rsidR="00AB2F0E" w:rsidRPr="00AB2F0E">
        <w:t xml:space="preserve"> </w:t>
      </w:r>
      <w:proofErr w:type="spellStart"/>
      <w:r w:rsidR="00AB2F0E" w:rsidRPr="00AB2F0E">
        <w:t>Model</w:t>
      </w:r>
      <w:proofErr w:type="spellEnd"/>
      <w:r w:rsidR="00AB2F0E" w:rsidRPr="00AB2F0E">
        <w:t xml:space="preserve">, RDA/WDS </w:t>
      </w:r>
      <w:proofErr w:type="spellStart"/>
      <w:r w:rsidR="00AB2F0E" w:rsidRPr="00AB2F0E">
        <w:t>Publishing</w:t>
      </w:r>
      <w:proofErr w:type="spellEnd"/>
      <w:r w:rsidR="00AB2F0E" w:rsidRPr="00AB2F0E">
        <w:t xml:space="preserve"> Data Services</w:t>
      </w:r>
      <w:r w:rsidRPr="00E70C1C">
        <w:t xml:space="preserve">) бяха представени и оценени от </w:t>
      </w:r>
      <w:r w:rsidR="00AB2F0E" w:rsidRPr="00E70C1C">
        <w:t xml:space="preserve">работна група </w:t>
      </w:r>
      <w:r w:rsidR="00AB2F0E">
        <w:t xml:space="preserve">на </w:t>
      </w:r>
      <w:r w:rsidR="00AB2F0E" w:rsidRPr="00AB2F0E">
        <w:t>MSP</w:t>
      </w:r>
      <w:r w:rsidRPr="00E70C1C">
        <w:t xml:space="preserve">. </w:t>
      </w:r>
      <w:hyperlink r:id="rId17">
        <w:r w:rsidRPr="00E70C1C">
          <w:t>Вж. документ ИКТ/</w:t>
        </w:r>
        <w:r w:rsidR="00AB2F0E" w:rsidRPr="00AB2F0E">
          <w:t xml:space="preserve"> MSP</w:t>
        </w:r>
        <w:r w:rsidRPr="00E70C1C">
          <w:t xml:space="preserve"> (2017) 529.</w:t>
        </w:r>
      </w:hyperlink>
    </w:p>
    <w:p w:rsidR="00641AA6" w:rsidRPr="00E70C1C" w:rsidRDefault="00F3586B" w:rsidP="00127C39">
      <w:pPr>
        <w:spacing w:after="0" w:line="276" w:lineRule="auto"/>
        <w:rPr>
          <w:i/>
          <w:szCs w:val="24"/>
        </w:rPr>
      </w:pPr>
      <w:hyperlink r:id="rId18">
        <w:proofErr w:type="spellStart"/>
        <w:r w:rsidR="00127C39" w:rsidRPr="00E70C1C">
          <w:rPr>
            <w:i/>
          </w:rPr>
          <w:t>Hans</w:t>
        </w:r>
        <w:proofErr w:type="spellEnd"/>
        <w:r w:rsidR="00127C39" w:rsidRPr="00E70C1C">
          <w:rPr>
            <w:i/>
          </w:rPr>
          <w:t xml:space="preserve"> </w:t>
        </w:r>
        <w:proofErr w:type="spellStart"/>
        <w:r w:rsidR="00127C39" w:rsidRPr="00E70C1C">
          <w:rPr>
            <w:i/>
          </w:rPr>
          <w:t>Jan</w:t>
        </w:r>
        <w:proofErr w:type="spellEnd"/>
        <w:r w:rsidR="00127C39" w:rsidRPr="00E70C1C">
          <w:rPr>
            <w:i/>
          </w:rPr>
          <w:t xml:space="preserve"> Van </w:t>
        </w:r>
        <w:proofErr w:type="spellStart"/>
        <w:r w:rsidR="00127C39" w:rsidRPr="00E70C1C">
          <w:rPr>
            <w:i/>
          </w:rPr>
          <w:t>Burg</w:t>
        </w:r>
        <w:proofErr w:type="spellEnd"/>
        <w:r w:rsidR="00127C39" w:rsidRPr="00E70C1C">
          <w:rPr>
            <w:i/>
          </w:rPr>
          <w:t xml:space="preserve"> (</w:t>
        </w:r>
        <w:r w:rsidR="00127C39" w:rsidRPr="00127C39">
          <w:rPr>
            <w:i/>
            <w:szCs w:val="24"/>
          </w:rPr>
          <w:t>председател</w:t>
        </w:r>
        <w:r w:rsidR="00127C39" w:rsidRPr="00E70C1C">
          <w:rPr>
            <w:i/>
          </w:rPr>
          <w:t xml:space="preserve"> на работната група) представи документ RDA2 ИКТ/</w:t>
        </w:r>
        <w:r w:rsidR="00AB2F0E" w:rsidRPr="00AB2F0E">
          <w:t xml:space="preserve"> </w:t>
        </w:r>
        <w:r w:rsidR="00AB2F0E" w:rsidRPr="00AB2F0E">
          <w:rPr>
            <w:i/>
          </w:rPr>
          <w:t>MSP</w:t>
        </w:r>
        <w:r w:rsidR="00127C39" w:rsidRPr="00E70C1C">
          <w:rPr>
            <w:i/>
          </w:rPr>
          <w:t xml:space="preserve"> (2017)544.</w:t>
        </w:r>
      </w:hyperlink>
    </w:p>
    <w:p w:rsidR="00641AA6" w:rsidRPr="00E70C1C" w:rsidRDefault="00127C39" w:rsidP="00127C39">
      <w:pPr>
        <w:spacing w:after="0" w:line="276" w:lineRule="auto"/>
      </w:pPr>
      <w:proofErr w:type="spellStart"/>
      <w:r w:rsidRPr="00E70C1C">
        <w:rPr>
          <w:szCs w:val="24"/>
        </w:rPr>
        <w:t>DigitalEurope</w:t>
      </w:r>
      <w:proofErr w:type="spellEnd"/>
      <w:r w:rsidRPr="00E70C1C">
        <w:rPr>
          <w:szCs w:val="24"/>
        </w:rPr>
        <w:t>, посоч</w:t>
      </w:r>
      <w:r w:rsidR="00AB2F0E">
        <w:rPr>
          <w:szCs w:val="24"/>
        </w:rPr>
        <w:t>и</w:t>
      </w:r>
      <w:r w:rsidRPr="00E70C1C">
        <w:rPr>
          <w:szCs w:val="24"/>
        </w:rPr>
        <w:t xml:space="preserve"> документ ИКТ/</w:t>
      </w:r>
      <w:r w:rsidR="00AB2F0E" w:rsidRPr="00AB2F0E">
        <w:t xml:space="preserve"> </w:t>
      </w:r>
      <w:r w:rsidR="00AB2F0E" w:rsidRPr="00AB2F0E">
        <w:rPr>
          <w:szCs w:val="24"/>
        </w:rPr>
        <w:t>MSP</w:t>
      </w:r>
      <w:r w:rsidRPr="00E70C1C">
        <w:rPr>
          <w:szCs w:val="24"/>
        </w:rPr>
        <w:t xml:space="preserve"> (2017)538, </w:t>
      </w:r>
      <w:r w:rsidR="00AB2F0E">
        <w:rPr>
          <w:szCs w:val="24"/>
        </w:rPr>
        <w:t>който поражда</w:t>
      </w:r>
      <w:r w:rsidRPr="00E70C1C">
        <w:rPr>
          <w:szCs w:val="24"/>
        </w:rPr>
        <w:t xml:space="preserve"> опасения дали три от спецификации</w:t>
      </w:r>
      <w:r w:rsidR="00AB2F0E">
        <w:rPr>
          <w:szCs w:val="24"/>
        </w:rPr>
        <w:t>те</w:t>
      </w:r>
      <w:r w:rsidRPr="00E70C1C">
        <w:rPr>
          <w:szCs w:val="24"/>
        </w:rPr>
        <w:t xml:space="preserve">, по-специално TS 5, TS 7 и TS 8 представляват технически </w:t>
      </w:r>
      <w:r w:rsidRPr="00127C39">
        <w:t>спецификации</w:t>
      </w:r>
      <w:r w:rsidRPr="00E70C1C">
        <w:rPr>
          <w:szCs w:val="24"/>
        </w:rPr>
        <w:t>.</w:t>
      </w:r>
      <w:hyperlink r:id="rId19">
        <w:r w:rsidRPr="00E70C1C">
          <w:rPr>
            <w:szCs w:val="24"/>
          </w:rPr>
          <w:t xml:space="preserve"> </w:t>
        </w:r>
        <w:proofErr w:type="spellStart"/>
        <w:r w:rsidRPr="00E70C1C">
          <w:rPr>
            <w:szCs w:val="24"/>
          </w:rPr>
          <w:t>DigitalEurope</w:t>
        </w:r>
        <w:proofErr w:type="spellEnd"/>
        <w:r w:rsidRPr="00E70C1C">
          <w:rPr>
            <w:szCs w:val="24"/>
          </w:rPr>
          <w:t xml:space="preserve"> не поставя под въпрос стойността на спецификации</w:t>
        </w:r>
        <w:r w:rsidR="00AB2F0E">
          <w:rPr>
            <w:szCs w:val="24"/>
          </w:rPr>
          <w:t>те</w:t>
        </w:r>
        <w:r w:rsidRPr="00E70C1C">
          <w:rPr>
            <w:szCs w:val="24"/>
          </w:rPr>
          <w:t xml:space="preserve"> като такива, нито стойността на процес</w:t>
        </w:r>
        <w:r w:rsidR="00AB2F0E">
          <w:rPr>
            <w:szCs w:val="24"/>
          </w:rPr>
          <w:t>а</w:t>
        </w:r>
        <w:r w:rsidRPr="00E70C1C">
          <w:rPr>
            <w:szCs w:val="24"/>
          </w:rPr>
          <w:t>, но те имат желание за запазване на целостта на процеса.</w:t>
        </w:r>
      </w:hyperlink>
    </w:p>
    <w:p w:rsidR="00641AA6" w:rsidRPr="00E70C1C" w:rsidRDefault="00127C39" w:rsidP="00127C39">
      <w:pPr>
        <w:spacing w:after="0" w:line="276" w:lineRule="auto"/>
      </w:pPr>
      <w:r w:rsidRPr="00E70C1C">
        <w:rPr>
          <w:szCs w:val="24"/>
        </w:rPr>
        <w:t>В отговор на тези тревоги, председател</w:t>
      </w:r>
      <w:r w:rsidR="00AB2F0E">
        <w:rPr>
          <w:szCs w:val="24"/>
        </w:rPr>
        <w:t>ят</w:t>
      </w:r>
      <w:r w:rsidRPr="00E70C1C">
        <w:rPr>
          <w:szCs w:val="24"/>
        </w:rPr>
        <w:t xml:space="preserve"> на Работната група за </w:t>
      </w:r>
      <w:r w:rsidR="00AB2F0E">
        <w:rPr>
          <w:szCs w:val="24"/>
        </w:rPr>
        <w:t>оценка</w:t>
      </w:r>
      <w:r w:rsidRPr="00E70C1C">
        <w:rPr>
          <w:szCs w:val="24"/>
        </w:rPr>
        <w:t xml:space="preserve"> г-н Van </w:t>
      </w:r>
      <w:proofErr w:type="spellStart"/>
      <w:r w:rsidRPr="00E70C1C">
        <w:rPr>
          <w:szCs w:val="24"/>
        </w:rPr>
        <w:t>Burg</w:t>
      </w:r>
      <w:proofErr w:type="spellEnd"/>
      <w:r w:rsidRPr="00E70C1C">
        <w:rPr>
          <w:szCs w:val="24"/>
        </w:rPr>
        <w:t>, посоч</w:t>
      </w:r>
      <w:r w:rsidR="00AB2F0E">
        <w:rPr>
          <w:szCs w:val="24"/>
        </w:rPr>
        <w:t>и</w:t>
      </w:r>
      <w:r w:rsidRPr="00E70C1C">
        <w:rPr>
          <w:szCs w:val="24"/>
        </w:rPr>
        <w:t xml:space="preserve"> документ ИКТ/</w:t>
      </w:r>
      <w:r w:rsidR="00AB2F0E" w:rsidRPr="00AB2F0E">
        <w:t xml:space="preserve"> </w:t>
      </w:r>
      <w:r w:rsidR="00AB2F0E" w:rsidRPr="00AB2F0E">
        <w:rPr>
          <w:szCs w:val="24"/>
        </w:rPr>
        <w:t>MSP</w:t>
      </w:r>
      <w:r w:rsidRPr="00E70C1C">
        <w:rPr>
          <w:szCs w:val="24"/>
        </w:rPr>
        <w:t xml:space="preserve"> (2017)546, където работната група счита, че посочените 3 спецификации попадат в категория в) от Регламент 1025/2012. Той </w:t>
      </w:r>
      <w:r w:rsidR="00AB2F0E">
        <w:rPr>
          <w:szCs w:val="24"/>
        </w:rPr>
        <w:t>по</w:t>
      </w:r>
      <w:r w:rsidRPr="00E70C1C">
        <w:rPr>
          <w:szCs w:val="24"/>
        </w:rPr>
        <w:t xml:space="preserve">твърди, че </w:t>
      </w:r>
      <w:r w:rsidR="00AB2F0E" w:rsidRPr="00AB2F0E">
        <w:t>RDA</w:t>
      </w:r>
      <w:r w:rsidR="00AB2F0E" w:rsidRPr="00E70C1C">
        <w:rPr>
          <w:szCs w:val="24"/>
        </w:rPr>
        <w:t xml:space="preserve"> </w:t>
      </w:r>
      <w:r w:rsidRPr="00E70C1C">
        <w:rPr>
          <w:szCs w:val="24"/>
        </w:rPr>
        <w:t>екип</w:t>
      </w:r>
      <w:r w:rsidR="00AB2F0E">
        <w:rPr>
          <w:szCs w:val="24"/>
        </w:rPr>
        <w:t>а</w:t>
      </w:r>
      <w:r w:rsidRPr="00E70C1C">
        <w:rPr>
          <w:szCs w:val="24"/>
        </w:rPr>
        <w:t xml:space="preserve"> са разгледа</w:t>
      </w:r>
      <w:r w:rsidR="00AB2F0E">
        <w:rPr>
          <w:szCs w:val="24"/>
        </w:rPr>
        <w:t>л</w:t>
      </w:r>
      <w:r w:rsidRPr="00E70C1C">
        <w:rPr>
          <w:szCs w:val="24"/>
        </w:rPr>
        <w:t xml:space="preserve">и спецификациите като „характеристиките, изисквани по отношение на конкретна услуга“, което подсказва, че те се приемат като технически спецификации в обхвата на процеса на </w:t>
      </w:r>
      <w:r w:rsidR="00AB2F0E">
        <w:rPr>
          <w:szCs w:val="24"/>
        </w:rPr>
        <w:t>идентификация</w:t>
      </w:r>
      <w:r w:rsidRPr="00E70C1C">
        <w:rPr>
          <w:szCs w:val="24"/>
        </w:rPr>
        <w:t>.</w:t>
      </w:r>
      <w:hyperlink r:id="rId20">
        <w:r w:rsidRPr="00E70C1C">
          <w:rPr>
            <w:szCs w:val="24"/>
          </w:rPr>
          <w:t xml:space="preserve"> Също така беше изтъкнато, че след положителното становище на </w:t>
        </w:r>
        <w:r w:rsidR="00AB2F0E" w:rsidRPr="00AB2F0E">
          <w:rPr>
            <w:szCs w:val="24"/>
          </w:rPr>
          <w:t>MSP</w:t>
        </w:r>
        <w:r w:rsidRPr="00E70C1C">
          <w:rPr>
            <w:szCs w:val="24"/>
          </w:rPr>
          <w:t xml:space="preserve"> относно създ</w:t>
        </w:r>
        <w:r w:rsidR="00AB2F0E">
          <w:rPr>
            <w:szCs w:val="24"/>
          </w:rPr>
          <w:t>аването на групата за оценяване</w:t>
        </w:r>
        <w:r w:rsidRPr="00E70C1C">
          <w:rPr>
            <w:szCs w:val="24"/>
          </w:rPr>
          <w:t xml:space="preserve"> групата </w:t>
        </w:r>
        <w:r w:rsidRPr="00E70C1C">
          <w:rPr>
            <w:szCs w:val="24"/>
          </w:rPr>
          <w:lastRenderedPageBreak/>
          <w:t xml:space="preserve">не е извършила повторна оценка на спецификациите по отношение на определението </w:t>
        </w:r>
        <w:r w:rsidR="00AB2F0E">
          <w:rPr>
            <w:szCs w:val="24"/>
          </w:rPr>
          <w:t>в</w:t>
        </w:r>
        <w:r w:rsidRPr="00E70C1C">
          <w:rPr>
            <w:szCs w:val="24"/>
          </w:rPr>
          <w:t xml:space="preserve"> </w:t>
        </w:r>
        <w:r w:rsidR="00AB2F0E">
          <w:rPr>
            <w:szCs w:val="24"/>
          </w:rPr>
          <w:t>Р</w:t>
        </w:r>
        <w:r w:rsidRPr="00E70C1C">
          <w:rPr>
            <w:szCs w:val="24"/>
          </w:rPr>
          <w:t>егламента.</w:t>
        </w:r>
      </w:hyperlink>
    </w:p>
    <w:p w:rsidR="00641AA6" w:rsidRPr="00E70C1C" w:rsidRDefault="00127C39" w:rsidP="00127C39">
      <w:pPr>
        <w:spacing w:after="0" w:line="276" w:lineRule="auto"/>
        <w:rPr>
          <w:szCs w:val="24"/>
        </w:rPr>
      </w:pPr>
      <w:r w:rsidRPr="00E70C1C">
        <w:rPr>
          <w:szCs w:val="24"/>
        </w:rPr>
        <w:t>В последвалите разисквания някои посочи</w:t>
      </w:r>
      <w:r w:rsidR="00AB2F0E">
        <w:rPr>
          <w:szCs w:val="24"/>
        </w:rPr>
        <w:t>ха</w:t>
      </w:r>
      <w:r w:rsidRPr="00E70C1C">
        <w:rPr>
          <w:szCs w:val="24"/>
        </w:rPr>
        <w:t>, че относно TS 7, е налице потенциално припокриване/допълнителна работа в рамките на ETSI и се позова</w:t>
      </w:r>
      <w:r w:rsidR="00AB2F0E">
        <w:rPr>
          <w:szCs w:val="24"/>
        </w:rPr>
        <w:t>ха</w:t>
      </w:r>
      <w:r w:rsidRPr="00E70C1C">
        <w:rPr>
          <w:szCs w:val="24"/>
        </w:rPr>
        <w:t xml:space="preserve"> на текущо проучване относно </w:t>
      </w:r>
      <w:r w:rsidR="00AB2F0E" w:rsidRPr="00E70C1C">
        <w:rPr>
          <w:szCs w:val="24"/>
        </w:rPr>
        <w:t>услуги</w:t>
      </w:r>
      <w:r w:rsidR="00AB2F0E">
        <w:rPr>
          <w:szCs w:val="24"/>
        </w:rPr>
        <w:t>те за</w:t>
      </w:r>
      <w:r w:rsidR="00AB2F0E" w:rsidRPr="00E70C1C">
        <w:rPr>
          <w:szCs w:val="24"/>
        </w:rPr>
        <w:t xml:space="preserve"> </w:t>
      </w:r>
      <w:r w:rsidR="00AB2F0E">
        <w:rPr>
          <w:szCs w:val="24"/>
        </w:rPr>
        <w:t>дългосрочно</w:t>
      </w:r>
      <w:r w:rsidRPr="00E70C1C">
        <w:rPr>
          <w:szCs w:val="24"/>
        </w:rPr>
        <w:t xml:space="preserve"> съхраняване на данни, включително електронни подписи. </w:t>
      </w:r>
      <w:r w:rsidR="00AB2F0E">
        <w:rPr>
          <w:szCs w:val="24"/>
        </w:rPr>
        <w:t>П</w:t>
      </w:r>
      <w:r w:rsidR="00AB2F0E" w:rsidRPr="00E70C1C">
        <w:rPr>
          <w:szCs w:val="24"/>
        </w:rPr>
        <w:t>редставител</w:t>
      </w:r>
      <w:r w:rsidR="00AB2F0E">
        <w:rPr>
          <w:szCs w:val="24"/>
        </w:rPr>
        <w:t>ят на</w:t>
      </w:r>
      <w:r w:rsidR="00AB2F0E" w:rsidRPr="00E70C1C">
        <w:rPr>
          <w:szCs w:val="24"/>
        </w:rPr>
        <w:t xml:space="preserve"> </w:t>
      </w:r>
      <w:r w:rsidRPr="00E70C1C">
        <w:rPr>
          <w:szCs w:val="24"/>
        </w:rPr>
        <w:t xml:space="preserve">ETSI </w:t>
      </w:r>
      <w:r w:rsidR="00AB2F0E">
        <w:rPr>
          <w:szCs w:val="24"/>
        </w:rPr>
        <w:t>потвърди</w:t>
      </w:r>
      <w:r w:rsidRPr="00E70C1C">
        <w:rPr>
          <w:szCs w:val="24"/>
        </w:rPr>
        <w:t>, че ще разгледа</w:t>
      </w:r>
      <w:r w:rsidR="00AB2F0E">
        <w:rPr>
          <w:szCs w:val="24"/>
        </w:rPr>
        <w:t>т</w:t>
      </w:r>
      <w:r w:rsidRPr="00E70C1C">
        <w:rPr>
          <w:szCs w:val="24"/>
        </w:rPr>
        <w:t xml:space="preserve"> въпроса.</w:t>
      </w:r>
    </w:p>
    <w:p w:rsidR="00641AA6" w:rsidRPr="00E70C1C" w:rsidRDefault="00AB2F0E" w:rsidP="00127C39">
      <w:pPr>
        <w:spacing w:after="0" w:line="276" w:lineRule="auto"/>
        <w:rPr>
          <w:szCs w:val="24"/>
        </w:rPr>
      </w:pPr>
      <w:r>
        <w:rPr>
          <w:szCs w:val="24"/>
        </w:rPr>
        <w:t>Един член</w:t>
      </w:r>
      <w:r w:rsidR="00127C39" w:rsidRPr="00E70C1C">
        <w:rPr>
          <w:szCs w:val="24"/>
        </w:rPr>
        <w:t xml:space="preserve"> изтъкна, че е трудно да се направи ясно разграничение между това какво представлява насока и какв</w:t>
      </w:r>
      <w:r>
        <w:rPr>
          <w:szCs w:val="24"/>
        </w:rPr>
        <w:t>о -</w:t>
      </w:r>
      <w:r w:rsidR="00127C39" w:rsidRPr="00E70C1C">
        <w:rPr>
          <w:szCs w:val="24"/>
        </w:rPr>
        <w:t xml:space="preserve"> техническа спецификация. Те считат, че би било по-ефективно да се върнат в целите на процеса на идентификация и </w:t>
      </w:r>
      <w:r>
        <w:rPr>
          <w:szCs w:val="24"/>
        </w:rPr>
        <w:t>да се определи каква стойност</w:t>
      </w:r>
      <w:r w:rsidR="00127C39" w:rsidRPr="00E70C1C">
        <w:rPr>
          <w:szCs w:val="24"/>
        </w:rPr>
        <w:t xml:space="preserve"> тези спецификации могат да имат за обществените поръчки. Той даде пример с TS 9 — когато работната група препоръча да се представи нова информация след </w:t>
      </w:r>
      <w:r>
        <w:rPr>
          <w:szCs w:val="24"/>
        </w:rPr>
        <w:t xml:space="preserve">приключване на </w:t>
      </w:r>
      <w:r w:rsidR="00127C39" w:rsidRPr="00E70C1C">
        <w:rPr>
          <w:szCs w:val="24"/>
        </w:rPr>
        <w:t xml:space="preserve">преразглеждането му </w:t>
      </w:r>
      <w:r>
        <w:rPr>
          <w:szCs w:val="24"/>
        </w:rPr>
        <w:t>когато няма</w:t>
      </w:r>
      <w:r w:rsidR="00127C39" w:rsidRPr="00E70C1C">
        <w:rPr>
          <w:szCs w:val="24"/>
        </w:rPr>
        <w:t xml:space="preserve"> специфични услуги, които възл</w:t>
      </w:r>
      <w:r>
        <w:rPr>
          <w:szCs w:val="24"/>
        </w:rPr>
        <w:t>ожителите на обществени поръчки</w:t>
      </w:r>
      <w:r w:rsidR="00127C39" w:rsidRPr="00E70C1C">
        <w:rPr>
          <w:szCs w:val="24"/>
        </w:rPr>
        <w:t xml:space="preserve"> биха могли да използват.</w:t>
      </w:r>
    </w:p>
    <w:p w:rsidR="00641AA6" w:rsidRPr="00E70C1C" w:rsidRDefault="00AB2F0E" w:rsidP="00127C39">
      <w:pPr>
        <w:spacing w:after="0" w:line="276" w:lineRule="auto"/>
        <w:rPr>
          <w:szCs w:val="24"/>
        </w:rPr>
      </w:pPr>
      <w:r>
        <w:rPr>
          <w:szCs w:val="24"/>
        </w:rPr>
        <w:t>Други</w:t>
      </w:r>
      <w:r w:rsidR="00127C39" w:rsidRPr="00E70C1C">
        <w:rPr>
          <w:szCs w:val="24"/>
        </w:rPr>
        <w:t xml:space="preserve"> членове не вижда</w:t>
      </w:r>
      <w:r>
        <w:rPr>
          <w:szCs w:val="24"/>
        </w:rPr>
        <w:t>т</w:t>
      </w:r>
      <w:r w:rsidR="00127C39" w:rsidRPr="00E70C1C">
        <w:rPr>
          <w:szCs w:val="24"/>
        </w:rPr>
        <w:t xml:space="preserve"> проблем и счита</w:t>
      </w:r>
      <w:r>
        <w:rPr>
          <w:szCs w:val="24"/>
        </w:rPr>
        <w:t>т</w:t>
      </w:r>
      <w:r w:rsidR="00127C39" w:rsidRPr="00E70C1C">
        <w:rPr>
          <w:szCs w:val="24"/>
        </w:rPr>
        <w:t xml:space="preserve">, че в случай, че тези спецификации не се считат за „технически спецификации“, </w:t>
      </w:r>
      <w:r>
        <w:rPr>
          <w:szCs w:val="24"/>
        </w:rPr>
        <w:t>както е определено в регламента,</w:t>
      </w:r>
      <w:r w:rsidR="00127C39" w:rsidRPr="00E70C1C">
        <w:rPr>
          <w:szCs w:val="24"/>
        </w:rPr>
        <w:t xml:space="preserve"> те следва да бъдат свободно </w:t>
      </w:r>
      <w:r>
        <w:rPr>
          <w:szCs w:val="24"/>
        </w:rPr>
        <w:t>идентифицирани</w:t>
      </w:r>
      <w:r w:rsidR="00127C39" w:rsidRPr="00E70C1C">
        <w:rPr>
          <w:szCs w:val="24"/>
        </w:rPr>
        <w:t xml:space="preserve"> от възложителите на обществени поръчки в процедурите по възлагане на поръчки.</w:t>
      </w:r>
    </w:p>
    <w:p w:rsidR="00641AA6" w:rsidRPr="00E70C1C" w:rsidRDefault="00127C39" w:rsidP="00127C39">
      <w:pPr>
        <w:spacing w:after="0" w:line="276" w:lineRule="auto"/>
        <w:rPr>
          <w:szCs w:val="24"/>
        </w:rPr>
      </w:pPr>
      <w:r w:rsidRPr="00E70C1C">
        <w:rPr>
          <w:szCs w:val="24"/>
        </w:rPr>
        <w:t>Някои други членове припомни</w:t>
      </w:r>
      <w:r w:rsidR="00AB2F0E">
        <w:rPr>
          <w:szCs w:val="24"/>
        </w:rPr>
        <w:t>ха</w:t>
      </w:r>
      <w:r w:rsidRPr="00E70C1C">
        <w:rPr>
          <w:szCs w:val="24"/>
        </w:rPr>
        <w:t xml:space="preserve"> ролята на работната група и че само елементите на спецификацията, която следва да бъде оценена по</w:t>
      </w:r>
      <w:r w:rsidR="00AB2F0E">
        <w:rPr>
          <w:szCs w:val="24"/>
        </w:rPr>
        <w:t xml:space="preserve"> време на оценката са посочени</w:t>
      </w:r>
      <w:r w:rsidRPr="00E70C1C">
        <w:rPr>
          <w:szCs w:val="24"/>
        </w:rPr>
        <w:t xml:space="preserve"> в </w:t>
      </w:r>
      <w:r w:rsidR="00AB2F0E">
        <w:rPr>
          <w:szCs w:val="24"/>
        </w:rPr>
        <w:t xml:space="preserve">Приложение II </w:t>
      </w:r>
      <w:r w:rsidR="008715D9">
        <w:rPr>
          <w:szCs w:val="24"/>
        </w:rPr>
        <w:t>к</w:t>
      </w:r>
      <w:r w:rsidRPr="00E70C1C">
        <w:rPr>
          <w:szCs w:val="24"/>
        </w:rPr>
        <w:t xml:space="preserve">ритерии. Те считат, че работната група не е имала </w:t>
      </w:r>
      <w:r w:rsidR="00AB2F0E">
        <w:rPr>
          <w:szCs w:val="24"/>
        </w:rPr>
        <w:t>право да използва като критерии</w:t>
      </w:r>
      <w:r w:rsidRPr="00E70C1C">
        <w:rPr>
          <w:szCs w:val="24"/>
        </w:rPr>
        <w:t xml:space="preserve"> дали дадена спецификация може да се счита за „техничес</w:t>
      </w:r>
      <w:r w:rsidR="008715D9">
        <w:rPr>
          <w:szCs w:val="24"/>
        </w:rPr>
        <w:t>ка спецификация“, спецификация и</w:t>
      </w:r>
      <w:r w:rsidRPr="00E70C1C">
        <w:rPr>
          <w:szCs w:val="24"/>
        </w:rPr>
        <w:t xml:space="preserve"> дали има смисъл за възложителите на обществени поръчки.</w:t>
      </w:r>
    </w:p>
    <w:p w:rsidR="00641AA6" w:rsidRPr="00E70C1C" w:rsidRDefault="008715D9" w:rsidP="00127C39">
      <w:pPr>
        <w:spacing w:after="0" w:line="276" w:lineRule="auto"/>
        <w:rPr>
          <w:szCs w:val="24"/>
        </w:rPr>
      </w:pPr>
      <w:r w:rsidRPr="008715D9">
        <w:rPr>
          <w:szCs w:val="24"/>
        </w:rPr>
        <w:t>MSP</w:t>
      </w:r>
      <w:r w:rsidR="00127C39" w:rsidRPr="00E70C1C">
        <w:rPr>
          <w:szCs w:val="24"/>
        </w:rPr>
        <w:t xml:space="preserve"> </w:t>
      </w:r>
      <w:r>
        <w:rPr>
          <w:szCs w:val="24"/>
        </w:rPr>
        <w:t>не формулира</w:t>
      </w:r>
      <w:r w:rsidR="00127C39" w:rsidRPr="00E70C1C">
        <w:rPr>
          <w:szCs w:val="24"/>
        </w:rPr>
        <w:t xml:space="preserve"> становище на този етап </w:t>
      </w:r>
      <w:r>
        <w:rPr>
          <w:szCs w:val="24"/>
        </w:rPr>
        <w:t>и</w:t>
      </w:r>
      <w:r w:rsidR="00127C39" w:rsidRPr="00E70C1C">
        <w:rPr>
          <w:szCs w:val="24"/>
        </w:rPr>
        <w:t xml:space="preserve"> да</w:t>
      </w:r>
      <w:r>
        <w:rPr>
          <w:szCs w:val="24"/>
        </w:rPr>
        <w:t>де</w:t>
      </w:r>
      <w:r w:rsidR="00127C39" w:rsidRPr="00E70C1C">
        <w:rPr>
          <w:szCs w:val="24"/>
        </w:rPr>
        <w:t xml:space="preserve"> на членовете време да се консултират със своите членове, и Работната група за </w:t>
      </w:r>
      <w:r>
        <w:rPr>
          <w:szCs w:val="24"/>
        </w:rPr>
        <w:t>оценка</w:t>
      </w:r>
      <w:r w:rsidR="00127C39" w:rsidRPr="00E70C1C">
        <w:rPr>
          <w:szCs w:val="24"/>
        </w:rPr>
        <w:t xml:space="preserve"> да размисли допълнително по този въпрос. Е</w:t>
      </w:r>
      <w:r>
        <w:rPr>
          <w:szCs w:val="24"/>
        </w:rPr>
        <w:t>К</w:t>
      </w:r>
      <w:r w:rsidR="00127C39" w:rsidRPr="00E70C1C">
        <w:rPr>
          <w:szCs w:val="24"/>
        </w:rPr>
        <w:t xml:space="preserve"> ще продължи също така с вътрешни консултации. Точката ще бъде </w:t>
      </w:r>
      <w:r>
        <w:rPr>
          <w:szCs w:val="24"/>
        </w:rPr>
        <w:t>в дневния ред</w:t>
      </w:r>
      <w:r w:rsidR="00127C39" w:rsidRPr="00E70C1C">
        <w:rPr>
          <w:szCs w:val="24"/>
        </w:rPr>
        <w:t xml:space="preserve"> на следващото заседание на </w:t>
      </w:r>
      <w:r w:rsidRPr="008715D9">
        <w:rPr>
          <w:szCs w:val="24"/>
        </w:rPr>
        <w:t>MSP</w:t>
      </w:r>
      <w:r w:rsidR="00127C39" w:rsidRPr="00E70C1C">
        <w:rPr>
          <w:szCs w:val="24"/>
        </w:rPr>
        <w:t>.</w:t>
      </w:r>
    </w:p>
    <w:p w:rsidR="00641AA6" w:rsidRPr="00E70C1C" w:rsidRDefault="00127C39">
      <w:pPr>
        <w:pStyle w:val="Heading2"/>
        <w:rPr>
          <w:sz w:val="26"/>
          <w:szCs w:val="26"/>
          <w:u w:val="single"/>
        </w:rPr>
      </w:pPr>
      <w:r w:rsidRPr="00E70C1C">
        <w:rPr>
          <w:sz w:val="26"/>
          <w:szCs w:val="26"/>
          <w:u w:val="single"/>
        </w:rPr>
        <w:t xml:space="preserve">Нови ИКТ </w:t>
      </w:r>
      <w:r w:rsidR="008715D9">
        <w:rPr>
          <w:sz w:val="26"/>
          <w:szCs w:val="26"/>
          <w:u w:val="single"/>
        </w:rPr>
        <w:t>технически спецификации (</w:t>
      </w:r>
      <w:r w:rsidRPr="00E70C1C">
        <w:rPr>
          <w:sz w:val="26"/>
          <w:szCs w:val="26"/>
          <w:u w:val="single"/>
        </w:rPr>
        <w:t>TS</w:t>
      </w:r>
      <w:r w:rsidR="008715D9">
        <w:rPr>
          <w:sz w:val="26"/>
          <w:szCs w:val="26"/>
          <w:u w:val="single"/>
        </w:rPr>
        <w:t>), предложени</w:t>
      </w:r>
      <w:r w:rsidRPr="00E70C1C">
        <w:rPr>
          <w:sz w:val="26"/>
          <w:szCs w:val="26"/>
          <w:u w:val="single"/>
        </w:rPr>
        <w:t xml:space="preserve"> за </w:t>
      </w:r>
      <w:r w:rsidR="008715D9">
        <w:rPr>
          <w:sz w:val="26"/>
          <w:szCs w:val="26"/>
          <w:u w:val="single"/>
        </w:rPr>
        <w:t xml:space="preserve">идентификация </w:t>
      </w:r>
      <w:r w:rsidRPr="00E70C1C">
        <w:rPr>
          <w:sz w:val="26"/>
          <w:szCs w:val="26"/>
          <w:u w:val="single"/>
        </w:rPr>
        <w:t xml:space="preserve">- </w:t>
      </w:r>
      <w:r w:rsidR="008715D9" w:rsidRPr="00E70C1C">
        <w:rPr>
          <w:sz w:val="26"/>
          <w:szCs w:val="26"/>
          <w:u w:val="single"/>
        </w:rPr>
        <w:t>пилотн</w:t>
      </w:r>
      <w:r w:rsidR="008715D9">
        <w:rPr>
          <w:sz w:val="26"/>
          <w:szCs w:val="26"/>
          <w:u w:val="single"/>
        </w:rPr>
        <w:t>о</w:t>
      </w:r>
      <w:r w:rsidR="008715D9" w:rsidRPr="00E70C1C">
        <w:rPr>
          <w:sz w:val="26"/>
          <w:szCs w:val="26"/>
          <w:u w:val="single"/>
        </w:rPr>
        <w:t xml:space="preserve"> </w:t>
      </w:r>
      <w:r w:rsidR="008715D9">
        <w:rPr>
          <w:sz w:val="26"/>
          <w:szCs w:val="26"/>
          <w:u w:val="single"/>
        </w:rPr>
        <w:t>използване</w:t>
      </w:r>
      <w:r w:rsidRPr="00E70C1C">
        <w:rPr>
          <w:sz w:val="26"/>
          <w:szCs w:val="26"/>
          <w:u w:val="single"/>
        </w:rPr>
        <w:t xml:space="preserve"> на CAMSS</w:t>
      </w:r>
    </w:p>
    <w:p w:rsidR="00641AA6" w:rsidRPr="00E70C1C" w:rsidRDefault="00127C39">
      <w:pPr>
        <w:pStyle w:val="ListParagraph"/>
        <w:numPr>
          <w:ilvl w:val="0"/>
          <w:numId w:val="2"/>
        </w:numPr>
        <w:ind w:left="567"/>
        <w:rPr>
          <w:b/>
          <w:i/>
          <w:szCs w:val="20"/>
          <w:lang w:eastAsia="en-US"/>
        </w:rPr>
      </w:pPr>
      <w:proofErr w:type="spellStart"/>
      <w:r w:rsidRPr="00E70C1C">
        <w:rPr>
          <w:b/>
          <w:i/>
          <w:szCs w:val="20"/>
          <w:lang w:eastAsia="en-US"/>
        </w:rPr>
        <w:t>Stix</w:t>
      </w:r>
      <w:proofErr w:type="spellEnd"/>
      <w:r w:rsidRPr="00E70C1C">
        <w:rPr>
          <w:b/>
          <w:i/>
          <w:szCs w:val="20"/>
          <w:lang w:eastAsia="en-US"/>
        </w:rPr>
        <w:t xml:space="preserve"> TAXII 1.2 и 1.1 (за становищ</w:t>
      </w:r>
      <w:r w:rsidR="008715D9">
        <w:rPr>
          <w:b/>
          <w:i/>
          <w:szCs w:val="20"/>
          <w:lang w:eastAsia="en-US"/>
        </w:rPr>
        <w:t>е</w:t>
      </w:r>
      <w:r w:rsidRPr="00E70C1C">
        <w:rPr>
          <w:b/>
          <w:i/>
          <w:szCs w:val="20"/>
          <w:lang w:eastAsia="en-US"/>
        </w:rPr>
        <w:t>).</w:t>
      </w:r>
    </w:p>
    <w:p w:rsidR="00641AA6" w:rsidRPr="00E70C1C" w:rsidRDefault="00F3586B">
      <w:pPr>
        <w:spacing w:before="120" w:after="120"/>
        <w:rPr>
          <w:i/>
          <w:szCs w:val="24"/>
        </w:rPr>
      </w:pPr>
      <w:hyperlink r:id="rId21">
        <w:proofErr w:type="spellStart"/>
        <w:r w:rsidR="00127C39" w:rsidRPr="00E70C1C">
          <w:rPr>
            <w:i/>
          </w:rPr>
          <w:t>Rod</w:t>
        </w:r>
        <w:r w:rsidR="008715D9">
          <w:rPr>
            <w:i/>
          </w:rPr>
          <w:t>olphe</w:t>
        </w:r>
        <w:proofErr w:type="spellEnd"/>
        <w:r w:rsidR="008715D9">
          <w:rPr>
            <w:i/>
          </w:rPr>
          <w:t xml:space="preserve"> </w:t>
        </w:r>
        <w:proofErr w:type="spellStart"/>
        <w:r w:rsidR="008715D9">
          <w:rPr>
            <w:i/>
          </w:rPr>
          <w:t>Wouters</w:t>
        </w:r>
        <w:proofErr w:type="spellEnd"/>
        <w:r w:rsidR="008715D9">
          <w:rPr>
            <w:i/>
          </w:rPr>
          <w:t xml:space="preserve"> (ГД GROW), посоч</w:t>
        </w:r>
        <w:r w:rsidR="00127C39" w:rsidRPr="00E70C1C">
          <w:rPr>
            <w:i/>
          </w:rPr>
          <w:t>и документи ИКТ/</w:t>
        </w:r>
        <w:r w:rsidR="008715D9" w:rsidRPr="008715D9">
          <w:t xml:space="preserve"> </w:t>
        </w:r>
        <w:r w:rsidR="008715D9" w:rsidRPr="008715D9">
          <w:rPr>
            <w:i/>
          </w:rPr>
          <w:t>MSP</w:t>
        </w:r>
        <w:r w:rsidR="00127C39" w:rsidRPr="00E70C1C">
          <w:rPr>
            <w:i/>
          </w:rPr>
          <w:t xml:space="preserve"> (2017) 524, 524—1, 524—2 и 527. </w:t>
        </w:r>
        <w:r w:rsidR="008715D9">
          <w:rPr>
            <w:i/>
          </w:rPr>
          <w:t>Т</w:t>
        </w:r>
        <w:r w:rsidR="00127C39" w:rsidRPr="00E70C1C">
          <w:rPr>
            <w:i/>
          </w:rPr>
          <w:t>ой прип</w:t>
        </w:r>
        <w:r w:rsidR="008715D9">
          <w:rPr>
            <w:i/>
          </w:rPr>
          <w:t>омни, че пилотният проект е</w:t>
        </w:r>
        <w:r w:rsidR="00127C39" w:rsidRPr="00E70C1C">
          <w:rPr>
            <w:i/>
          </w:rPr>
          <w:t xml:space="preserve"> насочен към оптимизиране на процеса на оценка и подкрепа за работните групи, като предостав</w:t>
        </w:r>
        <w:r w:rsidR="008715D9">
          <w:rPr>
            <w:i/>
          </w:rPr>
          <w:t>я</w:t>
        </w:r>
        <w:r w:rsidR="00127C39" w:rsidRPr="00E70C1C">
          <w:rPr>
            <w:i/>
          </w:rPr>
          <w:t xml:space="preserve"> първоначален доклад въз основа на посочените в </w:t>
        </w:r>
        <w:r w:rsidR="008715D9">
          <w:rPr>
            <w:i/>
          </w:rPr>
          <w:t>П</w:t>
        </w:r>
        <w:r w:rsidR="00127C39" w:rsidRPr="00E70C1C">
          <w:rPr>
            <w:i/>
          </w:rPr>
          <w:t>риложение II критерии.</w:t>
        </w:r>
      </w:hyperlink>
    </w:p>
    <w:p w:rsidR="00641AA6" w:rsidRPr="00E70C1C" w:rsidRDefault="00127C39" w:rsidP="008715D9">
      <w:pPr>
        <w:spacing w:after="0"/>
        <w:rPr>
          <w:szCs w:val="24"/>
        </w:rPr>
      </w:pPr>
      <w:r w:rsidRPr="00E70C1C">
        <w:rPr>
          <w:szCs w:val="24"/>
        </w:rPr>
        <w:t>Много членове благодари</w:t>
      </w:r>
      <w:r w:rsidR="008715D9">
        <w:rPr>
          <w:szCs w:val="24"/>
        </w:rPr>
        <w:t>ха</w:t>
      </w:r>
      <w:r w:rsidRPr="00E70C1C">
        <w:rPr>
          <w:szCs w:val="24"/>
        </w:rPr>
        <w:t xml:space="preserve"> на Комисията за пилотни</w:t>
      </w:r>
      <w:r w:rsidR="008715D9">
        <w:rPr>
          <w:szCs w:val="24"/>
        </w:rPr>
        <w:t>я проект</w:t>
      </w:r>
      <w:r w:rsidRPr="00E70C1C">
        <w:rPr>
          <w:szCs w:val="24"/>
        </w:rPr>
        <w:t xml:space="preserve"> и за изключително високото качество на работата, извършена от екипа на CAMSS.</w:t>
      </w:r>
    </w:p>
    <w:p w:rsidR="00641AA6" w:rsidRPr="00E70C1C" w:rsidRDefault="00127C39" w:rsidP="008715D9">
      <w:pPr>
        <w:spacing w:after="0"/>
        <w:rPr>
          <w:szCs w:val="24"/>
        </w:rPr>
      </w:pPr>
      <w:r w:rsidRPr="00E70C1C">
        <w:rPr>
          <w:szCs w:val="24"/>
        </w:rPr>
        <w:t>По отношение на процедурата, следвана по време на пилотн</w:t>
      </w:r>
      <w:r w:rsidR="008715D9">
        <w:rPr>
          <w:szCs w:val="24"/>
        </w:rPr>
        <w:t>ия проект</w:t>
      </w:r>
      <w:r w:rsidRPr="00E70C1C">
        <w:rPr>
          <w:szCs w:val="24"/>
        </w:rPr>
        <w:t>, някои членове подчертаха необходимостта от по-видим</w:t>
      </w:r>
      <w:r w:rsidR="008715D9">
        <w:rPr>
          <w:szCs w:val="24"/>
        </w:rPr>
        <w:t>а</w:t>
      </w:r>
      <w:r w:rsidRPr="00E70C1C">
        <w:rPr>
          <w:szCs w:val="24"/>
        </w:rPr>
        <w:t xml:space="preserve"> комуникация с </w:t>
      </w:r>
      <w:r w:rsidR="008715D9" w:rsidRPr="008715D9">
        <w:rPr>
          <w:szCs w:val="24"/>
        </w:rPr>
        <w:t>MSP</w:t>
      </w:r>
      <w:r w:rsidRPr="00E70C1C">
        <w:rPr>
          <w:szCs w:val="24"/>
        </w:rPr>
        <w:t xml:space="preserve"> по време на оценката, и поиска</w:t>
      </w:r>
      <w:r w:rsidR="008715D9">
        <w:rPr>
          <w:szCs w:val="24"/>
        </w:rPr>
        <w:t>ха</w:t>
      </w:r>
      <w:r w:rsidRPr="00E70C1C">
        <w:rPr>
          <w:szCs w:val="24"/>
        </w:rPr>
        <w:t xml:space="preserve"> специални съобщения вместо автоматични уведомления от CIRCABC, тъй като тя е важна за членовете </w:t>
      </w:r>
      <w:r w:rsidR="008715D9" w:rsidRPr="00E70C1C">
        <w:rPr>
          <w:szCs w:val="24"/>
        </w:rPr>
        <w:t xml:space="preserve">на </w:t>
      </w:r>
      <w:r w:rsidR="008715D9" w:rsidRPr="008715D9">
        <w:rPr>
          <w:szCs w:val="24"/>
        </w:rPr>
        <w:t>MSP</w:t>
      </w:r>
      <w:r w:rsidR="008715D9">
        <w:rPr>
          <w:szCs w:val="24"/>
        </w:rPr>
        <w:t xml:space="preserve">, за </w:t>
      </w:r>
      <w:r w:rsidRPr="00E70C1C">
        <w:rPr>
          <w:szCs w:val="24"/>
        </w:rPr>
        <w:t xml:space="preserve">да получават ясна информация на всички етапи на процеса на преразглеждане. Те считат, че комуникацията по време на оценката следва да бъде засилена, което позволява по-голямо взаимодействие с тези </w:t>
      </w:r>
      <w:r w:rsidR="008715D9">
        <w:rPr>
          <w:szCs w:val="24"/>
        </w:rPr>
        <w:t xml:space="preserve">членове на </w:t>
      </w:r>
      <w:r w:rsidR="008715D9" w:rsidRPr="008715D9">
        <w:rPr>
          <w:szCs w:val="24"/>
        </w:rPr>
        <w:t>MSP</w:t>
      </w:r>
      <w:r w:rsidRPr="00E70C1C">
        <w:rPr>
          <w:szCs w:val="24"/>
        </w:rPr>
        <w:t>, които желаят да участват в него в по-голяма степен.</w:t>
      </w:r>
    </w:p>
    <w:p w:rsidR="00641AA6" w:rsidRPr="00E70C1C" w:rsidRDefault="00127C39" w:rsidP="008715D9">
      <w:pPr>
        <w:spacing w:after="0"/>
        <w:rPr>
          <w:szCs w:val="24"/>
        </w:rPr>
      </w:pPr>
      <w:r w:rsidRPr="00E70C1C">
        <w:rPr>
          <w:szCs w:val="24"/>
        </w:rPr>
        <w:t xml:space="preserve">Комисията отговори, че целта на пилотния проект беше да се ускори процесът и същевременно </w:t>
      </w:r>
      <w:r w:rsidR="008715D9">
        <w:rPr>
          <w:szCs w:val="24"/>
        </w:rPr>
        <w:t>д</w:t>
      </w:r>
      <w:r w:rsidRPr="00E70C1C">
        <w:rPr>
          <w:szCs w:val="24"/>
        </w:rPr>
        <w:t xml:space="preserve">а </w:t>
      </w:r>
      <w:r w:rsidR="008715D9">
        <w:rPr>
          <w:szCs w:val="24"/>
        </w:rPr>
        <w:t xml:space="preserve">се </w:t>
      </w:r>
      <w:r w:rsidRPr="00E70C1C">
        <w:rPr>
          <w:szCs w:val="24"/>
        </w:rPr>
        <w:t>подкреп</w:t>
      </w:r>
      <w:r w:rsidR="008715D9">
        <w:rPr>
          <w:szCs w:val="24"/>
        </w:rPr>
        <w:t>и</w:t>
      </w:r>
      <w:r w:rsidRPr="00E70C1C">
        <w:rPr>
          <w:szCs w:val="24"/>
        </w:rPr>
        <w:t xml:space="preserve"> </w:t>
      </w:r>
      <w:r w:rsidR="008715D9" w:rsidRPr="008715D9">
        <w:rPr>
          <w:szCs w:val="24"/>
        </w:rPr>
        <w:t xml:space="preserve">MSP </w:t>
      </w:r>
      <w:r w:rsidRPr="00E70C1C">
        <w:rPr>
          <w:szCs w:val="24"/>
        </w:rPr>
        <w:t xml:space="preserve">в </w:t>
      </w:r>
      <w:r w:rsidR="008715D9">
        <w:rPr>
          <w:szCs w:val="24"/>
        </w:rPr>
        <w:t>нейната роля да осигурява</w:t>
      </w:r>
      <w:r w:rsidRPr="00E70C1C">
        <w:rPr>
          <w:szCs w:val="24"/>
        </w:rPr>
        <w:t xml:space="preserve"> съвети. </w:t>
      </w:r>
      <w:r w:rsidR="008715D9">
        <w:rPr>
          <w:szCs w:val="24"/>
        </w:rPr>
        <w:t>В пилотния</w:t>
      </w:r>
      <w:r w:rsidRPr="00E70C1C">
        <w:rPr>
          <w:szCs w:val="24"/>
        </w:rPr>
        <w:t xml:space="preserve"> </w:t>
      </w:r>
      <w:r w:rsidRPr="00E70C1C">
        <w:rPr>
          <w:szCs w:val="24"/>
        </w:rPr>
        <w:lastRenderedPageBreak/>
        <w:t>проект също така се посочват някои въпроси във връзка с процеса, които могат да бъдат премахнати.</w:t>
      </w:r>
    </w:p>
    <w:p w:rsidR="00641AA6" w:rsidRPr="00E70C1C" w:rsidRDefault="00127C39" w:rsidP="008715D9">
      <w:pPr>
        <w:spacing w:after="0"/>
        <w:rPr>
          <w:szCs w:val="24"/>
        </w:rPr>
      </w:pPr>
      <w:r w:rsidRPr="00E70C1C">
        <w:rPr>
          <w:szCs w:val="24"/>
        </w:rPr>
        <w:t>Членовете припомниха, че създаването на работна група за оценка позволи на членовете да разполагат с по-задълбочени обсъждания относно спецификациите и заяви</w:t>
      </w:r>
      <w:r w:rsidR="008715D9">
        <w:rPr>
          <w:szCs w:val="24"/>
        </w:rPr>
        <w:t>ха</w:t>
      </w:r>
      <w:r w:rsidRPr="00E70C1C">
        <w:rPr>
          <w:szCs w:val="24"/>
        </w:rPr>
        <w:t xml:space="preserve">, че възможността за повече обмен на информация ще бъде </w:t>
      </w:r>
      <w:r w:rsidR="008715D9">
        <w:rPr>
          <w:szCs w:val="24"/>
        </w:rPr>
        <w:t>пренебрегната в новия процес. Те предложиха</w:t>
      </w:r>
      <w:r w:rsidRPr="00E70C1C">
        <w:rPr>
          <w:szCs w:val="24"/>
        </w:rPr>
        <w:t xml:space="preserve"> </w:t>
      </w:r>
      <w:r w:rsidR="008715D9" w:rsidRPr="008715D9">
        <w:rPr>
          <w:szCs w:val="24"/>
        </w:rPr>
        <w:t xml:space="preserve">MSP </w:t>
      </w:r>
      <w:r w:rsidRPr="00E70C1C">
        <w:rPr>
          <w:szCs w:val="24"/>
        </w:rPr>
        <w:t>да реш</w:t>
      </w:r>
      <w:r w:rsidR="008715D9">
        <w:rPr>
          <w:szCs w:val="24"/>
        </w:rPr>
        <w:t>ава</w:t>
      </w:r>
      <w:r w:rsidRPr="00E70C1C">
        <w:rPr>
          <w:szCs w:val="24"/>
        </w:rPr>
        <w:t xml:space="preserve"> в момента на получаване на нова заявка за това дали да се създаде работна група за оценка.</w:t>
      </w:r>
    </w:p>
    <w:p w:rsidR="00641AA6" w:rsidRPr="00E70C1C" w:rsidRDefault="00127C39" w:rsidP="008715D9">
      <w:pPr>
        <w:spacing w:after="0"/>
        <w:rPr>
          <w:szCs w:val="24"/>
        </w:rPr>
      </w:pPr>
      <w:r w:rsidRPr="00E70C1C">
        <w:rPr>
          <w:szCs w:val="24"/>
        </w:rPr>
        <w:t xml:space="preserve">Председателят приключи </w:t>
      </w:r>
      <w:r w:rsidR="008715D9">
        <w:rPr>
          <w:szCs w:val="24"/>
        </w:rPr>
        <w:t xml:space="preserve">темата </w:t>
      </w:r>
      <w:r w:rsidRPr="00E70C1C">
        <w:rPr>
          <w:szCs w:val="24"/>
        </w:rPr>
        <w:t xml:space="preserve">и потвърди, че новият процес беше приветстван от членовете на </w:t>
      </w:r>
      <w:r w:rsidR="008715D9" w:rsidRPr="008715D9">
        <w:rPr>
          <w:szCs w:val="24"/>
        </w:rPr>
        <w:t>MSP</w:t>
      </w:r>
      <w:r w:rsidRPr="00E70C1C">
        <w:rPr>
          <w:szCs w:val="24"/>
        </w:rPr>
        <w:t xml:space="preserve">. Решение </w:t>
      </w:r>
      <w:r w:rsidR="008715D9">
        <w:rPr>
          <w:szCs w:val="24"/>
        </w:rPr>
        <w:t>по въпроса н</w:t>
      </w:r>
      <w:r w:rsidRPr="00E70C1C">
        <w:rPr>
          <w:szCs w:val="24"/>
        </w:rPr>
        <w:t xml:space="preserve">а </w:t>
      </w:r>
      <w:r w:rsidR="008715D9" w:rsidRPr="00E70C1C">
        <w:rPr>
          <w:szCs w:val="24"/>
        </w:rPr>
        <w:t>членовете</w:t>
      </w:r>
      <w:r w:rsidR="008715D9" w:rsidRPr="008715D9">
        <w:rPr>
          <w:szCs w:val="24"/>
        </w:rPr>
        <w:t xml:space="preserve"> </w:t>
      </w:r>
      <w:r w:rsidR="008715D9">
        <w:rPr>
          <w:szCs w:val="24"/>
        </w:rPr>
        <w:t xml:space="preserve">на </w:t>
      </w:r>
      <w:r w:rsidR="008715D9" w:rsidRPr="008715D9">
        <w:rPr>
          <w:szCs w:val="24"/>
        </w:rPr>
        <w:t>MSP</w:t>
      </w:r>
      <w:r w:rsidRPr="00E70C1C">
        <w:rPr>
          <w:szCs w:val="24"/>
        </w:rPr>
        <w:t xml:space="preserve"> дали да </w:t>
      </w:r>
      <w:r w:rsidR="008715D9">
        <w:rPr>
          <w:szCs w:val="24"/>
        </w:rPr>
        <w:t xml:space="preserve">се </w:t>
      </w:r>
      <w:r w:rsidRPr="00E70C1C">
        <w:rPr>
          <w:szCs w:val="24"/>
        </w:rPr>
        <w:t>създаде работна група за оценка се определя в началото на процеса за всички нови обозначения. Кореспонденция между Европейската комисия и членовете на платформата, следва да бъде засилен</w:t>
      </w:r>
      <w:r w:rsidR="008715D9">
        <w:rPr>
          <w:szCs w:val="24"/>
        </w:rPr>
        <w:t>а</w:t>
      </w:r>
      <w:r w:rsidRPr="00E70C1C">
        <w:rPr>
          <w:szCs w:val="24"/>
        </w:rPr>
        <w:t>. Комисията ще изготви актуализиран документ за процеса и ще го публикувате в CIRCA и ще помоли за коментари.</w:t>
      </w:r>
    </w:p>
    <w:p w:rsidR="00641AA6" w:rsidRPr="00E70C1C" w:rsidRDefault="00E01D5D" w:rsidP="008715D9">
      <w:pPr>
        <w:spacing w:after="0"/>
        <w:rPr>
          <w:szCs w:val="24"/>
        </w:rPr>
      </w:pPr>
      <w:r w:rsidRPr="00E01D5D">
        <w:rPr>
          <w:szCs w:val="24"/>
        </w:rPr>
        <w:t xml:space="preserve">MSP </w:t>
      </w:r>
      <w:r>
        <w:rPr>
          <w:szCs w:val="24"/>
        </w:rPr>
        <w:t>даде</w:t>
      </w:r>
      <w:r w:rsidR="00127C39" w:rsidRPr="00E70C1C">
        <w:rPr>
          <w:szCs w:val="24"/>
        </w:rPr>
        <w:t xml:space="preserve"> положителното становище относно идентифицирането на STIX и TAXII и поздрави за отличната работа, извършена от CAMSS екип.</w:t>
      </w:r>
    </w:p>
    <w:p w:rsidR="00641AA6" w:rsidRPr="00E70C1C" w:rsidRDefault="00127C39">
      <w:pPr>
        <w:pStyle w:val="Heading2"/>
        <w:rPr>
          <w:sz w:val="26"/>
          <w:szCs w:val="26"/>
          <w:u w:val="single"/>
        </w:rPr>
      </w:pPr>
      <w:r w:rsidRPr="00E70C1C">
        <w:rPr>
          <w:sz w:val="26"/>
          <w:szCs w:val="26"/>
          <w:u w:val="single"/>
        </w:rPr>
        <w:t xml:space="preserve">Актуална информация относно текущите </w:t>
      </w:r>
      <w:r w:rsidR="00E01D5D">
        <w:rPr>
          <w:sz w:val="26"/>
          <w:szCs w:val="26"/>
          <w:u w:val="single"/>
        </w:rPr>
        <w:t>идентификации</w:t>
      </w:r>
    </w:p>
    <w:p w:rsidR="00641AA6" w:rsidRPr="00E70C1C" w:rsidRDefault="00127C39">
      <w:pPr>
        <w:pStyle w:val="Heading3"/>
        <w:numPr>
          <w:ilvl w:val="0"/>
          <w:numId w:val="2"/>
        </w:numPr>
        <w:ind w:left="993"/>
      </w:pPr>
      <w:r w:rsidRPr="00E70C1C">
        <w:t>Актуално състояние на следващото решение на Комисията за консултация с експерти от сектора за SPF DANE SMTP&amp; STARTTLS (IETF) (късно подаване)</w:t>
      </w:r>
    </w:p>
    <w:p w:rsidR="00641AA6" w:rsidRPr="00E70C1C" w:rsidRDefault="00127C39" w:rsidP="00E01D5D">
      <w:pPr>
        <w:spacing w:after="0"/>
      </w:pPr>
      <w:proofErr w:type="spellStart"/>
      <w:r w:rsidRPr="00E70C1C">
        <w:rPr>
          <w:i/>
        </w:rPr>
        <w:t>Belén</w:t>
      </w:r>
      <w:proofErr w:type="spellEnd"/>
      <w:r w:rsidRPr="00E70C1C">
        <w:rPr>
          <w:i/>
        </w:rPr>
        <w:t xml:space="preserve"> </w:t>
      </w:r>
      <w:proofErr w:type="spellStart"/>
      <w:r w:rsidR="00E01D5D" w:rsidRPr="00E01D5D">
        <w:rPr>
          <w:i/>
        </w:rPr>
        <w:t>Martínez</w:t>
      </w:r>
      <w:proofErr w:type="spellEnd"/>
      <w:r w:rsidRPr="00E70C1C">
        <w:rPr>
          <w:i/>
        </w:rPr>
        <w:t xml:space="preserve"> (ГД GROW) </w:t>
      </w:r>
      <w:r w:rsidRPr="00E01D5D">
        <w:t xml:space="preserve">информира, че следващото решение за идентифициране на всички останали TS, включително </w:t>
      </w:r>
      <w:r w:rsidR="00E01D5D" w:rsidRPr="00E01D5D">
        <w:t xml:space="preserve">SPF - </w:t>
      </w:r>
      <w:proofErr w:type="spellStart"/>
      <w:r w:rsidR="00E01D5D" w:rsidRPr="00E01D5D">
        <w:t>Sender</w:t>
      </w:r>
      <w:proofErr w:type="spellEnd"/>
      <w:r w:rsidR="00E01D5D" w:rsidRPr="00E01D5D">
        <w:t xml:space="preserve"> </w:t>
      </w:r>
      <w:proofErr w:type="spellStart"/>
      <w:r w:rsidR="00E01D5D" w:rsidRPr="00E01D5D">
        <w:t>Policy</w:t>
      </w:r>
      <w:proofErr w:type="spellEnd"/>
      <w:r w:rsidR="00E01D5D" w:rsidRPr="00E01D5D">
        <w:t xml:space="preserve"> Framework; STARTTLS - SMTP Service </w:t>
      </w:r>
      <w:proofErr w:type="spellStart"/>
      <w:r w:rsidR="00E01D5D" w:rsidRPr="00E01D5D">
        <w:t>Extension</w:t>
      </w:r>
      <w:proofErr w:type="spellEnd"/>
      <w:r w:rsidR="00E01D5D" w:rsidRPr="00E01D5D">
        <w:t xml:space="preserve"> </w:t>
      </w:r>
      <w:proofErr w:type="spellStart"/>
      <w:r w:rsidR="00E01D5D" w:rsidRPr="00E01D5D">
        <w:t>for</w:t>
      </w:r>
      <w:proofErr w:type="spellEnd"/>
      <w:r w:rsidR="00E01D5D" w:rsidRPr="00E01D5D">
        <w:t xml:space="preserve"> </w:t>
      </w:r>
      <w:proofErr w:type="spellStart"/>
      <w:r w:rsidR="00E01D5D" w:rsidRPr="00E01D5D">
        <w:t>Secure</w:t>
      </w:r>
      <w:proofErr w:type="spellEnd"/>
      <w:r w:rsidR="00E01D5D" w:rsidRPr="00E01D5D">
        <w:t xml:space="preserve"> SMTP </w:t>
      </w:r>
      <w:proofErr w:type="spellStart"/>
      <w:r w:rsidR="00E01D5D" w:rsidRPr="00E01D5D">
        <w:t>over</w:t>
      </w:r>
      <w:proofErr w:type="spellEnd"/>
      <w:r w:rsidR="00E01D5D" w:rsidRPr="00E01D5D">
        <w:t xml:space="preserve"> </w:t>
      </w:r>
      <w:proofErr w:type="spellStart"/>
      <w:r w:rsidR="00E01D5D" w:rsidRPr="00E01D5D">
        <w:t>Transport</w:t>
      </w:r>
      <w:proofErr w:type="spellEnd"/>
      <w:r w:rsidR="00E01D5D" w:rsidRPr="00E01D5D">
        <w:t xml:space="preserve"> </w:t>
      </w:r>
      <w:proofErr w:type="spellStart"/>
      <w:r w:rsidR="00E01D5D" w:rsidRPr="00E01D5D">
        <w:t>Layer</w:t>
      </w:r>
      <w:proofErr w:type="spellEnd"/>
      <w:r w:rsidR="00E01D5D" w:rsidRPr="00E01D5D">
        <w:t xml:space="preserve"> </w:t>
      </w:r>
      <w:proofErr w:type="spellStart"/>
      <w:r w:rsidR="00E01D5D" w:rsidRPr="00E01D5D">
        <w:t>Security</w:t>
      </w:r>
      <w:proofErr w:type="spellEnd"/>
      <w:r w:rsidR="00E01D5D" w:rsidRPr="00E01D5D">
        <w:t xml:space="preserve">; DANE - SMTP </w:t>
      </w:r>
      <w:proofErr w:type="spellStart"/>
      <w:r w:rsidR="00E01D5D" w:rsidRPr="00E01D5D">
        <w:t>Security</w:t>
      </w:r>
      <w:proofErr w:type="spellEnd"/>
      <w:r w:rsidR="00E01D5D" w:rsidRPr="00E01D5D">
        <w:t xml:space="preserve"> </w:t>
      </w:r>
      <w:proofErr w:type="spellStart"/>
      <w:r w:rsidR="00E01D5D" w:rsidRPr="00E01D5D">
        <w:t>via</w:t>
      </w:r>
      <w:proofErr w:type="spellEnd"/>
      <w:r w:rsidR="00E01D5D" w:rsidRPr="00E01D5D">
        <w:t xml:space="preserve"> </w:t>
      </w:r>
      <w:proofErr w:type="spellStart"/>
      <w:r w:rsidR="00E01D5D" w:rsidRPr="00E01D5D">
        <w:t>Opportunistic</w:t>
      </w:r>
      <w:proofErr w:type="spellEnd"/>
      <w:r w:rsidR="00E01D5D" w:rsidRPr="00E01D5D">
        <w:t xml:space="preserve"> DNS-</w:t>
      </w:r>
      <w:proofErr w:type="spellStart"/>
      <w:r w:rsidR="00E01D5D" w:rsidRPr="00E01D5D">
        <w:t>Based</w:t>
      </w:r>
      <w:proofErr w:type="spellEnd"/>
      <w:r w:rsidR="00E01D5D" w:rsidRPr="00E01D5D">
        <w:t xml:space="preserve"> </w:t>
      </w:r>
      <w:proofErr w:type="spellStart"/>
      <w:r w:rsidR="00E01D5D" w:rsidRPr="00E01D5D">
        <w:t>Authentication</w:t>
      </w:r>
      <w:proofErr w:type="spellEnd"/>
      <w:r w:rsidR="00E01D5D" w:rsidRPr="00E01D5D">
        <w:t xml:space="preserve"> </w:t>
      </w:r>
      <w:proofErr w:type="spellStart"/>
      <w:r w:rsidR="00E01D5D" w:rsidRPr="00E01D5D">
        <w:t>of</w:t>
      </w:r>
      <w:proofErr w:type="spellEnd"/>
      <w:r w:rsidR="00E01D5D" w:rsidRPr="00E01D5D">
        <w:t xml:space="preserve"> </w:t>
      </w:r>
      <w:proofErr w:type="spellStart"/>
      <w:r w:rsidR="00E01D5D" w:rsidRPr="00E01D5D">
        <w:t>Named</w:t>
      </w:r>
      <w:proofErr w:type="spellEnd"/>
      <w:r w:rsidR="00E01D5D" w:rsidRPr="00E01D5D">
        <w:t xml:space="preserve"> </w:t>
      </w:r>
      <w:proofErr w:type="spellStart"/>
      <w:r w:rsidR="00E01D5D" w:rsidRPr="00E01D5D">
        <w:t>Entities</w:t>
      </w:r>
      <w:proofErr w:type="spellEnd"/>
      <w:r w:rsidR="00E01D5D" w:rsidRPr="00E01D5D">
        <w:t xml:space="preserve"> </w:t>
      </w:r>
      <w:proofErr w:type="spellStart"/>
      <w:r w:rsidR="00E01D5D" w:rsidRPr="00E01D5D">
        <w:t>Transport</w:t>
      </w:r>
      <w:proofErr w:type="spellEnd"/>
      <w:r w:rsidR="00E01D5D" w:rsidRPr="00E01D5D">
        <w:t xml:space="preserve"> </w:t>
      </w:r>
      <w:proofErr w:type="spellStart"/>
      <w:r w:rsidR="00E01D5D" w:rsidRPr="00E01D5D">
        <w:t>Layer</w:t>
      </w:r>
      <w:proofErr w:type="spellEnd"/>
      <w:r w:rsidR="00E01D5D" w:rsidRPr="00E01D5D">
        <w:t xml:space="preserve"> </w:t>
      </w:r>
      <w:proofErr w:type="spellStart"/>
      <w:r w:rsidR="00E01D5D" w:rsidRPr="00E01D5D">
        <w:t>Security</w:t>
      </w:r>
      <w:proofErr w:type="spellEnd"/>
      <w:r w:rsidR="00E01D5D" w:rsidRPr="00E01D5D">
        <w:t xml:space="preserve"> (TLS) </w:t>
      </w:r>
      <w:proofErr w:type="spellStart"/>
      <w:r w:rsidR="00E01D5D" w:rsidRPr="00E01D5D">
        <w:t>as</w:t>
      </w:r>
      <w:proofErr w:type="spellEnd"/>
      <w:r w:rsidR="00E01D5D" w:rsidRPr="00E01D5D">
        <w:t xml:space="preserve"> </w:t>
      </w:r>
      <w:proofErr w:type="spellStart"/>
      <w:r w:rsidR="00E01D5D" w:rsidRPr="00E01D5D">
        <w:t>well</w:t>
      </w:r>
      <w:proofErr w:type="spellEnd"/>
      <w:r w:rsidR="00E01D5D" w:rsidRPr="00E01D5D">
        <w:t xml:space="preserve"> </w:t>
      </w:r>
      <w:proofErr w:type="spellStart"/>
      <w:r w:rsidR="00E01D5D" w:rsidRPr="00E01D5D">
        <w:t>as</w:t>
      </w:r>
      <w:proofErr w:type="spellEnd"/>
      <w:r w:rsidR="00E01D5D" w:rsidRPr="00E01D5D">
        <w:t xml:space="preserve"> STIX </w:t>
      </w:r>
      <w:proofErr w:type="spellStart"/>
      <w:r w:rsidR="00E01D5D" w:rsidRPr="00E01D5D">
        <w:t>and</w:t>
      </w:r>
      <w:proofErr w:type="spellEnd"/>
      <w:r w:rsidR="00E01D5D" w:rsidRPr="00E01D5D">
        <w:t xml:space="preserve"> TAXII</w:t>
      </w:r>
      <w:r w:rsidRPr="00E01D5D">
        <w:t xml:space="preserve">, </w:t>
      </w:r>
      <w:r w:rsidRPr="00E70C1C">
        <w:t>ко</w:t>
      </w:r>
      <w:r w:rsidR="00E01D5D">
        <w:t>и</w:t>
      </w:r>
      <w:r w:rsidRPr="00E70C1C">
        <w:t xml:space="preserve">то </w:t>
      </w:r>
      <w:r w:rsidR="00E01D5D">
        <w:t>са</w:t>
      </w:r>
      <w:r w:rsidRPr="00E70C1C">
        <w:t xml:space="preserve"> получил</w:t>
      </w:r>
      <w:r w:rsidR="00E01D5D">
        <w:t>и</w:t>
      </w:r>
      <w:r w:rsidRPr="00E70C1C">
        <w:t xml:space="preserve"> положителни становища днес, ще бъдат </w:t>
      </w:r>
      <w:r w:rsidRPr="00E01D5D">
        <w:rPr>
          <w:szCs w:val="24"/>
        </w:rPr>
        <w:t>групирани</w:t>
      </w:r>
      <w:r w:rsidRPr="00E70C1C">
        <w:t xml:space="preserve"> в едно решение да бъдат приети през есента.</w:t>
      </w:r>
    </w:p>
    <w:p w:rsidR="00641AA6" w:rsidRPr="00E70C1C" w:rsidRDefault="00127C39" w:rsidP="00E01D5D">
      <w:pPr>
        <w:spacing w:after="0"/>
      </w:pPr>
      <w:r w:rsidRPr="00E70C1C">
        <w:t xml:space="preserve">Тя прикани </w:t>
      </w:r>
      <w:r w:rsidRPr="00E01D5D">
        <w:rPr>
          <w:szCs w:val="24"/>
        </w:rPr>
        <w:t>членовете</w:t>
      </w:r>
      <w:r w:rsidRPr="00E70C1C">
        <w:t xml:space="preserve"> да предложат имената на експерти за консултации </w:t>
      </w:r>
      <w:r w:rsidR="00E01D5D">
        <w:t xml:space="preserve">за </w:t>
      </w:r>
      <w:r w:rsidRPr="00E70C1C">
        <w:t xml:space="preserve">STIX </w:t>
      </w:r>
      <w:r w:rsidR="00E01D5D" w:rsidRPr="00E70C1C">
        <w:t xml:space="preserve">и </w:t>
      </w:r>
      <w:r w:rsidRPr="00E70C1C">
        <w:t xml:space="preserve">TAXII преди </w:t>
      </w:r>
      <w:r w:rsidR="00E01D5D">
        <w:t>тяхната</w:t>
      </w:r>
      <w:r w:rsidRPr="00E70C1C">
        <w:t xml:space="preserve"> идентификация.</w:t>
      </w:r>
    </w:p>
    <w:p w:rsidR="00641AA6" w:rsidRPr="00E70C1C" w:rsidRDefault="00127C39">
      <w:pPr>
        <w:pStyle w:val="Heading2"/>
        <w:ind w:left="567"/>
        <w:rPr>
          <w:i/>
        </w:rPr>
      </w:pPr>
      <w:r w:rsidRPr="00E70C1C">
        <w:rPr>
          <w:i/>
        </w:rPr>
        <w:t xml:space="preserve">• ECMA-402 &amp; — 262 </w:t>
      </w:r>
      <w:r w:rsidR="00E01D5D">
        <w:rPr>
          <w:i/>
        </w:rPr>
        <w:t>срещу</w:t>
      </w:r>
      <w:r w:rsidRPr="00E70C1C">
        <w:rPr>
          <w:i/>
        </w:rPr>
        <w:t xml:space="preserve"> преразглеждане на ISO/IEC 16262</w:t>
      </w:r>
    </w:p>
    <w:p w:rsidR="00641AA6" w:rsidRPr="00E70C1C" w:rsidRDefault="00127C39" w:rsidP="00E01D5D">
      <w:pPr>
        <w:spacing w:after="0"/>
      </w:pPr>
      <w:proofErr w:type="spellStart"/>
      <w:r w:rsidRPr="00E70C1C">
        <w:rPr>
          <w:i/>
        </w:rPr>
        <w:t>Istvan</w:t>
      </w:r>
      <w:proofErr w:type="spellEnd"/>
      <w:r w:rsidRPr="00E70C1C">
        <w:rPr>
          <w:i/>
        </w:rPr>
        <w:t xml:space="preserve"> </w:t>
      </w:r>
      <w:proofErr w:type="spellStart"/>
      <w:r w:rsidRPr="00E70C1C">
        <w:rPr>
          <w:i/>
        </w:rPr>
        <w:t>Sebestyen</w:t>
      </w:r>
      <w:proofErr w:type="spellEnd"/>
      <w:r w:rsidRPr="00E70C1C">
        <w:rPr>
          <w:i/>
        </w:rPr>
        <w:t xml:space="preserve"> </w:t>
      </w:r>
      <w:r w:rsidR="00E01D5D">
        <w:rPr>
          <w:i/>
        </w:rPr>
        <w:t>(ECMA Интернешънъл“) представи</w:t>
      </w:r>
      <w:r w:rsidRPr="00E70C1C">
        <w:rPr>
          <w:i/>
        </w:rPr>
        <w:t xml:space="preserve"> документ ИКТ/</w:t>
      </w:r>
      <w:r w:rsidR="00E01D5D" w:rsidRPr="00E01D5D">
        <w:t xml:space="preserve"> </w:t>
      </w:r>
      <w:r w:rsidR="00E01D5D" w:rsidRPr="00E01D5D">
        <w:rPr>
          <w:i/>
        </w:rPr>
        <w:t>MSP</w:t>
      </w:r>
      <w:r w:rsidRPr="00E70C1C">
        <w:rPr>
          <w:i/>
        </w:rPr>
        <w:t xml:space="preserve"> (2017)526v1 с акцент върху промените от идентифицирането на ECMA 402 и да се анализира как </w:t>
      </w:r>
      <w:r w:rsidR="00E01D5D" w:rsidRPr="00E01D5D">
        <w:rPr>
          <w:i/>
        </w:rPr>
        <w:t>MSP</w:t>
      </w:r>
      <w:r w:rsidRPr="00E70C1C">
        <w:rPr>
          <w:i/>
        </w:rPr>
        <w:t xml:space="preserve"> би мог</w:t>
      </w:r>
      <w:r w:rsidR="00E01D5D">
        <w:rPr>
          <w:i/>
        </w:rPr>
        <w:t>ла</w:t>
      </w:r>
      <w:r w:rsidRPr="00E70C1C">
        <w:rPr>
          <w:i/>
        </w:rPr>
        <w:t xml:space="preserve"> да бъде включен</w:t>
      </w:r>
      <w:r w:rsidR="00E01D5D">
        <w:rPr>
          <w:i/>
        </w:rPr>
        <w:t>а</w:t>
      </w:r>
      <w:r w:rsidRPr="00E70C1C">
        <w:rPr>
          <w:i/>
        </w:rPr>
        <w:t xml:space="preserve"> в поддръжката на идентифицирано TS.</w:t>
      </w:r>
      <w:hyperlink r:id="rId22">
        <w:r w:rsidRPr="00E70C1C">
          <w:rPr>
            <w:rStyle w:val="FootnoteAnchor"/>
          </w:rPr>
          <w:footnoteReference w:id="7"/>
        </w:r>
      </w:hyperlink>
      <w:r w:rsidRPr="00E70C1C">
        <w:t xml:space="preserve"> Той спомена, че ECMA-402 бе разширяван</w:t>
      </w:r>
      <w:r w:rsidR="00E01D5D">
        <w:t>а</w:t>
      </w:r>
      <w:r w:rsidRPr="00E70C1C">
        <w:t xml:space="preserve">, като идентификацията </w:t>
      </w:r>
      <w:r w:rsidR="00E01D5D">
        <w:t>й</w:t>
      </w:r>
      <w:r w:rsidRPr="00E70C1C">
        <w:t xml:space="preserve"> през 2014 г. и </w:t>
      </w:r>
      <w:r w:rsidR="00E01D5D" w:rsidRPr="00E70C1C">
        <w:t>режим</w:t>
      </w:r>
      <w:r w:rsidR="00E01D5D">
        <w:t>ът</w:t>
      </w:r>
      <w:r w:rsidR="00E01D5D" w:rsidRPr="00E70C1C">
        <w:t xml:space="preserve"> </w:t>
      </w:r>
      <w:r w:rsidR="00E01D5D">
        <w:t xml:space="preserve">на </w:t>
      </w:r>
      <w:r w:rsidRPr="00E70C1C">
        <w:t>патентна политика, при който тя бе разработена е бил променен от FRAND</w:t>
      </w:r>
      <w:r w:rsidR="00E01D5D">
        <w:t xml:space="preserve"> към </w:t>
      </w:r>
      <w:r w:rsidR="00E01D5D" w:rsidRPr="00E01D5D">
        <w:t>RF</w:t>
      </w:r>
      <w:r w:rsidRPr="00E70C1C">
        <w:t xml:space="preserve">. Той също така обясни </w:t>
      </w:r>
      <w:r w:rsidRPr="00E01D5D">
        <w:rPr>
          <w:szCs w:val="24"/>
        </w:rPr>
        <w:t>намерението</w:t>
      </w:r>
      <w:r w:rsidRPr="00E70C1C">
        <w:t xml:space="preserve"> на ECMA да оттегли ECMA-262 (основните </w:t>
      </w:r>
      <w:proofErr w:type="spellStart"/>
      <w:r w:rsidRPr="00E70C1C">
        <w:t>ECMAScript</w:t>
      </w:r>
      <w:proofErr w:type="spellEnd"/>
      <w:r w:rsidRPr="00E70C1C">
        <w:t>/</w:t>
      </w:r>
      <w:proofErr w:type="spellStart"/>
      <w:r w:rsidRPr="00E70C1C">
        <w:t>JavaScript</w:t>
      </w:r>
      <w:proofErr w:type="spellEnd"/>
      <w:r w:rsidRPr="00E70C1C">
        <w:t xml:space="preserve"> стандарт) от стандарт ISO. Поради това той препоръчва</w:t>
      </w:r>
      <w:r w:rsidR="00E01D5D" w:rsidRPr="00E01D5D">
        <w:t xml:space="preserve"> </w:t>
      </w:r>
      <w:r w:rsidR="00E01D5D">
        <w:t xml:space="preserve">на </w:t>
      </w:r>
      <w:r w:rsidR="00E01D5D" w:rsidRPr="00E01D5D">
        <w:t>MSP</w:t>
      </w:r>
      <w:r w:rsidRPr="00E70C1C">
        <w:t xml:space="preserve">, с цел да се покрият </w:t>
      </w:r>
      <w:proofErr w:type="spellStart"/>
      <w:r w:rsidRPr="00E70C1C">
        <w:t>ECMAScript</w:t>
      </w:r>
      <w:proofErr w:type="spellEnd"/>
      <w:r w:rsidRPr="00E70C1C">
        <w:t xml:space="preserve"> като цяло</w:t>
      </w:r>
      <w:r w:rsidR="00E01D5D">
        <w:t>,</w:t>
      </w:r>
      <w:r w:rsidRPr="00E70C1C">
        <w:t xml:space="preserve"> освен ECMA-402 </w:t>
      </w:r>
      <w:r w:rsidR="00E01D5D">
        <w:t xml:space="preserve">да </w:t>
      </w:r>
      <w:r w:rsidR="00E01D5D" w:rsidRPr="00E70C1C">
        <w:t xml:space="preserve">се </w:t>
      </w:r>
      <w:r w:rsidR="00E01D5D">
        <w:t>идентифицират</w:t>
      </w:r>
      <w:r w:rsidR="00E01D5D" w:rsidRPr="00E70C1C">
        <w:t xml:space="preserve"> </w:t>
      </w:r>
      <w:r w:rsidRPr="00E70C1C">
        <w:t>ECMA-262 техническа спецификация.</w:t>
      </w:r>
    </w:p>
    <w:p w:rsidR="00641AA6" w:rsidRPr="00E70C1C" w:rsidRDefault="00127C39" w:rsidP="00E01D5D">
      <w:pPr>
        <w:spacing w:after="0"/>
      </w:pPr>
      <w:r w:rsidRPr="00217A5D">
        <w:lastRenderedPageBreak/>
        <w:t>Някои членове</w:t>
      </w:r>
      <w:r w:rsidRPr="00E70C1C">
        <w:t xml:space="preserve"> на ЕП подкрепи</w:t>
      </w:r>
      <w:r w:rsidR="00217A5D">
        <w:t>ха</w:t>
      </w:r>
      <w:r w:rsidRPr="00E70C1C">
        <w:t xml:space="preserve"> </w:t>
      </w:r>
      <w:r w:rsidR="00217A5D">
        <w:t>идентифицирането</w:t>
      </w:r>
      <w:r w:rsidRPr="00E70C1C">
        <w:t xml:space="preserve"> на ECMA 262, като изтък</w:t>
      </w:r>
      <w:r w:rsidR="00217A5D">
        <w:t>наха</w:t>
      </w:r>
      <w:r w:rsidRPr="00E70C1C">
        <w:t xml:space="preserve">, че тази платформа </w:t>
      </w:r>
      <w:r w:rsidR="00217A5D">
        <w:t>се придвижи бързо</w:t>
      </w:r>
      <w:r w:rsidRPr="00E70C1C">
        <w:t xml:space="preserve">, като </w:t>
      </w:r>
      <w:r w:rsidR="00217A5D">
        <w:t>възложителите</w:t>
      </w:r>
      <w:r w:rsidRPr="00E70C1C">
        <w:t xml:space="preserve"> имат интерес да се позов</w:t>
      </w:r>
      <w:r w:rsidR="00217A5D">
        <w:t>ат</w:t>
      </w:r>
      <w:r w:rsidRPr="00E70C1C">
        <w:t xml:space="preserve"> на последната версия.</w:t>
      </w:r>
    </w:p>
    <w:p w:rsidR="00641AA6" w:rsidRPr="00E70C1C" w:rsidRDefault="00127C39" w:rsidP="00E01D5D">
      <w:pPr>
        <w:spacing w:after="0"/>
      </w:pPr>
      <w:r w:rsidRPr="00E70C1C">
        <w:t>Обсъждането продължи с разглеждане на по-общ</w:t>
      </w:r>
      <w:r w:rsidR="00217A5D">
        <w:t>ия въпрос</w:t>
      </w:r>
      <w:r w:rsidRPr="00E70C1C">
        <w:t xml:space="preserve"> как процесът на идентифициране следва да се </w:t>
      </w:r>
      <w:r w:rsidR="00217A5D">
        <w:t>ангажира</w:t>
      </w:r>
      <w:r w:rsidRPr="00E70C1C">
        <w:t xml:space="preserve"> с актуализирани версии на вече </w:t>
      </w:r>
      <w:r w:rsidR="00217A5D">
        <w:t xml:space="preserve">идентифицирани </w:t>
      </w:r>
      <w:r w:rsidRPr="00E70C1C">
        <w:t>спецификации. Беше постигнато съгласие, че за всяка актуализирана версия следва да бъде установена нова процедура по идентификация.</w:t>
      </w:r>
    </w:p>
    <w:p w:rsidR="00641AA6" w:rsidRPr="00E70C1C" w:rsidRDefault="00127C39" w:rsidP="00E01D5D">
      <w:pPr>
        <w:spacing w:after="0"/>
      </w:pPr>
      <w:r w:rsidRPr="00E70C1C">
        <w:t xml:space="preserve">Някои изтъкнаха възможността </w:t>
      </w:r>
      <w:r w:rsidR="00217A5D">
        <w:t>з</w:t>
      </w:r>
      <w:r w:rsidRPr="00E70C1C">
        <w:t>а определя</w:t>
      </w:r>
      <w:r w:rsidR="00217A5D">
        <w:t>не на рамкови</w:t>
      </w:r>
      <w:r w:rsidRPr="00E70C1C">
        <w:t xml:space="preserve"> стандарти, което ще даде възможност за по-лесно </w:t>
      </w:r>
      <w:r w:rsidR="00217A5D">
        <w:t>идентифициране</w:t>
      </w:r>
      <w:r w:rsidRPr="00E70C1C">
        <w:t xml:space="preserve"> на бъдещи варианти, стига те да използват един и същ процес на преразглеждане, използвани от първоначалния текст. Други посочиха, че не става въпрос за идентифицирането на техническото съдържание, а </w:t>
      </w:r>
      <w:r w:rsidR="00217A5D">
        <w:t xml:space="preserve">за </w:t>
      </w:r>
      <w:r w:rsidR="00217A5D" w:rsidRPr="00E70C1C">
        <w:t>критерии</w:t>
      </w:r>
      <w:r w:rsidR="00217A5D">
        <w:t>те от</w:t>
      </w:r>
      <w:r w:rsidR="00217A5D" w:rsidRPr="00E70C1C">
        <w:t xml:space="preserve"> </w:t>
      </w:r>
      <w:r w:rsidR="00217A5D">
        <w:t>П</w:t>
      </w:r>
      <w:r w:rsidRPr="00E70C1C">
        <w:t>риложение II, като по този начин съществуват само няколко критерии за проверка в случай на промени.</w:t>
      </w:r>
    </w:p>
    <w:p w:rsidR="00641AA6" w:rsidRPr="00E70C1C" w:rsidRDefault="00127C39" w:rsidP="00E01D5D">
      <w:pPr>
        <w:spacing w:after="0"/>
      </w:pPr>
      <w:r w:rsidRPr="00E70C1C">
        <w:t xml:space="preserve">Членовете се съгласиха, че </w:t>
      </w:r>
      <w:r w:rsidR="00217A5D">
        <w:t xml:space="preserve">решение на </w:t>
      </w:r>
      <w:r w:rsidRPr="00E70C1C">
        <w:t xml:space="preserve">въпросите, свързани с идентифицирането на нови версии на техническите спецификации следва да се търси на по-общо равнище. Някои членове </w:t>
      </w:r>
      <w:r w:rsidR="00217A5D">
        <w:t>поискаха</w:t>
      </w:r>
      <w:r w:rsidRPr="00E70C1C">
        <w:t xml:space="preserve"> създаването на процес за периодичен преглед на </w:t>
      </w:r>
      <w:r w:rsidR="00217A5D">
        <w:t>идентифицираните</w:t>
      </w:r>
      <w:r w:rsidRPr="00E70C1C">
        <w:t xml:space="preserve"> спецификации</w:t>
      </w:r>
      <w:r w:rsidR="00217A5D">
        <w:t>, за</w:t>
      </w:r>
      <w:r w:rsidRPr="00E70C1C">
        <w:t xml:space="preserve"> да </w:t>
      </w:r>
      <w:r w:rsidR="00217A5D">
        <w:t xml:space="preserve">се </w:t>
      </w:r>
      <w:r w:rsidRPr="00E70C1C">
        <w:t xml:space="preserve">преценява дали е необходимо </w:t>
      </w:r>
      <w:r w:rsidR="00217A5D">
        <w:t>идентифициране</w:t>
      </w:r>
      <w:r w:rsidRPr="00E70C1C">
        <w:t xml:space="preserve"> на нови версии. Други предложиха </w:t>
      </w:r>
      <w:r w:rsidR="00217A5D">
        <w:t>генеричен процес за периодично</w:t>
      </w:r>
      <w:r w:rsidRPr="00E70C1C">
        <w:t xml:space="preserve"> преразглеждане на </w:t>
      </w:r>
      <w:r w:rsidR="00217A5D">
        <w:t>идентифицирани</w:t>
      </w:r>
      <w:r w:rsidRPr="00E70C1C">
        <w:t xml:space="preserve"> спецификации, включени в бъдещия </w:t>
      </w:r>
      <w:r w:rsidR="00217A5D">
        <w:t>К</w:t>
      </w:r>
      <w:r w:rsidRPr="00E70C1C">
        <w:t xml:space="preserve">аталог на стандартите в областта на ИКТ. Приложимостта на </w:t>
      </w:r>
      <w:r w:rsidR="00217A5D">
        <w:t>идентифицираните</w:t>
      </w:r>
      <w:r w:rsidRPr="00E70C1C">
        <w:t xml:space="preserve"> спецификации мо</w:t>
      </w:r>
      <w:r w:rsidR="00217A5D">
        <w:t>же</w:t>
      </w:r>
      <w:r w:rsidRPr="00E70C1C">
        <w:t xml:space="preserve"> да бъд</w:t>
      </w:r>
      <w:r w:rsidR="00217A5D">
        <w:t>е</w:t>
      </w:r>
      <w:r w:rsidRPr="00E70C1C">
        <w:t xml:space="preserve"> посочва</w:t>
      </w:r>
      <w:r w:rsidR="00217A5D">
        <w:t>на</w:t>
      </w:r>
      <w:r w:rsidRPr="00E70C1C">
        <w:t xml:space="preserve"> в </w:t>
      </w:r>
      <w:r w:rsidR="00217A5D">
        <w:t>К</w:t>
      </w:r>
      <w:r w:rsidRPr="00E70C1C">
        <w:t>аталог</w:t>
      </w:r>
      <w:r w:rsidR="00217A5D">
        <w:t>а</w:t>
      </w:r>
      <w:r w:rsidRPr="00E70C1C">
        <w:t xml:space="preserve"> чрез определяне на различни цветови кодове на спецификациите (не планира нови версии, планиран</w:t>
      </w:r>
      <w:r w:rsidR="00217A5D">
        <w:t>а</w:t>
      </w:r>
      <w:r w:rsidRPr="00E70C1C">
        <w:t xml:space="preserve"> по-нова версия, и по-нова версия вече </w:t>
      </w:r>
      <w:r w:rsidR="00217A5D">
        <w:t>е</w:t>
      </w:r>
      <w:r w:rsidRPr="00E70C1C">
        <w:t xml:space="preserve"> наличн</w:t>
      </w:r>
      <w:r w:rsidR="00217A5D">
        <w:t>а</w:t>
      </w:r>
      <w:r w:rsidRPr="00E70C1C">
        <w:t>).</w:t>
      </w:r>
    </w:p>
    <w:p w:rsidR="00641AA6" w:rsidRPr="00E70C1C" w:rsidRDefault="00127C39" w:rsidP="00E01D5D">
      <w:pPr>
        <w:spacing w:after="0"/>
      </w:pPr>
      <w:r w:rsidRPr="00E70C1C">
        <w:t xml:space="preserve">Някои членове отправиха предупреждение </w:t>
      </w:r>
      <w:r w:rsidR="00217A5D">
        <w:t>да не се прибързва</w:t>
      </w:r>
      <w:r w:rsidRPr="00E70C1C">
        <w:t xml:space="preserve"> с идентифицирането на нови версии — идентификация</w:t>
      </w:r>
      <w:r w:rsidR="00217A5D">
        <w:t>та</w:t>
      </w:r>
      <w:r w:rsidRPr="00E70C1C">
        <w:t xml:space="preserve"> следва да се основава на </w:t>
      </w:r>
      <w:r w:rsidR="00217A5D" w:rsidRPr="00E70C1C">
        <w:t>критерии</w:t>
      </w:r>
      <w:r w:rsidR="00217A5D">
        <w:t>те от</w:t>
      </w:r>
      <w:r w:rsidR="00217A5D" w:rsidRPr="00E70C1C">
        <w:t xml:space="preserve"> </w:t>
      </w:r>
      <w:r w:rsidR="00217A5D">
        <w:t>П</w:t>
      </w:r>
      <w:r w:rsidRPr="00E70C1C">
        <w:t>риложение II (които включват също така оценка на пазарно приемане). Те припомниха, че крайната цел на процеса на идентификация е да се повиши общата оперативна съвместимост — това не е технологичн</w:t>
      </w:r>
      <w:r w:rsidR="00217A5D">
        <w:t>а</w:t>
      </w:r>
      <w:r w:rsidRPr="00E70C1C">
        <w:t xml:space="preserve"> група със задача да идентифицира последните изобретени</w:t>
      </w:r>
      <w:r w:rsidR="00217A5D">
        <w:t>я</w:t>
      </w:r>
      <w:r w:rsidRPr="00E70C1C">
        <w:t>.</w:t>
      </w:r>
    </w:p>
    <w:p w:rsidR="00641AA6" w:rsidRPr="00E70C1C" w:rsidRDefault="00127C39" w:rsidP="00E01D5D">
      <w:pPr>
        <w:spacing w:after="0"/>
      </w:pPr>
      <w:r w:rsidRPr="00E70C1C">
        <w:t>Комисията припомни, че съгласно правната служба на Комисията „единствено ИКТ технически спецификации, които са „обосновани</w:t>
      </w:r>
      <w:r w:rsidR="00217A5D">
        <w:t xml:space="preserve">“ </w:t>
      </w:r>
      <w:r w:rsidRPr="00E70C1C">
        <w:t>в момента на тяхното определяне от Комисията (приемане на решение) могат да бъдат включени в решение“. По този начин нови версии на техническите спецификации ще изисква</w:t>
      </w:r>
      <w:r w:rsidR="00217A5D">
        <w:t>т</w:t>
      </w:r>
      <w:r w:rsidRPr="00E70C1C">
        <w:t xml:space="preserve"> нова процедура за идентификация.</w:t>
      </w:r>
    </w:p>
    <w:p w:rsidR="00641AA6" w:rsidRPr="00E70C1C" w:rsidRDefault="00127C39" w:rsidP="00E01D5D">
      <w:pPr>
        <w:spacing w:after="0"/>
      </w:pPr>
      <w:r w:rsidRPr="00E70C1C">
        <w:t xml:space="preserve">В контекста на обсъждането на управлението на версии, целесъобразността на </w:t>
      </w:r>
      <w:r w:rsidR="00217A5D" w:rsidRPr="00E70C1C">
        <w:t>версии</w:t>
      </w:r>
      <w:r w:rsidR="00217A5D">
        <w:t>те на</w:t>
      </w:r>
      <w:r w:rsidR="00217A5D" w:rsidRPr="00E70C1C">
        <w:t xml:space="preserve"> спецификаци</w:t>
      </w:r>
      <w:r w:rsidR="00217A5D">
        <w:t>ите</w:t>
      </w:r>
      <w:r w:rsidR="00217A5D" w:rsidRPr="00E70C1C">
        <w:t xml:space="preserve"> </w:t>
      </w:r>
      <w:r w:rsidRPr="00E70C1C">
        <w:t>TAXII и STIX</w:t>
      </w:r>
      <w:r w:rsidR="00217A5D">
        <w:t>,</w:t>
      </w:r>
      <w:r w:rsidRPr="00E70C1C">
        <w:t xml:space="preserve"> обсъден</w:t>
      </w:r>
      <w:r w:rsidR="00217A5D">
        <w:t>и</w:t>
      </w:r>
      <w:r w:rsidRPr="00E70C1C">
        <w:t xml:space="preserve"> сутринта</w:t>
      </w:r>
      <w:r w:rsidR="00217A5D">
        <w:t>,</w:t>
      </w:r>
      <w:r w:rsidRPr="00E70C1C">
        <w:t xml:space="preserve"> беше поставена под въпрос.</w:t>
      </w:r>
    </w:p>
    <w:p w:rsidR="00641AA6" w:rsidRPr="00E70C1C" w:rsidRDefault="00127C39" w:rsidP="00E01D5D">
      <w:pPr>
        <w:spacing w:after="0"/>
      </w:pPr>
      <w:r w:rsidRPr="00E70C1C">
        <w:t>Комисията стигна до заключението, че има два въпроса, които трябва да бъдат разгледани: каква процедура да се използва за (</w:t>
      </w:r>
      <w:proofErr w:type="spellStart"/>
      <w:r w:rsidRPr="00E70C1C">
        <w:t>пре</w:t>
      </w:r>
      <w:proofErr w:type="spellEnd"/>
      <w:r w:rsidRPr="00E70C1C">
        <w:t xml:space="preserve">) установяване на преразгледани спецификации, и дали следва да се прилага по-проактивен подход за периодично преразглеждане на вече </w:t>
      </w:r>
      <w:r w:rsidR="00217A5D">
        <w:t>идентифицираните</w:t>
      </w:r>
      <w:r w:rsidRPr="00E70C1C">
        <w:t xml:space="preserve"> спецификации.</w:t>
      </w:r>
    </w:p>
    <w:p w:rsidR="00641AA6" w:rsidRPr="00E70C1C" w:rsidRDefault="00217A5D">
      <w:pPr>
        <w:pStyle w:val="Heading1"/>
        <w:numPr>
          <w:ilvl w:val="0"/>
          <w:numId w:val="0"/>
        </w:numPr>
        <w:pBdr>
          <w:bottom w:val="single" w:sz="4" w:space="1" w:color="00000A"/>
        </w:pBdr>
        <w:ind w:left="480" w:hanging="480"/>
      </w:pPr>
      <w:r w:rsidRPr="00E70C1C">
        <w:t xml:space="preserve">въпроси и инициативи </w:t>
      </w:r>
      <w:r>
        <w:t xml:space="preserve">на членовете на </w:t>
      </w:r>
      <w:r w:rsidRPr="00217A5D">
        <w:t>MSP</w:t>
      </w:r>
    </w:p>
    <w:p w:rsidR="00641AA6" w:rsidRPr="00E70C1C" w:rsidRDefault="00127C39">
      <w:pPr>
        <w:pStyle w:val="Heading2"/>
        <w:rPr>
          <w:sz w:val="26"/>
          <w:szCs w:val="26"/>
          <w:u w:val="single"/>
        </w:rPr>
      </w:pPr>
      <w:r w:rsidRPr="00E70C1C">
        <w:rPr>
          <w:sz w:val="26"/>
          <w:szCs w:val="26"/>
          <w:u w:val="single"/>
        </w:rPr>
        <w:t>Стандарт</w:t>
      </w:r>
      <w:r w:rsidR="00217A5D">
        <w:rPr>
          <w:sz w:val="26"/>
          <w:szCs w:val="26"/>
          <w:u w:val="single"/>
        </w:rPr>
        <w:t>изационни</w:t>
      </w:r>
      <w:r w:rsidRPr="00E70C1C">
        <w:rPr>
          <w:sz w:val="26"/>
          <w:szCs w:val="26"/>
          <w:u w:val="single"/>
        </w:rPr>
        <w:t xml:space="preserve"> организации</w:t>
      </w:r>
    </w:p>
    <w:p w:rsidR="00641AA6" w:rsidRPr="00E70C1C" w:rsidRDefault="00127C39">
      <w:pPr>
        <w:pStyle w:val="Heading3"/>
        <w:numPr>
          <w:ilvl w:val="0"/>
          <w:numId w:val="2"/>
        </w:numPr>
        <w:ind w:left="993"/>
      </w:pPr>
      <w:r w:rsidRPr="00E70C1C">
        <w:t>Пре</w:t>
      </w:r>
      <w:r w:rsidR="00217A5D">
        <w:t>зентация</w:t>
      </w:r>
      <w:r w:rsidRPr="00E70C1C">
        <w:t xml:space="preserve"> от Европейския комитет по стандартизация (CEN): Информация за ISO седмица</w:t>
      </w:r>
      <w:r w:rsidR="00F3586B">
        <w:t>та</w:t>
      </w:r>
      <w:r w:rsidRPr="00E70C1C">
        <w:t xml:space="preserve"> „</w:t>
      </w:r>
      <w:r w:rsidR="00F3586B">
        <w:t>О</w:t>
      </w:r>
      <w:r w:rsidRPr="00E70C1C">
        <w:t>ткрито мислене. Отворени за промяна“</w:t>
      </w:r>
    </w:p>
    <w:p w:rsidR="00641AA6" w:rsidRPr="00E70C1C" w:rsidRDefault="00127C39">
      <w:proofErr w:type="spellStart"/>
      <w:r w:rsidRPr="00E70C1C">
        <w:rPr>
          <w:i/>
        </w:rPr>
        <w:t>Stefan</w:t>
      </w:r>
      <w:proofErr w:type="spellEnd"/>
      <w:r w:rsidRPr="00E70C1C">
        <w:rPr>
          <w:i/>
        </w:rPr>
        <w:t xml:space="preserve"> </w:t>
      </w:r>
      <w:proofErr w:type="spellStart"/>
      <w:r w:rsidRPr="00E70C1C">
        <w:rPr>
          <w:i/>
        </w:rPr>
        <w:t>Weisgerber</w:t>
      </w:r>
      <w:proofErr w:type="spellEnd"/>
      <w:r w:rsidRPr="00E70C1C">
        <w:rPr>
          <w:i/>
        </w:rPr>
        <w:t xml:space="preserve"> (CEN) представи резултатите от 40-ата </w:t>
      </w:r>
      <w:r w:rsidR="00F3586B" w:rsidRPr="00E70C1C">
        <w:rPr>
          <w:i/>
        </w:rPr>
        <w:t xml:space="preserve">ISO </w:t>
      </w:r>
      <w:r w:rsidRPr="00E70C1C">
        <w:rPr>
          <w:i/>
        </w:rPr>
        <w:t>седмица, проведена от 18 до 22 септември в Берлин (документ ИКТ/</w:t>
      </w:r>
      <w:r w:rsidR="00F3586B" w:rsidRPr="00F3586B">
        <w:t xml:space="preserve"> </w:t>
      </w:r>
      <w:r w:rsidR="00F3586B" w:rsidRPr="00F3586B">
        <w:rPr>
          <w:i/>
        </w:rPr>
        <w:t>MSP</w:t>
      </w:r>
      <w:r w:rsidRPr="00E70C1C">
        <w:rPr>
          <w:i/>
        </w:rPr>
        <w:t xml:space="preserve"> (2017)539).</w:t>
      </w:r>
      <w:hyperlink r:id="rId23">
        <w:r w:rsidRPr="00E70C1C">
          <w:t xml:space="preserve"> Той представи най-важните предложения в резултат на обсъжданията, като например създаването на комитети „хармонизацията“ между ISO/трети държави и други организации, които споделят същите обхват; съсредоточаване</w:t>
        </w:r>
        <w:r w:rsidR="00F3586B">
          <w:t>то</w:t>
        </w:r>
        <w:r w:rsidRPr="00E70C1C">
          <w:t xml:space="preserve"> на сътрудничеството не следва да бъде само </w:t>
        </w:r>
        <w:r w:rsidR="00F3586B">
          <w:t>в разработването на стандарти</w:t>
        </w:r>
        <w:r w:rsidRPr="00E70C1C">
          <w:t xml:space="preserve">, но също и тяхното </w:t>
        </w:r>
        <w:r w:rsidR="00F3586B">
          <w:t>прилагане</w:t>
        </w:r>
        <w:r w:rsidRPr="00E70C1C">
          <w:t>; и създа</w:t>
        </w:r>
        <w:r w:rsidR="00F3586B">
          <w:t>ване на</w:t>
        </w:r>
        <w:r w:rsidRPr="00E70C1C">
          <w:t xml:space="preserve"> платформа </w:t>
        </w:r>
        <w:r w:rsidRPr="00E70C1C">
          <w:lastRenderedPageBreak/>
          <w:t xml:space="preserve">за стандартизация </w:t>
        </w:r>
        <w:r w:rsidR="00F3586B">
          <w:t>з</w:t>
        </w:r>
        <w:r w:rsidRPr="00E70C1C">
          <w:t>а сподел</w:t>
        </w:r>
        <w:r w:rsidR="00F3586B">
          <w:t>яне на</w:t>
        </w:r>
        <w:r w:rsidRPr="00E70C1C">
          <w:t xml:space="preserve"> </w:t>
        </w:r>
        <w:r w:rsidR="00F3586B">
          <w:t>нашия</w:t>
        </w:r>
        <w:r w:rsidRPr="00E70C1C">
          <w:t xml:space="preserve"> опит с експерти от консорциуми, за да с</w:t>
        </w:r>
        <w:r w:rsidR="00F3586B">
          <w:t>е учим и възползваме взаимно</w:t>
        </w:r>
        <w:r w:rsidRPr="00E70C1C">
          <w:t>.</w:t>
        </w:r>
      </w:hyperlink>
    </w:p>
    <w:p w:rsidR="00641AA6" w:rsidRPr="00E70C1C" w:rsidRDefault="00127C39" w:rsidP="00F3586B">
      <w:pPr>
        <w:pStyle w:val="Heading3"/>
        <w:numPr>
          <w:ilvl w:val="0"/>
          <w:numId w:val="2"/>
        </w:numPr>
        <w:spacing w:after="0"/>
        <w:ind w:left="992" w:hanging="357"/>
      </w:pPr>
      <w:r w:rsidRPr="00E70C1C">
        <w:t>Пре</w:t>
      </w:r>
      <w:r w:rsidR="00F3586B">
        <w:t>зентация</w:t>
      </w:r>
      <w:r w:rsidRPr="00E70C1C">
        <w:t xml:space="preserve"> от OASIS</w:t>
      </w:r>
    </w:p>
    <w:p w:rsidR="00641AA6" w:rsidRPr="00E70C1C" w:rsidRDefault="00127C39" w:rsidP="00F3586B">
      <w:pPr>
        <w:pStyle w:val="Heading3"/>
        <w:numPr>
          <w:ilvl w:val="0"/>
          <w:numId w:val="0"/>
        </w:numPr>
        <w:spacing w:after="0"/>
        <w:ind w:left="992" w:hanging="357"/>
      </w:pPr>
      <w:r w:rsidRPr="00E70C1C">
        <w:t>— Значение на цифров подпис за PP услуги</w:t>
      </w:r>
    </w:p>
    <w:p w:rsidR="00641AA6" w:rsidRPr="00E70C1C" w:rsidRDefault="00F3586B">
      <w:pPr>
        <w:pStyle w:val="ListParagraph"/>
        <w:ind w:left="0"/>
        <w:jc w:val="both"/>
        <w:rPr>
          <w:i/>
        </w:rPr>
      </w:pPr>
      <w:hyperlink r:id="rId24">
        <w:proofErr w:type="spellStart"/>
        <w:r w:rsidR="00127C39" w:rsidRPr="00E70C1C">
          <w:rPr>
            <w:i/>
          </w:rPr>
          <w:t>Carol</w:t>
        </w:r>
        <w:proofErr w:type="spellEnd"/>
        <w:r w:rsidR="00127C39" w:rsidRPr="00E70C1C">
          <w:rPr>
            <w:i/>
          </w:rPr>
          <w:t xml:space="preserve"> </w:t>
        </w:r>
        <w:proofErr w:type="spellStart"/>
        <w:r w:rsidR="00127C39" w:rsidRPr="00E70C1C">
          <w:rPr>
            <w:i/>
          </w:rPr>
          <w:t>Cosgrove</w:t>
        </w:r>
        <w:proofErr w:type="spellEnd"/>
        <w:r w:rsidR="00127C39" w:rsidRPr="00E70C1C">
          <w:rPr>
            <w:i/>
          </w:rPr>
          <w:t xml:space="preserve"> (OASIS) представи документ ИКТ/</w:t>
        </w:r>
        <w:r w:rsidRPr="00F3586B">
          <w:t xml:space="preserve"> </w:t>
        </w:r>
        <w:r w:rsidRPr="00F3586B">
          <w:rPr>
            <w:i/>
          </w:rPr>
          <w:t>MSP</w:t>
        </w:r>
        <w:r w:rsidR="00127C39" w:rsidRPr="00E70C1C">
          <w:rPr>
            <w:i/>
          </w:rPr>
          <w:t xml:space="preserve"> (2017)540 и представи актуална информация относно OASIS </w:t>
        </w:r>
        <w:r w:rsidRPr="00F3586B">
          <w:rPr>
            <w:i/>
          </w:rPr>
          <w:t xml:space="preserve"> стандар</w:t>
        </w:r>
        <w:r>
          <w:rPr>
            <w:i/>
          </w:rPr>
          <w:t>та за Услуги за електронен подпис</w:t>
        </w:r>
        <w:r w:rsidR="00127C39" w:rsidRPr="00E70C1C">
          <w:rPr>
            <w:i/>
          </w:rPr>
          <w:t>.</w:t>
        </w:r>
      </w:hyperlink>
    </w:p>
    <w:p w:rsidR="00641AA6" w:rsidRPr="00E70C1C" w:rsidRDefault="00641AA6">
      <w:pPr>
        <w:pStyle w:val="ListParagraph"/>
        <w:ind w:left="0"/>
        <w:jc w:val="both"/>
      </w:pPr>
    </w:p>
    <w:p w:rsidR="00641AA6" w:rsidRPr="00E70C1C" w:rsidRDefault="00127C39" w:rsidP="00F3586B">
      <w:pPr>
        <w:pStyle w:val="Heading3"/>
        <w:numPr>
          <w:ilvl w:val="0"/>
          <w:numId w:val="0"/>
        </w:numPr>
        <w:spacing w:after="0"/>
        <w:ind w:left="992" w:hanging="357"/>
      </w:pPr>
      <w:r w:rsidRPr="00E70C1C">
        <w:t>OASIS — отворени стандарти и отворен код</w:t>
      </w:r>
    </w:p>
    <w:p w:rsidR="00641AA6" w:rsidRPr="00E70C1C" w:rsidRDefault="00F3586B">
      <w:pPr>
        <w:pStyle w:val="ListParagraph"/>
        <w:ind w:left="0"/>
        <w:jc w:val="both"/>
        <w:rPr>
          <w:i/>
        </w:rPr>
      </w:pPr>
      <w:hyperlink r:id="rId25">
        <w:proofErr w:type="spellStart"/>
        <w:r w:rsidR="00127C39" w:rsidRPr="00E70C1C">
          <w:rPr>
            <w:i/>
          </w:rPr>
          <w:t>Carol</w:t>
        </w:r>
        <w:proofErr w:type="spellEnd"/>
        <w:r w:rsidR="00127C39" w:rsidRPr="00E70C1C">
          <w:rPr>
            <w:i/>
          </w:rPr>
          <w:t xml:space="preserve"> </w:t>
        </w:r>
        <w:proofErr w:type="spellStart"/>
        <w:r w:rsidR="00127C39" w:rsidRPr="00E70C1C">
          <w:rPr>
            <w:i/>
          </w:rPr>
          <w:t>Cos</w:t>
        </w:r>
        <w:r>
          <w:rPr>
            <w:i/>
          </w:rPr>
          <w:t>grove</w:t>
        </w:r>
        <w:proofErr w:type="spellEnd"/>
        <w:r>
          <w:rPr>
            <w:i/>
          </w:rPr>
          <w:t xml:space="preserve"> (OASIS) също представи</w:t>
        </w:r>
        <w:r w:rsidR="00127C39" w:rsidRPr="00E70C1C">
          <w:rPr>
            <w:i/>
          </w:rPr>
          <w:t xml:space="preserve"> документ ИКТ/</w:t>
        </w:r>
        <w:r w:rsidRPr="00F3586B">
          <w:t xml:space="preserve"> </w:t>
        </w:r>
        <w:r w:rsidRPr="00F3586B">
          <w:rPr>
            <w:i/>
          </w:rPr>
          <w:t>MSP</w:t>
        </w:r>
        <w:r>
          <w:rPr>
            <w:i/>
          </w:rPr>
          <w:t xml:space="preserve"> (2017)541, обясняващ</w:t>
        </w:r>
        <w:r w:rsidR="00127C39" w:rsidRPr="00E70C1C">
          <w:rPr>
            <w:i/>
          </w:rPr>
          <w:t xml:space="preserve"> </w:t>
        </w:r>
        <w:r w:rsidRPr="00F3586B">
          <w:rPr>
            <w:i/>
          </w:rPr>
          <w:t>подобрения</w:t>
        </w:r>
        <w:r>
          <w:rPr>
            <w:i/>
          </w:rPr>
          <w:t>та на</w:t>
        </w:r>
        <w:r w:rsidRPr="00F3586B">
          <w:rPr>
            <w:i/>
          </w:rPr>
          <w:t xml:space="preserve"> IPR процеса </w:t>
        </w:r>
        <w:r>
          <w:rPr>
            <w:i/>
          </w:rPr>
          <w:t xml:space="preserve">на </w:t>
        </w:r>
        <w:r w:rsidR="00127C39" w:rsidRPr="00E70C1C">
          <w:rPr>
            <w:i/>
          </w:rPr>
          <w:t xml:space="preserve">OASIS, </w:t>
        </w:r>
        <w:r>
          <w:rPr>
            <w:i/>
          </w:rPr>
          <w:t xml:space="preserve">целящи увеличаване на приносите от </w:t>
        </w:r>
        <w:r w:rsidRPr="00F3586B">
          <w:rPr>
            <w:i/>
          </w:rPr>
          <w:t>OSS</w:t>
        </w:r>
        <w:r>
          <w:rPr>
            <w:i/>
          </w:rPr>
          <w:t xml:space="preserve"> проектите.</w:t>
        </w:r>
      </w:hyperlink>
    </w:p>
    <w:p w:rsidR="00641AA6" w:rsidRPr="00E70C1C" w:rsidRDefault="00641AA6">
      <w:pPr>
        <w:pStyle w:val="ListParagraph"/>
        <w:ind w:left="0"/>
        <w:jc w:val="both"/>
      </w:pPr>
    </w:p>
    <w:p w:rsidR="00641AA6" w:rsidRPr="00E70C1C" w:rsidRDefault="00F3586B" w:rsidP="00F3586B">
      <w:pPr>
        <w:pStyle w:val="Heading2"/>
        <w:spacing w:after="0"/>
        <w:rPr>
          <w:sz w:val="26"/>
          <w:szCs w:val="26"/>
          <w:u w:val="single"/>
        </w:rPr>
      </w:pPr>
      <w:r>
        <w:rPr>
          <w:sz w:val="26"/>
          <w:szCs w:val="26"/>
          <w:u w:val="single"/>
        </w:rPr>
        <w:t>В</w:t>
      </w:r>
      <w:r w:rsidRPr="00E70C1C">
        <w:rPr>
          <w:sz w:val="26"/>
          <w:szCs w:val="26"/>
          <w:u w:val="single"/>
        </w:rPr>
        <w:t xml:space="preserve">ъпроси </w:t>
      </w:r>
      <w:r>
        <w:rPr>
          <w:sz w:val="26"/>
          <w:szCs w:val="26"/>
          <w:u w:val="single"/>
        </w:rPr>
        <w:t xml:space="preserve">от </w:t>
      </w:r>
      <w:r w:rsidR="00127C39" w:rsidRPr="00E70C1C">
        <w:rPr>
          <w:sz w:val="26"/>
          <w:szCs w:val="26"/>
          <w:u w:val="single"/>
        </w:rPr>
        <w:t xml:space="preserve">Комисията </w:t>
      </w:r>
    </w:p>
    <w:p w:rsidR="00641AA6" w:rsidRPr="00E70C1C" w:rsidRDefault="00127C39" w:rsidP="00F3586B">
      <w:pPr>
        <w:pStyle w:val="Heading3"/>
        <w:numPr>
          <w:ilvl w:val="0"/>
          <w:numId w:val="2"/>
        </w:numPr>
        <w:spacing w:after="0"/>
        <w:ind w:left="992" w:hanging="357"/>
      </w:pPr>
      <w:r w:rsidRPr="00E70C1C">
        <w:t>Резултатите от обществената консултация относно финансовите технологии</w:t>
      </w:r>
    </w:p>
    <w:p w:rsidR="00641AA6" w:rsidRPr="00F3586B" w:rsidRDefault="00F3586B">
      <w:pPr>
        <w:pStyle w:val="Text3"/>
        <w:ind w:left="0"/>
        <w:rPr>
          <w:i/>
        </w:rPr>
      </w:pPr>
      <w:hyperlink r:id="rId26" w:history="1">
        <w:r w:rsidRPr="00F3586B">
          <w:rPr>
            <w:rStyle w:val="Hyperlink"/>
            <w:i/>
            <w:color w:val="auto"/>
            <w:u w:val="none"/>
          </w:rPr>
          <w:t>Председателят представи кратък преглед на обществено допитване за финансовите технологии, което може да се намери на адрес: https://ec.europa.eu/info/finance-consultations-2017-fintech_en.</w:t>
        </w:r>
      </w:hyperlink>
    </w:p>
    <w:p w:rsidR="00641AA6" w:rsidRPr="00E70C1C" w:rsidRDefault="00127C39" w:rsidP="00F3586B">
      <w:pPr>
        <w:pStyle w:val="Heading3"/>
        <w:numPr>
          <w:ilvl w:val="0"/>
          <w:numId w:val="2"/>
        </w:numPr>
        <w:spacing w:after="0"/>
        <w:ind w:left="992" w:hanging="357"/>
      </w:pPr>
      <w:r w:rsidRPr="00E70C1C">
        <w:t xml:space="preserve">Актуална информация относно последното </w:t>
      </w:r>
      <w:r w:rsidR="00F3586B">
        <w:t xml:space="preserve">заседание на </w:t>
      </w:r>
      <w:r w:rsidRPr="00E70C1C">
        <w:t>Комитета по стандартите</w:t>
      </w:r>
    </w:p>
    <w:p w:rsidR="00641AA6" w:rsidRPr="00E70C1C" w:rsidRDefault="00127C39" w:rsidP="00F3586B">
      <w:pPr>
        <w:pStyle w:val="Text3"/>
        <w:spacing w:after="0"/>
        <w:ind w:left="0"/>
        <w:rPr>
          <w:i/>
        </w:rPr>
      </w:pPr>
      <w:proofErr w:type="spellStart"/>
      <w:r w:rsidRPr="00E70C1C">
        <w:rPr>
          <w:i/>
        </w:rPr>
        <w:t>Roman</w:t>
      </w:r>
      <w:proofErr w:type="spellEnd"/>
      <w:r w:rsidRPr="00E70C1C">
        <w:rPr>
          <w:i/>
        </w:rPr>
        <w:t xml:space="preserve"> </w:t>
      </w:r>
      <w:proofErr w:type="spellStart"/>
      <w:r w:rsidRPr="00E70C1C">
        <w:rPr>
          <w:i/>
        </w:rPr>
        <w:t>Grones</w:t>
      </w:r>
      <w:proofErr w:type="spellEnd"/>
      <w:r w:rsidRPr="00E70C1C">
        <w:rPr>
          <w:i/>
        </w:rPr>
        <w:t xml:space="preserve"> B3 (ГД „Вътрешен пазар“), </w:t>
      </w:r>
      <w:r w:rsidR="00F3586B">
        <w:rPr>
          <w:i/>
        </w:rPr>
        <w:t>информира</w:t>
      </w:r>
      <w:r w:rsidRPr="00E70C1C">
        <w:rPr>
          <w:i/>
        </w:rPr>
        <w:t xml:space="preserve"> </w:t>
      </w:r>
      <w:r w:rsidR="00F3586B" w:rsidRPr="00F3586B">
        <w:rPr>
          <w:i/>
        </w:rPr>
        <w:t>MSP</w:t>
      </w:r>
      <w:r w:rsidRPr="00E70C1C">
        <w:rPr>
          <w:i/>
        </w:rPr>
        <w:t xml:space="preserve"> </w:t>
      </w:r>
      <w:r w:rsidR="00F3586B">
        <w:rPr>
          <w:i/>
        </w:rPr>
        <w:t>з</w:t>
      </w:r>
      <w:r w:rsidRPr="00E70C1C">
        <w:rPr>
          <w:i/>
        </w:rPr>
        <w:t>а последното заседание на Комитета по стандартите.</w:t>
      </w:r>
    </w:p>
    <w:p w:rsidR="00641AA6" w:rsidRPr="00E70C1C" w:rsidRDefault="00F3586B">
      <w:pPr>
        <w:pStyle w:val="Text3"/>
        <w:ind w:left="0"/>
      </w:pPr>
      <w:r>
        <w:t>Един ч</w:t>
      </w:r>
      <w:r w:rsidR="00127C39" w:rsidRPr="00E70C1C">
        <w:t>лен попита дали текущо</w:t>
      </w:r>
      <w:r>
        <w:t xml:space="preserve"> актуализирания план е приведен</w:t>
      </w:r>
      <w:r w:rsidR="00127C39" w:rsidRPr="00E70C1C">
        <w:t xml:space="preserve"> в съответствие с последното преразглеждане на годишната работна програма на Съюза</w:t>
      </w:r>
      <w:r w:rsidR="008D0064">
        <w:t xml:space="preserve"> (</w:t>
      </w:r>
      <w:r w:rsidR="008D0064" w:rsidRPr="008D0064">
        <w:t>ГРПС</w:t>
      </w:r>
      <w:r w:rsidR="008D0064">
        <w:t>)</w:t>
      </w:r>
      <w:r w:rsidR="00127C39" w:rsidRPr="00E70C1C">
        <w:t>. Комисията отговори, че актуализирания план е в процес на преразглеждане и че Комисията ще гарантира, че окончателният вар</w:t>
      </w:r>
      <w:r>
        <w:t>иант ще бъде напълно съгласуван</w:t>
      </w:r>
      <w:r w:rsidR="00127C39" w:rsidRPr="00E70C1C">
        <w:t xml:space="preserve"> с информацията, включена в преработената ГРПС.</w:t>
      </w:r>
    </w:p>
    <w:p w:rsidR="00641AA6" w:rsidRPr="00E70C1C" w:rsidRDefault="00127C39" w:rsidP="00F3586B">
      <w:pPr>
        <w:pStyle w:val="Heading3"/>
        <w:numPr>
          <w:ilvl w:val="0"/>
          <w:numId w:val="2"/>
        </w:numPr>
        <w:spacing w:after="0"/>
        <w:ind w:left="992" w:hanging="357"/>
      </w:pPr>
      <w:r w:rsidRPr="00E70C1C">
        <w:t>Информация за изследвания на JRC</w:t>
      </w:r>
    </w:p>
    <w:p w:rsidR="00641AA6" w:rsidRPr="00E70C1C" w:rsidRDefault="00127C39" w:rsidP="008D0064">
      <w:pPr>
        <w:pStyle w:val="Text3"/>
        <w:spacing w:after="0"/>
        <w:ind w:left="0"/>
      </w:pPr>
      <w:proofErr w:type="spellStart"/>
      <w:r w:rsidRPr="008D0064">
        <w:rPr>
          <w:i/>
        </w:rPr>
        <w:t>Nikolaus</w:t>
      </w:r>
      <w:proofErr w:type="spellEnd"/>
      <w:r w:rsidRPr="00E70C1C">
        <w:rPr>
          <w:i/>
        </w:rPr>
        <w:t xml:space="preserve"> </w:t>
      </w:r>
      <w:proofErr w:type="spellStart"/>
      <w:r w:rsidRPr="00E70C1C">
        <w:rPr>
          <w:i/>
        </w:rPr>
        <w:t>Thumm</w:t>
      </w:r>
      <w:proofErr w:type="spellEnd"/>
      <w:r w:rsidRPr="00E70C1C">
        <w:rPr>
          <w:i/>
        </w:rPr>
        <w:t xml:space="preserve"> (JRC-</w:t>
      </w:r>
      <w:proofErr w:type="spellStart"/>
      <w:r w:rsidRPr="00E70C1C">
        <w:rPr>
          <w:i/>
        </w:rPr>
        <w:t>Sevilla</w:t>
      </w:r>
      <w:proofErr w:type="spellEnd"/>
      <w:r w:rsidRPr="00E70C1C">
        <w:rPr>
          <w:i/>
        </w:rPr>
        <w:t xml:space="preserve">) се спря накратко </w:t>
      </w:r>
      <w:r w:rsidR="008D0064">
        <w:rPr>
          <w:i/>
        </w:rPr>
        <w:t xml:space="preserve">на </w:t>
      </w:r>
      <w:r w:rsidRPr="00E70C1C">
        <w:rPr>
          <w:i/>
        </w:rPr>
        <w:t>проучване</w:t>
      </w:r>
      <w:r w:rsidR="008D0064">
        <w:rPr>
          <w:i/>
        </w:rPr>
        <w:t>то</w:t>
      </w:r>
      <w:r w:rsidRPr="00E70C1C">
        <w:rPr>
          <w:i/>
        </w:rPr>
        <w:t xml:space="preserve">, поръчано от Съвместния изследователски център (JRC) </w:t>
      </w:r>
      <w:r w:rsidR="008D0064">
        <w:rPr>
          <w:i/>
        </w:rPr>
        <w:t>н</w:t>
      </w:r>
      <w:r w:rsidRPr="00E70C1C">
        <w:rPr>
          <w:i/>
        </w:rPr>
        <w:t xml:space="preserve">а група от независими академични научно-изследователски институции под ръководството на Университета в Тилбург относно управлението на организации за разработване на стандарти, което понастоящем </w:t>
      </w:r>
      <w:r w:rsidR="008D0064">
        <w:rPr>
          <w:i/>
        </w:rPr>
        <w:t>върви</w:t>
      </w:r>
      <w:r w:rsidRPr="00E70C1C">
        <w:rPr>
          <w:i/>
        </w:rPr>
        <w:t xml:space="preserve"> сред заинтересованите страни.</w:t>
      </w:r>
      <w:r w:rsidRPr="00E70C1C">
        <w:t xml:space="preserve"> Центърът за управление на CEN-CENELEC участва в ръководната група на проучването, заедно с представители на Комисията, IEEE и ETSI.</w:t>
      </w:r>
    </w:p>
    <w:p w:rsidR="00641AA6" w:rsidRPr="00E70C1C" w:rsidRDefault="00F3586B" w:rsidP="008D0064">
      <w:pPr>
        <w:pStyle w:val="Text3"/>
        <w:spacing w:after="0"/>
        <w:ind w:left="0"/>
        <w:rPr>
          <w:i/>
        </w:rPr>
      </w:pPr>
      <w:hyperlink r:id="rId27">
        <w:r w:rsidR="00127C39" w:rsidRPr="00E70C1C">
          <w:t>Той също така представи (документ ИКТ/</w:t>
        </w:r>
        <w:r w:rsidR="008D0064" w:rsidRPr="008D0064">
          <w:t xml:space="preserve"> MSP</w:t>
        </w:r>
        <w:r w:rsidR="00127C39" w:rsidRPr="00E70C1C">
          <w:t xml:space="preserve"> (2017)549) </w:t>
        </w:r>
        <w:r w:rsidR="008D0064">
          <w:t xml:space="preserve">- </w:t>
        </w:r>
        <w:r w:rsidR="00127C39" w:rsidRPr="00E70C1C">
          <w:t>обхват</w:t>
        </w:r>
        <w:r w:rsidR="008D0064">
          <w:t>ът</w:t>
        </w:r>
        <w:r w:rsidR="00127C39" w:rsidRPr="00E70C1C">
          <w:t xml:space="preserve"> на проучване</w:t>
        </w:r>
        <w:r w:rsidR="008D0064">
          <w:t>то е</w:t>
        </w:r>
        <w:r w:rsidR="00127C39" w:rsidRPr="00E70C1C">
          <w:t xml:space="preserve"> </w:t>
        </w:r>
        <w:r w:rsidR="008D0064">
          <w:t xml:space="preserve">определен от </w:t>
        </w:r>
        <w:r w:rsidR="00127C39" w:rsidRPr="00E70C1C">
          <w:t>взаимодействието межд</w:t>
        </w:r>
        <w:r w:rsidR="008D0064">
          <w:t>у софтуер с отворен код и FRAND</w:t>
        </w:r>
        <w:r w:rsidR="00127C39" w:rsidRPr="00E70C1C">
          <w:t xml:space="preserve"> условия за лицензиране в областта на стандартизацията.</w:t>
        </w:r>
      </w:hyperlink>
    </w:p>
    <w:p w:rsidR="00641AA6" w:rsidRPr="00E70C1C" w:rsidRDefault="00127C39" w:rsidP="008D0064">
      <w:pPr>
        <w:pStyle w:val="Text3"/>
        <w:spacing w:after="0"/>
        <w:ind w:left="0"/>
      </w:pPr>
      <w:r w:rsidRPr="00E70C1C">
        <w:t>По време на дебата, който последва пре</w:t>
      </w:r>
      <w:r w:rsidR="008D0064">
        <w:t>зентацията</w:t>
      </w:r>
      <w:r w:rsidRPr="00E70C1C">
        <w:t xml:space="preserve">, OASIS докладваха, че те също са в процес на изготвяне на процедура за управление на взаимодействието между </w:t>
      </w:r>
      <w:r w:rsidR="008D0064" w:rsidRPr="00E70C1C">
        <w:t>разработване</w:t>
      </w:r>
      <w:r w:rsidR="008D0064">
        <w:t>то на</w:t>
      </w:r>
      <w:r w:rsidR="008D0064" w:rsidRPr="00E70C1C">
        <w:t xml:space="preserve"> </w:t>
      </w:r>
      <w:r w:rsidR="008D0064">
        <w:t>отворен</w:t>
      </w:r>
      <w:r w:rsidRPr="00E70C1C">
        <w:t xml:space="preserve"> код и стандартизиране</w:t>
      </w:r>
      <w:r w:rsidR="008D0064">
        <w:t>то</w:t>
      </w:r>
      <w:r w:rsidRPr="00E70C1C">
        <w:t xml:space="preserve">. Те проявяват интерес </w:t>
      </w:r>
      <w:r w:rsidR="008D0064">
        <w:t>към</w:t>
      </w:r>
      <w:r w:rsidRPr="00E70C1C">
        <w:t xml:space="preserve"> проучването и резултатите от него.</w:t>
      </w:r>
    </w:p>
    <w:p w:rsidR="00641AA6" w:rsidRPr="00E70C1C" w:rsidRDefault="00127C39" w:rsidP="008D0064">
      <w:pPr>
        <w:pStyle w:val="Text3"/>
        <w:spacing w:after="0"/>
        <w:ind w:left="0"/>
      </w:pPr>
      <w:r w:rsidRPr="00E70C1C">
        <w:t>Някои членове припомни</w:t>
      </w:r>
      <w:r w:rsidR="008D0064">
        <w:t>ха за</w:t>
      </w:r>
      <w:r w:rsidRPr="00E70C1C">
        <w:t xml:space="preserve"> подобно проучване, проведено преди четири години от свободно достъпни източници и правата върху интелектуалната собственост и предупреди</w:t>
      </w:r>
      <w:r w:rsidR="008D0064">
        <w:t>ха</w:t>
      </w:r>
      <w:r w:rsidRPr="00E70C1C">
        <w:t xml:space="preserve"> Комисията за чувствителността на въпроса. Други предупредиха, че се поставя твърде голям акцент върху въпрос, който може да възникне само в ограничени случаи, но не е въпрос от страна на цялата индустрия </w:t>
      </w:r>
      <w:r w:rsidR="008D0064">
        <w:t>от тяхна</w:t>
      </w:r>
      <w:r w:rsidRPr="00E70C1C">
        <w:t xml:space="preserve"> гледна точка. </w:t>
      </w:r>
      <w:r w:rsidR="008D0064">
        <w:t>Един ч</w:t>
      </w:r>
      <w:r w:rsidRPr="00E70C1C">
        <w:t>лен привлече вниманието и към подпомагане</w:t>
      </w:r>
      <w:r w:rsidR="008D0064">
        <w:t>то</w:t>
      </w:r>
      <w:r w:rsidRPr="00E70C1C">
        <w:t xml:space="preserve"> на пазара в намирането на най-добрите </w:t>
      </w:r>
      <w:r w:rsidRPr="00E70C1C">
        <w:lastRenderedPageBreak/>
        <w:t xml:space="preserve">решения, вместо да се стеснява и </w:t>
      </w:r>
      <w:r w:rsidR="008D0064" w:rsidRPr="00E70C1C">
        <w:t>как следва да работ</w:t>
      </w:r>
      <w:r w:rsidR="008D0064">
        <w:t>ят</w:t>
      </w:r>
      <w:r w:rsidR="008D0064" w:rsidRPr="00E70C1C">
        <w:t xml:space="preserve"> </w:t>
      </w:r>
      <w:r w:rsidRPr="00E70C1C">
        <w:t>контролните органи по стандартизация.</w:t>
      </w:r>
    </w:p>
    <w:p w:rsidR="00641AA6" w:rsidRPr="00E70C1C" w:rsidRDefault="00127C39" w:rsidP="008D0064">
      <w:pPr>
        <w:pStyle w:val="Text3"/>
        <w:spacing w:after="0"/>
        <w:ind w:left="0"/>
      </w:pPr>
      <w:r w:rsidRPr="00E70C1C">
        <w:t xml:space="preserve">В отговор на </w:t>
      </w:r>
      <w:r w:rsidR="008D0064" w:rsidRPr="00E70C1C">
        <w:t>искане</w:t>
      </w:r>
      <w:r w:rsidR="008D0064">
        <w:t>то на</w:t>
      </w:r>
      <w:r w:rsidR="008D0064" w:rsidRPr="00E70C1C">
        <w:t xml:space="preserve"> </w:t>
      </w:r>
      <w:r w:rsidRPr="00E70C1C">
        <w:t>някои членове за удължаване на срока на първото проучване</w:t>
      </w:r>
      <w:r w:rsidR="008D0064">
        <w:t>,</w:t>
      </w:r>
      <w:r w:rsidRPr="00E70C1C">
        <w:t xml:space="preserve"> Съвместния</w:t>
      </w:r>
      <w:r w:rsidR="008D0064">
        <w:t>т</w:t>
      </w:r>
      <w:r w:rsidRPr="00E70C1C">
        <w:t xml:space="preserve"> изследователски център потвърди намерението си да запази първоначалния краен срок. </w:t>
      </w:r>
      <w:r w:rsidR="008D0064" w:rsidRPr="008D0064">
        <w:t>JRC</w:t>
      </w:r>
      <w:r w:rsidRPr="00E70C1C">
        <w:t xml:space="preserve"> ще адаптира форматът, използван по време на консултацията.</w:t>
      </w:r>
    </w:p>
    <w:p w:rsidR="00641AA6" w:rsidRPr="00E70C1C" w:rsidRDefault="00127C39">
      <w:pPr>
        <w:pStyle w:val="Heading1"/>
        <w:numPr>
          <w:ilvl w:val="0"/>
          <w:numId w:val="0"/>
        </w:numPr>
        <w:pBdr>
          <w:bottom w:val="single" w:sz="4" w:space="1" w:color="00000A"/>
        </w:pBdr>
        <w:ind w:left="480" w:hanging="480"/>
      </w:pPr>
      <w:r w:rsidRPr="00E70C1C">
        <w:t>Следващи заседания</w:t>
      </w:r>
    </w:p>
    <w:p w:rsidR="00641AA6" w:rsidRPr="00E70C1C" w:rsidRDefault="00127C39" w:rsidP="008D0064">
      <w:pPr>
        <w:pStyle w:val="Text3"/>
        <w:spacing w:after="0"/>
        <w:ind w:left="0"/>
        <w:rPr>
          <w:vertAlign w:val="superscript"/>
        </w:rPr>
      </w:pPr>
      <w:r w:rsidRPr="00E70C1C">
        <w:t>22-ро заседание на 7 дек</w:t>
      </w:r>
      <w:r w:rsidR="00F3586B">
        <w:t>ември 2017 г</w:t>
      </w:r>
      <w:r w:rsidRPr="00E70C1C">
        <w:t>.</w:t>
      </w:r>
    </w:p>
    <w:p w:rsidR="00641AA6" w:rsidRPr="00E70C1C" w:rsidRDefault="00127C39" w:rsidP="008D0064">
      <w:pPr>
        <w:pStyle w:val="Text3"/>
        <w:spacing w:after="0"/>
        <w:ind w:left="0"/>
      </w:pPr>
      <w:r w:rsidRPr="00E70C1C">
        <w:t xml:space="preserve">Председателят съобщи, че Комисията разглежда възможността за намаляване на броя на </w:t>
      </w:r>
      <w:r w:rsidR="008D0064" w:rsidRPr="008D0064">
        <w:t>MSP</w:t>
      </w:r>
      <w:r w:rsidRPr="00E70C1C">
        <w:t xml:space="preserve"> срещи на 3 годишно, като взема предвид, че няма нови данни за идентификация и </w:t>
      </w:r>
      <w:r w:rsidR="008D0064">
        <w:t>няма приноси</w:t>
      </w:r>
      <w:r w:rsidRPr="00E70C1C">
        <w:t xml:space="preserve"> на членове </w:t>
      </w:r>
      <w:r w:rsidR="008D0064">
        <w:t xml:space="preserve">на </w:t>
      </w:r>
      <w:r w:rsidR="008D0064" w:rsidRPr="008D0064">
        <w:t>MSP</w:t>
      </w:r>
      <w:r w:rsidR="008D0064" w:rsidRPr="00E70C1C">
        <w:t xml:space="preserve"> </w:t>
      </w:r>
      <w:r w:rsidR="008D0064">
        <w:t>по</w:t>
      </w:r>
      <w:r w:rsidRPr="00E70C1C">
        <w:t xml:space="preserve"> прилагането на </w:t>
      </w:r>
      <w:r w:rsidR="008D0064">
        <w:t>С</w:t>
      </w:r>
      <w:r w:rsidRPr="00E70C1C">
        <w:t>ъобщението относно приоритетите за стандартизацията в областта на ИКТ за цифровия единен пазар.</w:t>
      </w:r>
    </w:p>
    <w:p w:rsidR="00641AA6" w:rsidRPr="00E70C1C" w:rsidRDefault="00127C39">
      <w:pPr>
        <w:pStyle w:val="Text3"/>
        <w:ind w:left="0"/>
      </w:pPr>
      <w:r w:rsidRPr="00E70C1C">
        <w:t xml:space="preserve">Членовете подчертаха, че досега повечето заседания </w:t>
      </w:r>
      <w:r w:rsidR="008D0064">
        <w:t>на</w:t>
      </w:r>
      <w:r w:rsidRPr="00E70C1C">
        <w:t xml:space="preserve"> </w:t>
      </w:r>
      <w:r w:rsidR="008D0064" w:rsidRPr="008D0064">
        <w:t>MSP</w:t>
      </w:r>
      <w:r w:rsidRPr="00E70C1C">
        <w:t xml:space="preserve"> </w:t>
      </w:r>
      <w:r w:rsidR="008D0064">
        <w:t>са с</w:t>
      </w:r>
      <w:r w:rsidRPr="00E70C1C">
        <w:t xml:space="preserve"> много натоварена програма и призова за преразглеждане на намерението да се намали бро</w:t>
      </w:r>
      <w:r w:rsidR="008D0064">
        <w:t>я</w:t>
      </w:r>
      <w:r w:rsidRPr="00E70C1C">
        <w:t xml:space="preserve"> заседания </w:t>
      </w:r>
      <w:r w:rsidR="008D0064">
        <w:t>з</w:t>
      </w:r>
      <w:r w:rsidRPr="00E70C1C">
        <w:t>а година.</w:t>
      </w:r>
    </w:p>
    <w:p w:rsidR="00641AA6" w:rsidRPr="00E70C1C" w:rsidRDefault="00127C39">
      <w:pPr>
        <w:pStyle w:val="Heading1"/>
        <w:numPr>
          <w:ilvl w:val="0"/>
          <w:numId w:val="0"/>
        </w:numPr>
        <w:pBdr>
          <w:bottom w:val="single" w:sz="4" w:space="1" w:color="00000A"/>
        </w:pBdr>
        <w:ind w:left="480" w:hanging="480"/>
      </w:pPr>
      <w:r w:rsidRPr="00E70C1C">
        <w:t>Други въпроси</w:t>
      </w:r>
    </w:p>
    <w:p w:rsidR="00641AA6" w:rsidRPr="00E70C1C" w:rsidRDefault="00127C39">
      <w:pPr>
        <w:pStyle w:val="Text3"/>
        <w:ind w:left="0"/>
      </w:pPr>
      <w:r w:rsidRPr="00E70C1C">
        <w:t xml:space="preserve">Беше отправен настойчив призив към Комисията да преразгледа сигурността на регистрация за това заседание, като </w:t>
      </w:r>
      <w:r w:rsidR="008D0064">
        <w:t xml:space="preserve">се </w:t>
      </w:r>
      <w:r w:rsidRPr="00E70C1C">
        <w:t>изтък</w:t>
      </w:r>
      <w:r w:rsidR="008D0064">
        <w:t>н</w:t>
      </w:r>
      <w:r w:rsidRPr="00E70C1C">
        <w:t xml:space="preserve">а значителния </w:t>
      </w:r>
      <w:r w:rsidR="008D0064">
        <w:t xml:space="preserve">проблем със </w:t>
      </w:r>
      <w:r w:rsidRPr="00E70C1C">
        <w:t>сигурност</w:t>
      </w:r>
      <w:r w:rsidR="008D0064">
        <w:t>та</w:t>
      </w:r>
      <w:r w:rsidRPr="00E70C1C">
        <w:t xml:space="preserve"> в текущия процес (т.е. за искане</w:t>
      </w:r>
      <w:r w:rsidR="004F29CC">
        <w:t>то</w:t>
      </w:r>
      <w:r w:rsidRPr="00E70C1C">
        <w:t xml:space="preserve"> на номер на паспорт в несигурна уебстраница, получаващи лични данни в </w:t>
      </w:r>
      <w:proofErr w:type="spellStart"/>
      <w:r w:rsidRPr="00E70C1C">
        <w:t>некриптирана</w:t>
      </w:r>
      <w:proofErr w:type="spellEnd"/>
      <w:r w:rsidRPr="00E70C1C">
        <w:t xml:space="preserve"> поща).</w:t>
      </w:r>
    </w:p>
    <w:p w:rsidR="00641AA6" w:rsidRPr="00E70C1C" w:rsidRDefault="00127C39">
      <w:pPr>
        <w:pStyle w:val="Heading1"/>
        <w:numPr>
          <w:ilvl w:val="0"/>
          <w:numId w:val="0"/>
        </w:numPr>
        <w:ind w:left="480" w:hanging="480"/>
      </w:pPr>
      <w:r w:rsidRPr="00E70C1C">
        <w:t>4. заключения/Следващи стъпки</w:t>
      </w:r>
    </w:p>
    <w:p w:rsidR="00641AA6" w:rsidRPr="00E70C1C" w:rsidRDefault="00127C39">
      <w:pPr>
        <w:spacing w:after="0"/>
        <w:rPr>
          <w:szCs w:val="24"/>
          <w:lang w:eastAsia="en-GB"/>
        </w:rPr>
      </w:pPr>
      <w:r w:rsidRPr="00E70C1C">
        <w:rPr>
          <w:szCs w:val="24"/>
          <w:lang w:eastAsia="en-GB"/>
        </w:rPr>
        <w:t>На заседанието от 28 септември беше постигнато споразумение за следните действия:</w:t>
      </w:r>
    </w:p>
    <w:p w:rsidR="00641AA6" w:rsidRPr="00E70C1C" w:rsidRDefault="00641AA6">
      <w:pPr>
        <w:tabs>
          <w:tab w:val="left" w:pos="3131"/>
        </w:tabs>
        <w:spacing w:after="0"/>
        <w:rPr>
          <w:szCs w:val="24"/>
          <w:lang w:eastAsia="en-GB"/>
        </w:rPr>
      </w:pPr>
    </w:p>
    <w:tbl>
      <w:tblPr>
        <w:tblW w:w="94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7"/>
        <w:gridCol w:w="5237"/>
        <w:gridCol w:w="1751"/>
        <w:gridCol w:w="1680"/>
      </w:tblGrid>
      <w:tr w:rsidR="00641AA6" w:rsidRPr="00E70C1C">
        <w:trPr>
          <w:tblHeader/>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b/>
                <w:sz w:val="22"/>
                <w:szCs w:val="22"/>
                <w:lang w:eastAsia="en-GB"/>
              </w:rPr>
            </w:pPr>
            <w:r>
              <w:rPr>
                <w:b/>
                <w:sz w:val="22"/>
                <w:szCs w:val="22"/>
                <w:lang w:eastAsia="en-GB"/>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b/>
                <w:szCs w:val="24"/>
                <w:lang w:eastAsia="en-GB"/>
              </w:rPr>
            </w:pPr>
            <w:r w:rsidRPr="00E70C1C">
              <w:rPr>
                <w:b/>
                <w:szCs w:val="24"/>
                <w:lang w:eastAsia="en-GB"/>
              </w:rPr>
              <w:t>Описание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b/>
                <w:sz w:val="20"/>
                <w:lang w:eastAsia="en-GB"/>
              </w:rPr>
            </w:pPr>
            <w:r w:rsidRPr="00E70C1C">
              <w:rPr>
                <w:b/>
                <w:sz w:val="20"/>
                <w:lang w:eastAsia="en-GB"/>
              </w:rPr>
              <w:t>Отговорност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b/>
                <w:szCs w:val="24"/>
                <w:lang w:eastAsia="en-GB"/>
              </w:rPr>
            </w:pPr>
            <w:r>
              <w:rPr>
                <w:b/>
                <w:szCs w:val="24"/>
                <w:lang w:eastAsia="en-GB"/>
              </w:rPr>
              <w:t xml:space="preserve">Срок </w:t>
            </w:r>
          </w:p>
        </w:tc>
      </w:tr>
      <w:tr w:rsidR="00641AA6" w:rsidRPr="00E70C1C">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t>21.1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sidP="004F29CC">
            <w:pPr>
              <w:pStyle w:val="Text3"/>
              <w:ind w:left="0"/>
              <w:rPr>
                <w:i/>
                <w:szCs w:val="24"/>
              </w:rPr>
            </w:pPr>
            <w:r w:rsidRPr="00E70C1C">
              <w:rPr>
                <w:szCs w:val="24"/>
              </w:rPr>
              <w:t>Качване на протокола от последното заседание с промените, поискан</w:t>
            </w:r>
            <w:r w:rsidR="004F29CC">
              <w:rPr>
                <w:szCs w:val="24"/>
              </w:rPr>
              <w:t>и</w:t>
            </w:r>
            <w:r w:rsidRPr="00E70C1C">
              <w:rPr>
                <w:szCs w:val="24"/>
              </w:rPr>
              <w:t xml:space="preserve"> от </w:t>
            </w:r>
            <w:r w:rsidR="004F29CC" w:rsidRPr="004F29CC">
              <w:rPr>
                <w:szCs w:val="24"/>
              </w:rPr>
              <w:t>MSP</w:t>
            </w:r>
            <w:r w:rsidRPr="00E70C1C">
              <w:rPr>
                <w:szCs w:val="24"/>
              </w:rPr>
              <w:t xml:space="preserve"> членове (документ ICT/MSP(2017)520)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szCs w:val="24"/>
                <w:lang w:eastAsia="en-GB"/>
              </w:rPr>
            </w:pPr>
            <w:r w:rsidRPr="004F29CC">
              <w:rPr>
                <w:szCs w:val="24"/>
                <w:lang w:eastAsia="en-GB"/>
              </w:rPr>
              <w:t>MSP</w:t>
            </w:r>
            <w:r w:rsidR="00127C39" w:rsidRPr="00E70C1C">
              <w:rPr>
                <w:szCs w:val="24"/>
                <w:lang w:eastAsia="en-GB"/>
              </w:rPr>
              <w:t xml:space="preserve"> секретариат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Cs w:val="24"/>
                <w:lang w:eastAsia="en-GB"/>
              </w:rPr>
            </w:pPr>
            <w:r w:rsidRPr="00E70C1C">
              <w:rPr>
                <w:szCs w:val="24"/>
                <w:lang w:eastAsia="en-GB"/>
              </w:rPr>
              <w:t>След заседанието</w:t>
            </w:r>
          </w:p>
        </w:tc>
      </w:tr>
      <w:tr w:rsidR="00641AA6" w:rsidRPr="00E70C1C">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t>21.2</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sidP="004F29CC">
            <w:pPr>
              <w:pStyle w:val="Text3"/>
              <w:ind w:left="0"/>
              <w:rPr>
                <w:i/>
              </w:rPr>
            </w:pPr>
            <w:r w:rsidRPr="00E70C1C">
              <w:t>Чле</w:t>
            </w:r>
            <w:r w:rsidR="004F29CC">
              <w:t>новете и членовете на Комисията</w:t>
            </w:r>
            <w:r w:rsidRPr="00E70C1C">
              <w:t xml:space="preserve"> да отраз</w:t>
            </w:r>
            <w:r w:rsidR="004F29CC">
              <w:t>ят</w:t>
            </w:r>
            <w:r w:rsidRPr="00E70C1C">
              <w:t xml:space="preserve"> доводите, изложени от „Цифрова Европа“ (документ ICT/MSP(2017)538) и Работната група за </w:t>
            </w:r>
            <w:r w:rsidR="004F29CC">
              <w:t>оценка</w:t>
            </w:r>
            <w:r w:rsidRPr="00E70C1C">
              <w:t xml:space="preserve"> (док. ICT/MSP(2017)545) по отношение на идентифицирането на RDS TS 5,7 &amp;8 и да споделят своите мнения по време на следващото заседание на </w:t>
            </w:r>
            <w:r w:rsidR="004F29CC" w:rsidRPr="004F29CC">
              <w:t>MSP</w:t>
            </w:r>
            <w:r w:rsidRPr="00E70C1C">
              <w:t xml:space="preserve"> с оглед издаване на становище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szCs w:val="24"/>
                <w:lang w:eastAsia="en-GB"/>
              </w:rPr>
            </w:pPr>
            <w:r w:rsidRPr="004F29CC">
              <w:rPr>
                <w:szCs w:val="24"/>
                <w:lang w:eastAsia="en-GB"/>
              </w:rPr>
              <w:t>MSP</w:t>
            </w:r>
            <w:r w:rsidR="00127C39" w:rsidRPr="00E70C1C">
              <w:rPr>
                <w:szCs w:val="24"/>
                <w:lang w:eastAsia="en-GB"/>
              </w:rPr>
              <w:t xml:space="preserve"> членове</w:t>
            </w:r>
          </w:p>
          <w:p w:rsidR="00641AA6" w:rsidRPr="00E70C1C" w:rsidRDefault="00127C39" w:rsidP="004F29CC">
            <w:pPr>
              <w:spacing w:after="0"/>
              <w:jc w:val="left"/>
              <w:rPr>
                <w:szCs w:val="24"/>
                <w:lang w:eastAsia="en-GB"/>
              </w:rPr>
            </w:pPr>
            <w:r w:rsidRPr="00E70C1C">
              <w:rPr>
                <w:szCs w:val="24"/>
                <w:lang w:eastAsia="en-GB"/>
              </w:rPr>
              <w:t xml:space="preserve">&amp; </w:t>
            </w:r>
            <w:r w:rsidR="004F29CC">
              <w:rPr>
                <w:szCs w:val="24"/>
                <w:lang w:eastAsia="en-GB"/>
              </w:rPr>
              <w:t>ЕК</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641AA6">
            <w:pPr>
              <w:spacing w:after="0"/>
              <w:jc w:val="left"/>
              <w:rPr>
                <w:szCs w:val="24"/>
                <w:lang w:eastAsia="en-GB"/>
              </w:rPr>
            </w:pPr>
          </w:p>
          <w:p w:rsidR="00641AA6" w:rsidRPr="00E70C1C" w:rsidRDefault="00127C39">
            <w:pPr>
              <w:spacing w:after="0"/>
              <w:jc w:val="left"/>
              <w:rPr>
                <w:szCs w:val="24"/>
                <w:lang w:eastAsia="en-GB"/>
              </w:rPr>
            </w:pPr>
            <w:r w:rsidRPr="00E70C1C">
              <w:rPr>
                <w:szCs w:val="24"/>
                <w:lang w:eastAsia="en-GB"/>
              </w:rPr>
              <w:t>Преди следващото заседание</w:t>
            </w:r>
          </w:p>
        </w:tc>
      </w:tr>
      <w:tr w:rsidR="00641AA6" w:rsidRPr="00E70C1C">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t>21.3</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sidP="004F29CC">
            <w:pPr>
              <w:pStyle w:val="Text3"/>
              <w:ind w:left="0"/>
            </w:pPr>
            <w:r w:rsidRPr="00E70C1C">
              <w:t xml:space="preserve">ETSI да разгледа потенциално припокриване между </w:t>
            </w:r>
            <w:r w:rsidR="004F29CC" w:rsidRPr="004F29CC">
              <w:t>RDA</w:t>
            </w:r>
            <w:r w:rsidRPr="00E70C1C">
              <w:t xml:space="preserve"> ТС7 и текущо проучване относно </w:t>
            </w:r>
            <w:r w:rsidR="004F29CC" w:rsidRPr="00E70C1C">
              <w:t>услуги</w:t>
            </w:r>
            <w:r w:rsidR="004F29CC">
              <w:t>те за</w:t>
            </w:r>
            <w:r w:rsidR="004F29CC" w:rsidRPr="00E70C1C">
              <w:t xml:space="preserve"> </w:t>
            </w:r>
            <w:r w:rsidR="004F29CC">
              <w:t>дългосрочно</w:t>
            </w:r>
            <w:r w:rsidRPr="00E70C1C">
              <w:t xml:space="preserve"> съхраняване на данни, включително електронни подписи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Cs w:val="24"/>
                <w:lang w:eastAsia="en-GB"/>
              </w:rPr>
            </w:pPr>
            <w:r w:rsidRPr="00E70C1C">
              <w:rPr>
                <w:szCs w:val="24"/>
                <w:lang w:eastAsia="en-GB"/>
              </w:rPr>
              <w:t>ETSI</w:t>
            </w:r>
          </w:p>
          <w:p w:rsidR="00641AA6" w:rsidRPr="00E70C1C" w:rsidRDefault="00641AA6">
            <w:pPr>
              <w:spacing w:after="0"/>
              <w:jc w:val="left"/>
              <w:rPr>
                <w:szCs w:val="24"/>
                <w:lang w:eastAsia="en-GB"/>
              </w:rPr>
            </w:pPr>
          </w:p>
          <w:p w:rsidR="00641AA6" w:rsidRPr="00E70C1C" w:rsidRDefault="00641AA6">
            <w:pPr>
              <w:spacing w:after="0"/>
              <w:jc w:val="left"/>
              <w:rPr>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Cs w:val="24"/>
                <w:lang w:eastAsia="en-GB"/>
              </w:rPr>
            </w:pPr>
            <w:r w:rsidRPr="00E70C1C">
              <w:rPr>
                <w:szCs w:val="24"/>
                <w:lang w:eastAsia="en-GB"/>
              </w:rPr>
              <w:t>Преди следващото заседание</w:t>
            </w:r>
          </w:p>
        </w:tc>
      </w:tr>
      <w:tr w:rsidR="00641AA6" w:rsidRPr="00E70C1C">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t>21.4</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sidP="004F29CC">
            <w:pPr>
              <w:spacing w:after="0"/>
              <w:rPr>
                <w:szCs w:val="24"/>
                <w:lang w:eastAsia="en-GB"/>
              </w:rPr>
            </w:pPr>
            <w:r w:rsidRPr="00E70C1C">
              <w:rPr>
                <w:szCs w:val="24"/>
                <w:lang w:eastAsia="en-GB"/>
              </w:rPr>
              <w:t>Проект за актуализиран процес на оценка след пилотн</w:t>
            </w:r>
            <w:r w:rsidR="004F29CC">
              <w:rPr>
                <w:szCs w:val="24"/>
                <w:lang w:eastAsia="en-GB"/>
              </w:rPr>
              <w:t>ия проект</w:t>
            </w:r>
            <w:r w:rsidRPr="00E70C1C">
              <w:rPr>
                <w:szCs w:val="24"/>
                <w:lang w:eastAsia="en-GB"/>
              </w:rPr>
              <w:t xml:space="preserve">. </w:t>
            </w:r>
            <w:r w:rsidR="004F29CC">
              <w:rPr>
                <w:szCs w:val="24"/>
                <w:lang w:eastAsia="en-GB"/>
              </w:rPr>
              <w:t>Качване на</w:t>
            </w:r>
            <w:r w:rsidRPr="00E70C1C">
              <w:rPr>
                <w:szCs w:val="24"/>
                <w:lang w:eastAsia="en-GB"/>
              </w:rPr>
              <w:t xml:space="preserve"> документ в CIRCA и </w:t>
            </w:r>
            <w:r w:rsidR="004F29CC">
              <w:rPr>
                <w:szCs w:val="24"/>
                <w:lang w:eastAsia="en-GB"/>
              </w:rPr>
              <w:t>призив</w:t>
            </w:r>
            <w:r w:rsidRPr="00E70C1C">
              <w:rPr>
                <w:szCs w:val="24"/>
                <w:lang w:eastAsia="en-GB"/>
              </w:rPr>
              <w:t xml:space="preserve"> за коментари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szCs w:val="24"/>
                <w:lang w:eastAsia="en-GB"/>
              </w:rPr>
            </w:pPr>
            <w:r w:rsidRPr="004F29CC">
              <w:rPr>
                <w:szCs w:val="24"/>
                <w:lang w:eastAsia="en-GB"/>
              </w:rPr>
              <w:t>MSP</w:t>
            </w:r>
            <w:r w:rsidR="00127C39" w:rsidRPr="00E70C1C">
              <w:rPr>
                <w:szCs w:val="24"/>
                <w:lang w:eastAsia="en-GB"/>
              </w:rPr>
              <w:t xml:space="preserve"> секретариат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sidP="004F29CC">
            <w:pPr>
              <w:spacing w:after="0"/>
              <w:jc w:val="left"/>
              <w:rPr>
                <w:szCs w:val="24"/>
                <w:lang w:eastAsia="en-GB"/>
              </w:rPr>
            </w:pPr>
            <w:r w:rsidRPr="00E70C1C">
              <w:rPr>
                <w:szCs w:val="24"/>
                <w:lang w:eastAsia="en-GB"/>
              </w:rPr>
              <w:t>Преди следващ</w:t>
            </w:r>
            <w:r w:rsidR="004F29CC">
              <w:rPr>
                <w:szCs w:val="24"/>
                <w:lang w:eastAsia="en-GB"/>
              </w:rPr>
              <w:t>ото</w:t>
            </w:r>
            <w:r w:rsidRPr="00E70C1C">
              <w:rPr>
                <w:szCs w:val="24"/>
                <w:lang w:eastAsia="en-GB"/>
              </w:rPr>
              <w:t xml:space="preserve"> </w:t>
            </w:r>
            <w:r w:rsidR="004F29CC" w:rsidRPr="004F29CC">
              <w:rPr>
                <w:szCs w:val="24"/>
                <w:lang w:eastAsia="en-GB"/>
              </w:rPr>
              <w:t>MSP</w:t>
            </w:r>
            <w:r w:rsidR="004F29CC">
              <w:rPr>
                <w:szCs w:val="24"/>
                <w:lang w:eastAsia="en-GB"/>
              </w:rPr>
              <w:t xml:space="preserve"> заседание</w:t>
            </w:r>
          </w:p>
        </w:tc>
      </w:tr>
      <w:tr w:rsidR="00641AA6" w:rsidRPr="00E70C1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t>21.5</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r w:rsidRPr="00E70C1C">
              <w:t>Комисията да осигури връзката с обществената консултация относно финансовите технологии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4F29CC" w:rsidRDefault="00127C39" w:rsidP="004F29CC">
            <w:pPr>
              <w:rPr>
                <w:lang w:eastAsia="en-GB"/>
              </w:rPr>
            </w:pPr>
            <w:r w:rsidRPr="00E70C1C">
              <w:rPr>
                <w:lang w:eastAsia="en-GB"/>
              </w:rPr>
              <w:t>ГД „</w:t>
            </w:r>
            <w:r w:rsidR="004F29CC">
              <w:rPr>
                <w:lang w:eastAsia="en-GB"/>
              </w:rPr>
              <w:t>С</w:t>
            </w:r>
            <w:r w:rsidR="004F29CC" w:rsidRPr="00E70C1C">
              <w:rPr>
                <w:lang w:eastAsia="en-GB"/>
              </w:rPr>
              <w:t xml:space="preserve">ъобщителни </w:t>
            </w:r>
            <w:r w:rsidR="004F29CC" w:rsidRPr="00E70C1C">
              <w:rPr>
                <w:lang w:eastAsia="en-GB"/>
              </w:rPr>
              <w:lastRenderedPageBreak/>
              <w:t>мрежи, съдържание и технологии</w:t>
            </w:r>
            <w:r w:rsidRPr="00E70C1C">
              <w:rPr>
                <w:lang w:eastAsia="en-GB"/>
              </w:rPr>
              <w:t>“</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Cs w:val="24"/>
                <w:lang w:eastAsia="en-GB"/>
              </w:rPr>
            </w:pPr>
            <w:r w:rsidRPr="00E70C1C">
              <w:rPr>
                <w:szCs w:val="24"/>
                <w:lang w:eastAsia="en-GB"/>
              </w:rPr>
              <w:lastRenderedPageBreak/>
              <w:t>След заседанието</w:t>
            </w:r>
          </w:p>
        </w:tc>
      </w:tr>
      <w:tr w:rsidR="00641AA6" w:rsidRPr="00E70C1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 w:val="22"/>
                <w:szCs w:val="22"/>
                <w:lang w:eastAsia="en-GB"/>
              </w:rPr>
            </w:pPr>
            <w:r w:rsidRPr="00E70C1C">
              <w:rPr>
                <w:sz w:val="22"/>
                <w:szCs w:val="22"/>
                <w:lang w:eastAsia="en-GB"/>
              </w:rPr>
              <w:lastRenderedPageBreak/>
              <w:t>21.6</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pStyle w:val="ListParagraph"/>
              <w:ind w:left="0"/>
            </w:pPr>
            <w:r w:rsidRPr="00E70C1C">
              <w:t>Да съобщи датите за следващите заседания, като се има предвид възможността за ограничаване до 3 заседания годишно.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641AA6">
            <w:pPr>
              <w:spacing w:after="0"/>
              <w:jc w:val="left"/>
              <w:rPr>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szCs w:val="24"/>
                <w:lang w:eastAsia="en-GB"/>
              </w:rPr>
            </w:pPr>
            <w:r w:rsidRPr="00E70C1C">
              <w:rPr>
                <w:szCs w:val="24"/>
                <w:lang w:eastAsia="en-GB"/>
              </w:rPr>
              <w:t>По време на следващото заседание</w:t>
            </w:r>
          </w:p>
        </w:tc>
      </w:tr>
    </w:tbl>
    <w:p w:rsidR="00641AA6" w:rsidRPr="00E70C1C" w:rsidRDefault="00641AA6">
      <w:pPr>
        <w:pStyle w:val="ListParagraph"/>
        <w:ind w:left="360"/>
        <w:rPr>
          <w:b/>
        </w:rPr>
      </w:pPr>
    </w:p>
    <w:p w:rsidR="00641AA6" w:rsidRPr="00E70C1C" w:rsidRDefault="00127C39">
      <w:pPr>
        <w:pStyle w:val="ListParagraph"/>
        <w:ind w:left="360"/>
      </w:pPr>
      <w:r w:rsidRPr="00E70C1C">
        <w:t xml:space="preserve">Следните </w:t>
      </w:r>
      <w:r w:rsidR="004F29CC" w:rsidRPr="00E70C1C">
        <w:t>въпроси</w:t>
      </w:r>
      <w:r w:rsidR="004F29CC" w:rsidRPr="00E70C1C">
        <w:t xml:space="preserve"> </w:t>
      </w:r>
      <w:r w:rsidRPr="00E70C1C">
        <w:t>от предходни заседания остават нерешени:</w:t>
      </w:r>
    </w:p>
    <w:p w:rsidR="00641AA6" w:rsidRPr="00E70C1C" w:rsidRDefault="00641AA6">
      <w:pPr>
        <w:pStyle w:val="ListParagraph"/>
        <w:ind w:left="360"/>
      </w:pPr>
    </w:p>
    <w:tbl>
      <w:tblPr>
        <w:tblW w:w="94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6"/>
        <w:gridCol w:w="5529"/>
        <w:gridCol w:w="1418"/>
        <w:gridCol w:w="1702"/>
      </w:tblGrid>
      <w:tr w:rsidR="00641AA6" w:rsidRPr="00E70C1C">
        <w:trPr>
          <w:tblHeader/>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b/>
                <w:sz w:val="22"/>
                <w:szCs w:val="22"/>
                <w:lang w:eastAsia="en-GB"/>
              </w:rPr>
            </w:pPr>
            <w:r>
              <w:rPr>
                <w:b/>
                <w:sz w:val="22"/>
                <w:szCs w:val="22"/>
                <w:lang w:eastAsia="en-GB"/>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b/>
                <w:szCs w:val="24"/>
                <w:lang w:eastAsia="en-GB"/>
              </w:rPr>
            </w:pPr>
            <w:r w:rsidRPr="00E70C1C">
              <w:rPr>
                <w:b/>
                <w:szCs w:val="24"/>
                <w:lang w:eastAsia="en-GB"/>
              </w:rPr>
              <w:t>Описание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127C39">
            <w:pPr>
              <w:spacing w:after="0"/>
              <w:jc w:val="left"/>
              <w:rPr>
                <w:b/>
                <w:sz w:val="20"/>
                <w:lang w:eastAsia="en-GB"/>
              </w:rPr>
            </w:pPr>
            <w:r w:rsidRPr="00E70C1C">
              <w:rPr>
                <w:b/>
                <w:sz w:val="20"/>
                <w:lang w:eastAsia="en-GB"/>
              </w:rPr>
              <w:t>Отговорност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AA6" w:rsidRPr="00E70C1C" w:rsidRDefault="004F29CC">
            <w:pPr>
              <w:spacing w:after="0"/>
              <w:jc w:val="left"/>
              <w:rPr>
                <w:b/>
                <w:szCs w:val="24"/>
                <w:lang w:eastAsia="en-GB"/>
              </w:rPr>
            </w:pPr>
            <w:r>
              <w:rPr>
                <w:b/>
                <w:szCs w:val="24"/>
                <w:lang w:eastAsia="en-GB"/>
              </w:rPr>
              <w:t xml:space="preserve">Срок </w:t>
            </w:r>
          </w:p>
        </w:tc>
      </w:tr>
      <w:tr w:rsidR="00641AA6" w:rsidRPr="00E70C1C">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pPr>
              <w:spacing w:after="0"/>
              <w:jc w:val="left"/>
              <w:rPr>
                <w:sz w:val="22"/>
                <w:szCs w:val="22"/>
                <w:lang w:eastAsia="en-GB"/>
              </w:rPr>
            </w:pPr>
            <w:r w:rsidRPr="00E70C1C">
              <w:rPr>
                <w:sz w:val="22"/>
                <w:szCs w:val="22"/>
                <w:lang w:eastAsia="en-GB"/>
              </w:rPr>
              <w:t>20.4</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rsidP="004F29CC">
            <w:pPr>
              <w:spacing w:after="0"/>
              <w:rPr>
                <w:szCs w:val="24"/>
                <w:lang w:eastAsia="en-GB"/>
              </w:rPr>
            </w:pPr>
            <w:r w:rsidRPr="00E70C1C">
              <w:rPr>
                <w:szCs w:val="24"/>
                <w:lang w:eastAsia="en-GB"/>
              </w:rPr>
              <w:t xml:space="preserve">Да </w:t>
            </w:r>
            <w:r w:rsidR="004F29CC">
              <w:rPr>
                <w:szCs w:val="24"/>
                <w:lang w:eastAsia="en-GB"/>
              </w:rPr>
              <w:t xml:space="preserve">се </w:t>
            </w:r>
            <w:r w:rsidRPr="00E70C1C">
              <w:rPr>
                <w:szCs w:val="24"/>
                <w:lang w:eastAsia="en-GB"/>
              </w:rPr>
              <w:t>предостав</w:t>
            </w:r>
            <w:r w:rsidR="004F29CC">
              <w:rPr>
                <w:szCs w:val="24"/>
                <w:lang w:eastAsia="en-GB"/>
              </w:rPr>
              <w:t>и</w:t>
            </w:r>
            <w:r w:rsidRPr="00E70C1C">
              <w:rPr>
                <w:szCs w:val="24"/>
                <w:lang w:eastAsia="en-GB"/>
              </w:rPr>
              <w:t xml:space="preserve"> </w:t>
            </w:r>
            <w:r w:rsidR="004F29CC">
              <w:rPr>
                <w:szCs w:val="24"/>
                <w:lang w:eastAsia="en-GB"/>
              </w:rPr>
              <w:t xml:space="preserve">от </w:t>
            </w:r>
            <w:r w:rsidR="004F29CC" w:rsidRPr="00E70C1C">
              <w:rPr>
                <w:szCs w:val="24"/>
                <w:lang w:eastAsia="en-GB"/>
              </w:rPr>
              <w:t>ECSO</w:t>
            </w:r>
            <w:r w:rsidR="004F29CC" w:rsidRPr="00E70C1C">
              <w:rPr>
                <w:szCs w:val="24"/>
                <w:lang w:eastAsia="en-GB"/>
              </w:rPr>
              <w:t xml:space="preserve"> </w:t>
            </w:r>
            <w:r w:rsidRPr="00E70C1C">
              <w:rPr>
                <w:szCs w:val="24"/>
                <w:lang w:eastAsia="en-GB"/>
              </w:rPr>
              <w:t xml:space="preserve">на секретариата </w:t>
            </w:r>
            <w:r w:rsidR="004F29CC">
              <w:rPr>
                <w:szCs w:val="24"/>
                <w:lang w:eastAsia="en-GB"/>
              </w:rPr>
              <w:t xml:space="preserve">на </w:t>
            </w:r>
            <w:r w:rsidR="004F29CC" w:rsidRPr="004F29CC">
              <w:rPr>
                <w:szCs w:val="24"/>
                <w:lang w:eastAsia="en-GB"/>
              </w:rPr>
              <w:t>MSP</w:t>
            </w:r>
            <w:r w:rsidR="004F29CC" w:rsidRPr="00E70C1C">
              <w:rPr>
                <w:szCs w:val="24"/>
                <w:lang w:eastAsia="en-GB"/>
              </w:rPr>
              <w:t xml:space="preserve"> </w:t>
            </w:r>
            <w:r w:rsidRPr="00E70C1C">
              <w:rPr>
                <w:szCs w:val="24"/>
                <w:lang w:eastAsia="en-GB"/>
              </w:rPr>
              <w:t xml:space="preserve">списъка със съществуващите изисквания, стандарти и органи (SOG-IS) за </w:t>
            </w:r>
            <w:proofErr w:type="spellStart"/>
            <w:r w:rsidRPr="00E70C1C">
              <w:rPr>
                <w:szCs w:val="24"/>
                <w:lang w:eastAsia="en-GB"/>
              </w:rPr>
              <w:t>киберсигурността</w:t>
            </w:r>
            <w:proofErr w:type="spellEnd"/>
            <w:r w:rsidRPr="00E70C1C">
              <w:rPr>
                <w:szCs w:val="24"/>
                <w:lang w:eastAsia="en-GB"/>
              </w:rPr>
              <w:t xml:space="preserve"> и схеми за сер</w:t>
            </w:r>
            <w:bookmarkStart w:id="0" w:name="_GoBack"/>
            <w:bookmarkEnd w:id="0"/>
            <w:r w:rsidRPr="00E70C1C">
              <w:rPr>
                <w:szCs w:val="24"/>
                <w:lang w:eastAsia="en-GB"/>
              </w:rPr>
              <w:t xml:space="preserve">тифициране за разпространяване до членовете за </w:t>
            </w:r>
            <w:r w:rsidR="004F29CC" w:rsidRPr="004F29CC">
              <w:rPr>
                <w:szCs w:val="24"/>
                <w:lang w:eastAsia="en-GB"/>
              </w:rPr>
              <w:t>MSP</w:t>
            </w:r>
            <w:r w:rsidRPr="00E70C1C">
              <w:rPr>
                <w:szCs w:val="24"/>
                <w:lang w:eastAsia="en-GB"/>
              </w:rPr>
              <w:t>, с оглед да получ</w:t>
            </w:r>
            <w:r w:rsidR="004F29CC">
              <w:rPr>
                <w:szCs w:val="24"/>
                <w:lang w:eastAsia="en-GB"/>
              </w:rPr>
              <w:t>ат</w:t>
            </w:r>
            <w:r w:rsidRPr="00E70C1C">
              <w:rPr>
                <w:szCs w:val="24"/>
                <w:lang w:eastAsia="en-GB"/>
              </w:rPr>
              <w:t xml:space="preserve"> информация.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pPr>
              <w:spacing w:after="0"/>
              <w:jc w:val="left"/>
              <w:rPr>
                <w:szCs w:val="24"/>
                <w:lang w:eastAsia="en-GB"/>
              </w:rPr>
            </w:pPr>
            <w:r w:rsidRPr="00E70C1C">
              <w:rPr>
                <w:szCs w:val="24"/>
                <w:lang w:eastAsia="en-GB"/>
              </w:rPr>
              <w:t>ECSO</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rsidP="004F29CC">
            <w:pPr>
              <w:spacing w:after="0"/>
              <w:jc w:val="left"/>
              <w:rPr>
                <w:szCs w:val="24"/>
                <w:lang w:eastAsia="en-GB"/>
              </w:rPr>
            </w:pPr>
            <w:r w:rsidRPr="00E70C1C">
              <w:rPr>
                <w:szCs w:val="24"/>
                <w:lang w:eastAsia="en-GB"/>
              </w:rPr>
              <w:t>Преди следващ</w:t>
            </w:r>
            <w:r w:rsidR="004F29CC">
              <w:rPr>
                <w:szCs w:val="24"/>
                <w:lang w:eastAsia="en-GB"/>
              </w:rPr>
              <w:t>ото</w:t>
            </w:r>
            <w:r w:rsidRPr="00E70C1C">
              <w:rPr>
                <w:szCs w:val="24"/>
                <w:lang w:eastAsia="en-GB"/>
              </w:rPr>
              <w:t xml:space="preserve"> </w:t>
            </w:r>
            <w:r w:rsidR="004F29CC" w:rsidRPr="004F29CC">
              <w:rPr>
                <w:szCs w:val="24"/>
                <w:lang w:eastAsia="en-GB"/>
              </w:rPr>
              <w:t>MSP</w:t>
            </w:r>
            <w:r w:rsidR="004F29CC">
              <w:rPr>
                <w:szCs w:val="24"/>
                <w:lang w:eastAsia="en-GB"/>
              </w:rPr>
              <w:t xml:space="preserve"> заседание</w:t>
            </w:r>
          </w:p>
        </w:tc>
      </w:tr>
      <w:tr w:rsidR="00641AA6" w:rsidRPr="00E70C1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pPr>
              <w:spacing w:after="0"/>
              <w:jc w:val="left"/>
              <w:rPr>
                <w:sz w:val="22"/>
                <w:szCs w:val="22"/>
                <w:lang w:eastAsia="en-GB"/>
              </w:rPr>
            </w:pPr>
            <w:r w:rsidRPr="00E70C1C">
              <w:rPr>
                <w:sz w:val="22"/>
                <w:szCs w:val="22"/>
                <w:lang w:eastAsia="en-GB"/>
              </w:rPr>
              <w:t>20.5</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4F29CC" w:rsidP="004F29CC">
            <w:r w:rsidRPr="004F29CC">
              <w:rPr>
                <w:szCs w:val="24"/>
                <w:lang w:eastAsia="en-GB"/>
              </w:rPr>
              <w:t>MSP</w:t>
            </w:r>
            <w:r w:rsidRPr="00E70C1C">
              <w:t xml:space="preserve"> </w:t>
            </w:r>
            <w:r w:rsidR="00127C39" w:rsidRPr="00E70C1C">
              <w:t xml:space="preserve">членовете да изпратят конкретни искания, </w:t>
            </w:r>
            <w:r>
              <w:t>и приноси относно</w:t>
            </w:r>
            <w:r w:rsidR="00127C39" w:rsidRPr="00E70C1C">
              <w:t xml:space="preserve"> ECSO към </w:t>
            </w:r>
            <w:r w:rsidRPr="004F29CC">
              <w:rPr>
                <w:szCs w:val="24"/>
                <w:lang w:eastAsia="en-GB"/>
              </w:rPr>
              <w:t>MSP</w:t>
            </w:r>
            <w:r w:rsidRPr="00E70C1C">
              <w:t xml:space="preserve"> </w:t>
            </w:r>
            <w:r w:rsidR="00127C39" w:rsidRPr="00E70C1C">
              <w:t>секретариат</w:t>
            </w:r>
            <w:r>
              <w:t>а</w:t>
            </w:r>
            <w:r w:rsidR="00127C39" w:rsidRPr="00E70C1C">
              <w:t xml:space="preserve">, който ще </w:t>
            </w:r>
            <w:r>
              <w:t xml:space="preserve">ги </w:t>
            </w:r>
            <w:r w:rsidR="00127C39" w:rsidRPr="00E70C1C">
              <w:t>съб</w:t>
            </w:r>
            <w:r>
              <w:t>ере</w:t>
            </w:r>
            <w:r w:rsidR="00127C39" w:rsidRPr="00E70C1C">
              <w:t xml:space="preserve"> и </w:t>
            </w:r>
            <w:r>
              <w:t>ще ги</w:t>
            </w:r>
            <w:r w:rsidR="00127C39" w:rsidRPr="00E70C1C">
              <w:t xml:space="preserve"> предлож</w:t>
            </w:r>
            <w:r>
              <w:t>и</w:t>
            </w:r>
            <w:r w:rsidR="00127C39" w:rsidRPr="00E70C1C">
              <w:t xml:space="preserve"> </w:t>
            </w:r>
            <w:r>
              <w:t xml:space="preserve">на </w:t>
            </w:r>
            <w:r w:rsidR="00127C39" w:rsidRPr="00E70C1C">
              <w:t xml:space="preserve">ECSO </w:t>
            </w:r>
            <w:r>
              <w:t xml:space="preserve">за </w:t>
            </w:r>
            <w:r w:rsidR="00127C39" w:rsidRPr="00E70C1C">
              <w:t>по-нататъшни обсъждания.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4F29CC">
            <w:pPr>
              <w:spacing w:after="0"/>
              <w:jc w:val="left"/>
              <w:rPr>
                <w:szCs w:val="24"/>
                <w:lang w:eastAsia="en-GB"/>
              </w:rPr>
            </w:pPr>
            <w:r w:rsidRPr="004F29CC">
              <w:rPr>
                <w:szCs w:val="24"/>
                <w:lang w:eastAsia="en-GB"/>
              </w:rPr>
              <w:t xml:space="preserve">MSP </w:t>
            </w:r>
            <w:r w:rsidR="00127C39" w:rsidRPr="00E70C1C">
              <w:rPr>
                <w:szCs w:val="24"/>
                <w:lang w:eastAsia="en-GB"/>
              </w:rPr>
              <w:t>членове</w:t>
            </w:r>
          </w:p>
          <w:p w:rsidR="00641AA6" w:rsidRPr="00E70C1C" w:rsidRDefault="00641AA6">
            <w:pPr>
              <w:spacing w:after="0"/>
              <w:jc w:val="left"/>
              <w:rPr>
                <w:color w:val="C6D9F1"/>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1AA6" w:rsidRPr="00E70C1C" w:rsidRDefault="00127C39" w:rsidP="004F29CC">
            <w:pPr>
              <w:spacing w:after="0"/>
              <w:jc w:val="left"/>
              <w:rPr>
                <w:szCs w:val="24"/>
                <w:lang w:eastAsia="en-GB"/>
              </w:rPr>
            </w:pPr>
            <w:r w:rsidRPr="00E70C1C">
              <w:rPr>
                <w:szCs w:val="24"/>
                <w:lang w:eastAsia="en-GB"/>
              </w:rPr>
              <w:t>Преди следващ</w:t>
            </w:r>
            <w:r w:rsidR="004F29CC">
              <w:rPr>
                <w:szCs w:val="24"/>
                <w:lang w:eastAsia="en-GB"/>
              </w:rPr>
              <w:t>ото</w:t>
            </w:r>
            <w:r w:rsidRPr="00E70C1C">
              <w:rPr>
                <w:szCs w:val="24"/>
                <w:lang w:eastAsia="en-GB"/>
              </w:rPr>
              <w:t xml:space="preserve"> </w:t>
            </w:r>
            <w:r w:rsidR="004F29CC" w:rsidRPr="004F29CC">
              <w:rPr>
                <w:szCs w:val="24"/>
                <w:lang w:eastAsia="en-GB"/>
              </w:rPr>
              <w:t>MSP</w:t>
            </w:r>
            <w:r w:rsidR="004F29CC">
              <w:rPr>
                <w:szCs w:val="24"/>
                <w:lang w:eastAsia="en-GB"/>
              </w:rPr>
              <w:t xml:space="preserve"> заседание</w:t>
            </w:r>
          </w:p>
        </w:tc>
      </w:tr>
    </w:tbl>
    <w:p w:rsidR="00641AA6" w:rsidRPr="00E70C1C" w:rsidRDefault="00641AA6">
      <w:pPr>
        <w:pStyle w:val="ListParagraph"/>
        <w:ind w:left="360"/>
        <w:rPr>
          <w:b/>
        </w:rPr>
      </w:pPr>
    </w:p>
    <w:p w:rsidR="00641AA6" w:rsidRPr="00E70C1C" w:rsidRDefault="00127C39">
      <w:pPr>
        <w:pStyle w:val="Heading1"/>
        <w:numPr>
          <w:ilvl w:val="0"/>
          <w:numId w:val="4"/>
        </w:numPr>
      </w:pPr>
      <w:r w:rsidRPr="00E70C1C">
        <w:t>Списък на участниците</w:t>
      </w:r>
    </w:p>
    <w:p w:rsidR="00641AA6" w:rsidRPr="00E70C1C" w:rsidRDefault="004F29CC">
      <w:pPr>
        <w:pStyle w:val="Text1"/>
        <w:ind w:left="0"/>
      </w:pPr>
      <w:proofErr w:type="spellStart"/>
      <w:r w:rsidRPr="004F29CC">
        <w:t>Abrahamse</w:t>
      </w:r>
      <w:proofErr w:type="spellEnd"/>
      <w:r w:rsidRPr="004F29CC">
        <w:t xml:space="preserve"> </w:t>
      </w:r>
      <w:proofErr w:type="spellStart"/>
      <w:r w:rsidRPr="004F29CC">
        <w:t>Marijke</w:t>
      </w:r>
      <w:proofErr w:type="spellEnd"/>
      <w:r w:rsidRPr="004F29CC">
        <w:t xml:space="preserve">, </w:t>
      </w:r>
      <w:proofErr w:type="spellStart"/>
      <w:r w:rsidRPr="004F29CC">
        <w:t>Amutio</w:t>
      </w:r>
      <w:proofErr w:type="spellEnd"/>
      <w:r w:rsidRPr="004F29CC">
        <w:t xml:space="preserve"> </w:t>
      </w:r>
      <w:proofErr w:type="spellStart"/>
      <w:r w:rsidRPr="004F29CC">
        <w:t>Miguel</w:t>
      </w:r>
      <w:proofErr w:type="spellEnd"/>
      <w:r w:rsidRPr="004F29CC">
        <w:t xml:space="preserve">, </w:t>
      </w:r>
      <w:proofErr w:type="spellStart"/>
      <w:r w:rsidRPr="004F29CC">
        <w:t>Barthel</w:t>
      </w:r>
      <w:proofErr w:type="spellEnd"/>
      <w:r w:rsidRPr="004F29CC">
        <w:t xml:space="preserve"> </w:t>
      </w:r>
      <w:proofErr w:type="spellStart"/>
      <w:r w:rsidRPr="004F29CC">
        <w:t>Henri</w:t>
      </w:r>
      <w:proofErr w:type="spellEnd"/>
      <w:r w:rsidRPr="004F29CC">
        <w:t xml:space="preserve">, </w:t>
      </w:r>
      <w:proofErr w:type="spellStart"/>
      <w:r w:rsidRPr="004F29CC">
        <w:t>Björkander</w:t>
      </w:r>
      <w:proofErr w:type="spellEnd"/>
      <w:r w:rsidRPr="004F29CC">
        <w:t xml:space="preserve"> </w:t>
      </w:r>
      <w:proofErr w:type="spellStart"/>
      <w:r w:rsidRPr="004F29CC">
        <w:t>Susanne</w:t>
      </w:r>
      <w:proofErr w:type="spellEnd"/>
      <w:r w:rsidRPr="004F29CC">
        <w:t xml:space="preserve">, </w:t>
      </w:r>
      <w:proofErr w:type="spellStart"/>
      <w:r w:rsidRPr="004F29CC">
        <w:t>Brand</w:t>
      </w:r>
      <w:proofErr w:type="spellEnd"/>
      <w:r w:rsidRPr="004F29CC">
        <w:t xml:space="preserve"> </w:t>
      </w:r>
      <w:proofErr w:type="spellStart"/>
      <w:r w:rsidRPr="004F29CC">
        <w:t>Henri</w:t>
      </w:r>
      <w:proofErr w:type="spellEnd"/>
      <w:r w:rsidRPr="004F29CC">
        <w:t xml:space="preserve">, </w:t>
      </w:r>
      <w:proofErr w:type="spellStart"/>
      <w:r w:rsidRPr="004F29CC">
        <w:t>Benezit</w:t>
      </w:r>
      <w:proofErr w:type="spellEnd"/>
      <w:r w:rsidRPr="004F29CC">
        <w:t xml:space="preserve"> </w:t>
      </w:r>
      <w:proofErr w:type="spellStart"/>
      <w:r w:rsidRPr="004F29CC">
        <w:t>Florence</w:t>
      </w:r>
      <w:proofErr w:type="spellEnd"/>
      <w:r w:rsidRPr="004F29CC">
        <w:t xml:space="preserve">, </w:t>
      </w:r>
      <w:proofErr w:type="spellStart"/>
      <w:r w:rsidRPr="004F29CC">
        <w:t>Cabellos</w:t>
      </w:r>
      <w:proofErr w:type="spellEnd"/>
      <w:r w:rsidRPr="004F29CC">
        <w:t xml:space="preserve"> Mario (</w:t>
      </w:r>
      <w:proofErr w:type="spellStart"/>
      <w:r w:rsidRPr="004F29CC">
        <w:t>invited</w:t>
      </w:r>
      <w:proofErr w:type="spellEnd"/>
      <w:r w:rsidRPr="004F29CC">
        <w:t xml:space="preserve"> </w:t>
      </w:r>
      <w:proofErr w:type="spellStart"/>
      <w:r w:rsidRPr="004F29CC">
        <w:t>Everis</w:t>
      </w:r>
      <w:proofErr w:type="spellEnd"/>
      <w:r w:rsidRPr="004F29CC">
        <w:t xml:space="preserve">), </w:t>
      </w:r>
      <w:proofErr w:type="spellStart"/>
      <w:r w:rsidRPr="004F29CC">
        <w:t>Caccia</w:t>
      </w:r>
      <w:proofErr w:type="spellEnd"/>
      <w:r w:rsidRPr="004F29CC">
        <w:t xml:space="preserve"> </w:t>
      </w:r>
      <w:proofErr w:type="spellStart"/>
      <w:r w:rsidRPr="004F29CC">
        <w:t>Andrea</w:t>
      </w:r>
      <w:proofErr w:type="spellEnd"/>
      <w:r w:rsidRPr="004F29CC">
        <w:t xml:space="preserve">, </w:t>
      </w:r>
      <w:proofErr w:type="spellStart"/>
      <w:r w:rsidRPr="004F29CC">
        <w:t>Cosgrove-Sacks</w:t>
      </w:r>
      <w:proofErr w:type="spellEnd"/>
      <w:r w:rsidRPr="004F29CC">
        <w:t xml:space="preserve"> </w:t>
      </w:r>
      <w:proofErr w:type="spellStart"/>
      <w:r w:rsidRPr="004F29CC">
        <w:t>Carole</w:t>
      </w:r>
      <w:proofErr w:type="spellEnd"/>
      <w:r w:rsidRPr="004F29CC">
        <w:t xml:space="preserve">, </w:t>
      </w:r>
      <w:proofErr w:type="spellStart"/>
      <w:r w:rsidRPr="004F29CC">
        <w:t>Chapman</w:t>
      </w:r>
      <w:proofErr w:type="spellEnd"/>
      <w:r w:rsidRPr="004F29CC">
        <w:t xml:space="preserve"> Martin, </w:t>
      </w:r>
      <w:proofErr w:type="spellStart"/>
      <w:r w:rsidRPr="004F29CC">
        <w:t>Craik</w:t>
      </w:r>
      <w:proofErr w:type="spellEnd"/>
      <w:r w:rsidRPr="004F29CC">
        <w:t xml:space="preserve"> </w:t>
      </w:r>
      <w:proofErr w:type="spellStart"/>
      <w:r w:rsidRPr="004F29CC">
        <w:t>Gavin</w:t>
      </w:r>
      <w:proofErr w:type="spellEnd"/>
      <w:r w:rsidRPr="004F29CC">
        <w:t xml:space="preserve">, De </w:t>
      </w:r>
      <w:proofErr w:type="spellStart"/>
      <w:r w:rsidRPr="004F29CC">
        <w:t>Leeuw</w:t>
      </w:r>
      <w:proofErr w:type="spellEnd"/>
      <w:r w:rsidRPr="004F29CC">
        <w:t xml:space="preserve"> </w:t>
      </w:r>
      <w:proofErr w:type="spellStart"/>
      <w:r w:rsidRPr="004F29CC">
        <w:t>Lisa</w:t>
      </w:r>
      <w:proofErr w:type="spellEnd"/>
      <w:r w:rsidRPr="004F29CC">
        <w:t xml:space="preserve">, </w:t>
      </w:r>
      <w:proofErr w:type="spellStart"/>
      <w:r w:rsidRPr="004F29CC">
        <w:t>Davidson</w:t>
      </w:r>
      <w:proofErr w:type="spellEnd"/>
      <w:r w:rsidRPr="004F29CC">
        <w:t xml:space="preserve"> </w:t>
      </w:r>
      <w:proofErr w:type="spellStart"/>
      <w:r w:rsidRPr="004F29CC">
        <w:t>Christel</w:t>
      </w:r>
      <w:proofErr w:type="spellEnd"/>
      <w:r w:rsidRPr="004F29CC">
        <w:t xml:space="preserve">, </w:t>
      </w:r>
      <w:proofErr w:type="spellStart"/>
      <w:r w:rsidRPr="004F29CC">
        <w:t>Dan</w:t>
      </w:r>
      <w:proofErr w:type="spellEnd"/>
      <w:r w:rsidRPr="004F29CC">
        <w:t xml:space="preserve"> </w:t>
      </w:r>
      <w:proofErr w:type="spellStart"/>
      <w:r w:rsidRPr="004F29CC">
        <w:t>Mette</w:t>
      </w:r>
      <w:proofErr w:type="spellEnd"/>
      <w:r w:rsidRPr="004F29CC">
        <w:t xml:space="preserve">, </w:t>
      </w:r>
      <w:proofErr w:type="spellStart"/>
      <w:r w:rsidRPr="004F29CC">
        <w:t>Dor</w:t>
      </w:r>
      <w:proofErr w:type="spellEnd"/>
      <w:r w:rsidRPr="004F29CC">
        <w:t xml:space="preserve"> </w:t>
      </w:r>
      <w:proofErr w:type="spellStart"/>
      <w:r w:rsidRPr="004F29CC">
        <w:t>Margot</w:t>
      </w:r>
      <w:proofErr w:type="spellEnd"/>
      <w:r w:rsidRPr="004F29CC">
        <w:t xml:space="preserve">, </w:t>
      </w:r>
      <w:proofErr w:type="spellStart"/>
      <w:r w:rsidRPr="004F29CC">
        <w:t>Encarnação</w:t>
      </w:r>
      <w:proofErr w:type="spellEnd"/>
      <w:r w:rsidRPr="004F29CC">
        <w:t xml:space="preserve"> </w:t>
      </w:r>
      <w:proofErr w:type="spellStart"/>
      <w:r w:rsidRPr="004F29CC">
        <w:t>Nuno</w:t>
      </w:r>
      <w:proofErr w:type="spellEnd"/>
      <w:r w:rsidRPr="004F29CC">
        <w:t xml:space="preserve">, </w:t>
      </w:r>
      <w:proofErr w:type="spellStart"/>
      <w:r w:rsidRPr="004F29CC">
        <w:t>Ferrazza</w:t>
      </w:r>
      <w:proofErr w:type="spellEnd"/>
      <w:r w:rsidRPr="004F29CC">
        <w:t xml:space="preserve"> </w:t>
      </w:r>
      <w:proofErr w:type="spellStart"/>
      <w:r w:rsidRPr="004F29CC">
        <w:t>Marcellino</w:t>
      </w:r>
      <w:proofErr w:type="spellEnd"/>
      <w:r w:rsidRPr="004F29CC">
        <w:t xml:space="preserve">, </w:t>
      </w:r>
      <w:proofErr w:type="spellStart"/>
      <w:r w:rsidRPr="004F29CC">
        <w:t>Friedrich</w:t>
      </w:r>
      <w:proofErr w:type="spellEnd"/>
      <w:r w:rsidRPr="004F29CC">
        <w:t xml:space="preserve"> </w:t>
      </w:r>
      <w:proofErr w:type="spellStart"/>
      <w:r w:rsidRPr="004F29CC">
        <w:t>Jochen</w:t>
      </w:r>
      <w:proofErr w:type="spellEnd"/>
      <w:r w:rsidRPr="004F29CC">
        <w:t xml:space="preserve">, </w:t>
      </w:r>
      <w:proofErr w:type="spellStart"/>
      <w:r w:rsidRPr="004F29CC">
        <w:t>Hanssens</w:t>
      </w:r>
      <w:proofErr w:type="spellEnd"/>
      <w:r w:rsidRPr="004F29CC">
        <w:t xml:space="preserve"> </w:t>
      </w:r>
      <w:proofErr w:type="spellStart"/>
      <w:r w:rsidRPr="004F29CC">
        <w:t>Bart</w:t>
      </w:r>
      <w:proofErr w:type="spellEnd"/>
      <w:r w:rsidRPr="004F29CC">
        <w:t xml:space="preserve">, </w:t>
      </w:r>
      <w:proofErr w:type="spellStart"/>
      <w:r w:rsidRPr="004F29CC">
        <w:t>Hicks</w:t>
      </w:r>
      <w:proofErr w:type="spellEnd"/>
      <w:r w:rsidRPr="004F29CC">
        <w:t xml:space="preserve"> </w:t>
      </w:r>
      <w:proofErr w:type="spellStart"/>
      <w:r w:rsidRPr="004F29CC">
        <w:t>Simon</w:t>
      </w:r>
      <w:proofErr w:type="spellEnd"/>
      <w:r w:rsidRPr="004F29CC">
        <w:t xml:space="preserve">, </w:t>
      </w:r>
      <w:proofErr w:type="spellStart"/>
      <w:r w:rsidRPr="004F29CC">
        <w:t>Kaunistola</w:t>
      </w:r>
      <w:proofErr w:type="spellEnd"/>
      <w:r w:rsidRPr="004F29CC">
        <w:t xml:space="preserve"> </w:t>
      </w:r>
      <w:proofErr w:type="spellStart"/>
      <w:r w:rsidRPr="004F29CC">
        <w:t>Esa</w:t>
      </w:r>
      <w:proofErr w:type="spellEnd"/>
      <w:r w:rsidRPr="004F29CC">
        <w:t xml:space="preserve">, </w:t>
      </w:r>
      <w:proofErr w:type="spellStart"/>
      <w:r w:rsidRPr="004F29CC">
        <w:t>Kohler</w:t>
      </w:r>
      <w:proofErr w:type="spellEnd"/>
      <w:r w:rsidRPr="004F29CC">
        <w:t xml:space="preserve"> </w:t>
      </w:r>
      <w:proofErr w:type="spellStart"/>
      <w:r w:rsidRPr="004F29CC">
        <w:t>Constant</w:t>
      </w:r>
      <w:proofErr w:type="spellEnd"/>
      <w:r w:rsidRPr="004F29CC">
        <w:t xml:space="preserve">, </w:t>
      </w:r>
      <w:proofErr w:type="spellStart"/>
      <w:r w:rsidRPr="004F29CC">
        <w:t>Kuebler-Bork</w:t>
      </w:r>
      <w:proofErr w:type="spellEnd"/>
      <w:r w:rsidRPr="004F29CC">
        <w:t xml:space="preserve"> </w:t>
      </w:r>
      <w:proofErr w:type="spellStart"/>
      <w:r w:rsidRPr="004F29CC">
        <w:t>Annegret</w:t>
      </w:r>
      <w:proofErr w:type="spellEnd"/>
      <w:r w:rsidRPr="004F29CC">
        <w:t xml:space="preserve">, </w:t>
      </w:r>
      <w:proofErr w:type="spellStart"/>
      <w:r w:rsidRPr="004F29CC">
        <w:t>Myhre</w:t>
      </w:r>
      <w:proofErr w:type="spellEnd"/>
      <w:r w:rsidRPr="004F29CC">
        <w:t xml:space="preserve"> </w:t>
      </w:r>
      <w:proofErr w:type="spellStart"/>
      <w:r w:rsidRPr="004F29CC">
        <w:t>Lars</w:t>
      </w:r>
      <w:proofErr w:type="spellEnd"/>
      <w:r w:rsidRPr="004F29CC">
        <w:t xml:space="preserve"> </w:t>
      </w:r>
      <w:proofErr w:type="spellStart"/>
      <w:r w:rsidRPr="004F29CC">
        <w:t>Erik</w:t>
      </w:r>
      <w:proofErr w:type="spellEnd"/>
      <w:r w:rsidRPr="004F29CC">
        <w:t xml:space="preserve">, </w:t>
      </w:r>
      <w:proofErr w:type="spellStart"/>
      <w:r w:rsidRPr="004F29CC">
        <w:t>McAuliffe</w:t>
      </w:r>
      <w:proofErr w:type="spellEnd"/>
      <w:r w:rsidRPr="004F29CC">
        <w:t xml:space="preserve"> </w:t>
      </w:r>
      <w:proofErr w:type="spellStart"/>
      <w:r w:rsidRPr="004F29CC">
        <w:t>Brian</w:t>
      </w:r>
      <w:proofErr w:type="spellEnd"/>
      <w:r w:rsidRPr="004F29CC">
        <w:t xml:space="preserve">, </w:t>
      </w:r>
      <w:proofErr w:type="spellStart"/>
      <w:r w:rsidRPr="004F29CC">
        <w:t>Law</w:t>
      </w:r>
      <w:proofErr w:type="spellEnd"/>
      <w:r w:rsidRPr="004F29CC">
        <w:t xml:space="preserve"> </w:t>
      </w:r>
      <w:proofErr w:type="spellStart"/>
      <w:r w:rsidRPr="004F29CC">
        <w:t>David</w:t>
      </w:r>
      <w:proofErr w:type="spellEnd"/>
      <w:r w:rsidRPr="004F29CC">
        <w:t xml:space="preserve">, </w:t>
      </w:r>
      <w:proofErr w:type="spellStart"/>
      <w:r w:rsidRPr="004F29CC">
        <w:t>Lindberg</w:t>
      </w:r>
      <w:proofErr w:type="spellEnd"/>
      <w:r w:rsidRPr="004F29CC">
        <w:t xml:space="preserve"> </w:t>
      </w:r>
      <w:proofErr w:type="spellStart"/>
      <w:r w:rsidRPr="004F29CC">
        <w:t>Anders</w:t>
      </w:r>
      <w:proofErr w:type="spellEnd"/>
      <w:r w:rsidRPr="004F29CC">
        <w:t xml:space="preserve">, </w:t>
      </w:r>
      <w:proofErr w:type="spellStart"/>
      <w:r w:rsidRPr="004F29CC">
        <w:t>Lovegrove</w:t>
      </w:r>
      <w:proofErr w:type="spellEnd"/>
      <w:r w:rsidRPr="004F29CC">
        <w:t xml:space="preserve"> </w:t>
      </w:r>
      <w:proofErr w:type="spellStart"/>
      <w:r w:rsidRPr="004F29CC">
        <w:t>James</w:t>
      </w:r>
      <w:proofErr w:type="spellEnd"/>
      <w:r w:rsidRPr="004F29CC">
        <w:t xml:space="preserve">, </w:t>
      </w:r>
      <w:proofErr w:type="spellStart"/>
      <w:r w:rsidRPr="004F29CC">
        <w:t>Ludwig</w:t>
      </w:r>
      <w:proofErr w:type="spellEnd"/>
      <w:r w:rsidRPr="004F29CC">
        <w:t xml:space="preserve"> </w:t>
      </w:r>
      <w:proofErr w:type="spellStart"/>
      <w:r w:rsidRPr="004F29CC">
        <w:t>Michel</w:t>
      </w:r>
      <w:proofErr w:type="spellEnd"/>
      <w:r w:rsidRPr="004F29CC">
        <w:t xml:space="preserve">, </w:t>
      </w:r>
      <w:proofErr w:type="spellStart"/>
      <w:r w:rsidRPr="004F29CC">
        <w:t>Madfors</w:t>
      </w:r>
      <w:proofErr w:type="spellEnd"/>
      <w:r w:rsidRPr="004F29CC">
        <w:t xml:space="preserve"> </w:t>
      </w:r>
      <w:proofErr w:type="spellStart"/>
      <w:r w:rsidRPr="004F29CC">
        <w:t>Magnus</w:t>
      </w:r>
      <w:proofErr w:type="spellEnd"/>
      <w:r w:rsidRPr="004F29CC">
        <w:t xml:space="preserve">, </w:t>
      </w:r>
      <w:proofErr w:type="spellStart"/>
      <w:r w:rsidRPr="004F29CC">
        <w:t>Muto</w:t>
      </w:r>
      <w:proofErr w:type="spellEnd"/>
      <w:r w:rsidRPr="004F29CC">
        <w:t xml:space="preserve"> </w:t>
      </w:r>
      <w:proofErr w:type="spellStart"/>
      <w:r w:rsidRPr="004F29CC">
        <w:t>Sachiko</w:t>
      </w:r>
      <w:proofErr w:type="spellEnd"/>
      <w:r w:rsidRPr="004F29CC">
        <w:t xml:space="preserve">, </w:t>
      </w:r>
      <w:proofErr w:type="spellStart"/>
      <w:r w:rsidRPr="004F29CC">
        <w:t>Ojala</w:t>
      </w:r>
      <w:proofErr w:type="spellEnd"/>
      <w:r w:rsidRPr="004F29CC">
        <w:t xml:space="preserve"> </w:t>
      </w:r>
      <w:proofErr w:type="spellStart"/>
      <w:r w:rsidRPr="004F29CC">
        <w:t>Hannu</w:t>
      </w:r>
      <w:proofErr w:type="spellEnd"/>
      <w:r w:rsidRPr="004F29CC">
        <w:t xml:space="preserve">, </w:t>
      </w:r>
      <w:proofErr w:type="spellStart"/>
      <w:r w:rsidRPr="004F29CC">
        <w:t>Ostensen</w:t>
      </w:r>
      <w:proofErr w:type="spellEnd"/>
      <w:r w:rsidRPr="004F29CC">
        <w:t xml:space="preserve"> </w:t>
      </w:r>
      <w:proofErr w:type="spellStart"/>
      <w:r w:rsidRPr="004F29CC">
        <w:t>Olaf</w:t>
      </w:r>
      <w:proofErr w:type="spellEnd"/>
      <w:r w:rsidRPr="004F29CC">
        <w:t xml:space="preserve"> </w:t>
      </w:r>
      <w:proofErr w:type="spellStart"/>
      <w:r w:rsidRPr="004F29CC">
        <w:t>Magnus</w:t>
      </w:r>
      <w:proofErr w:type="spellEnd"/>
      <w:r w:rsidRPr="004F29CC">
        <w:t xml:space="preserve">, Pesheva Daniela, </w:t>
      </w:r>
      <w:proofErr w:type="spellStart"/>
      <w:r w:rsidRPr="004F29CC">
        <w:t>Poggiali</w:t>
      </w:r>
      <w:proofErr w:type="spellEnd"/>
      <w:r w:rsidRPr="004F29CC">
        <w:t xml:space="preserve"> </w:t>
      </w:r>
      <w:proofErr w:type="spellStart"/>
      <w:r w:rsidRPr="004F29CC">
        <w:t>Francesca</w:t>
      </w:r>
      <w:proofErr w:type="spellEnd"/>
      <w:r w:rsidRPr="004F29CC">
        <w:t xml:space="preserve">, </w:t>
      </w:r>
      <w:proofErr w:type="spellStart"/>
      <w:r w:rsidRPr="004F29CC">
        <w:t>Porath</w:t>
      </w:r>
      <w:proofErr w:type="spellEnd"/>
      <w:r w:rsidRPr="004F29CC">
        <w:t xml:space="preserve"> </w:t>
      </w:r>
      <w:proofErr w:type="spellStart"/>
      <w:r w:rsidRPr="004F29CC">
        <w:t>Rebekka</w:t>
      </w:r>
      <w:proofErr w:type="spellEnd"/>
      <w:r w:rsidRPr="004F29CC">
        <w:t xml:space="preserve">, </w:t>
      </w:r>
      <w:proofErr w:type="spellStart"/>
      <w:r w:rsidRPr="004F29CC">
        <w:t>Polidori</w:t>
      </w:r>
      <w:proofErr w:type="spellEnd"/>
      <w:r w:rsidRPr="004F29CC">
        <w:t xml:space="preserve"> </w:t>
      </w:r>
      <w:proofErr w:type="spellStart"/>
      <w:r w:rsidRPr="004F29CC">
        <w:t>Stefano</w:t>
      </w:r>
      <w:proofErr w:type="spellEnd"/>
      <w:r w:rsidRPr="004F29CC">
        <w:t xml:space="preserve">, </w:t>
      </w:r>
      <w:proofErr w:type="spellStart"/>
      <w:r w:rsidRPr="004F29CC">
        <w:t>Sebestyén</w:t>
      </w:r>
      <w:proofErr w:type="spellEnd"/>
      <w:r w:rsidRPr="004F29CC">
        <w:t xml:space="preserve"> </w:t>
      </w:r>
      <w:proofErr w:type="spellStart"/>
      <w:r w:rsidRPr="004F29CC">
        <w:t>István</w:t>
      </w:r>
      <w:proofErr w:type="spellEnd"/>
      <w:r w:rsidRPr="004F29CC">
        <w:t xml:space="preserve">, </w:t>
      </w:r>
      <w:proofErr w:type="spellStart"/>
      <w:r w:rsidRPr="004F29CC">
        <w:t>Skop</w:t>
      </w:r>
      <w:proofErr w:type="spellEnd"/>
      <w:r w:rsidRPr="004F29CC">
        <w:t xml:space="preserve"> Miroslav, </w:t>
      </w:r>
      <w:proofErr w:type="spellStart"/>
      <w:r w:rsidRPr="004F29CC">
        <w:t>Szilva</w:t>
      </w:r>
      <w:proofErr w:type="spellEnd"/>
      <w:r w:rsidRPr="004F29CC">
        <w:t xml:space="preserve"> </w:t>
      </w:r>
      <w:proofErr w:type="spellStart"/>
      <w:r w:rsidRPr="004F29CC">
        <w:t>Stefan</w:t>
      </w:r>
      <w:proofErr w:type="spellEnd"/>
      <w:r w:rsidRPr="004F29CC">
        <w:t xml:space="preserve">, Van </w:t>
      </w:r>
      <w:proofErr w:type="spellStart"/>
      <w:r w:rsidRPr="004F29CC">
        <w:t>Burg</w:t>
      </w:r>
      <w:proofErr w:type="spellEnd"/>
      <w:r w:rsidRPr="004F29CC">
        <w:t xml:space="preserve"> </w:t>
      </w:r>
      <w:proofErr w:type="spellStart"/>
      <w:r w:rsidRPr="004F29CC">
        <w:t>Harm</w:t>
      </w:r>
      <w:proofErr w:type="spellEnd"/>
      <w:r w:rsidRPr="004F29CC">
        <w:t xml:space="preserve"> </w:t>
      </w:r>
      <w:proofErr w:type="spellStart"/>
      <w:r w:rsidRPr="004F29CC">
        <w:t>Jan</w:t>
      </w:r>
      <w:proofErr w:type="spellEnd"/>
      <w:r w:rsidRPr="004F29CC">
        <w:t xml:space="preserve">, </w:t>
      </w:r>
      <w:proofErr w:type="spellStart"/>
      <w:r w:rsidRPr="004F29CC">
        <w:t>Wenning</w:t>
      </w:r>
      <w:proofErr w:type="spellEnd"/>
      <w:r w:rsidRPr="004F29CC">
        <w:t xml:space="preserve"> </w:t>
      </w:r>
      <w:proofErr w:type="spellStart"/>
      <w:r w:rsidRPr="004F29CC">
        <w:t>Rigo</w:t>
      </w:r>
      <w:proofErr w:type="spellEnd"/>
      <w:r w:rsidRPr="004F29CC">
        <w:t xml:space="preserve">, </w:t>
      </w:r>
      <w:proofErr w:type="spellStart"/>
      <w:r w:rsidRPr="004F29CC">
        <w:t>Weisgerber</w:t>
      </w:r>
      <w:proofErr w:type="spellEnd"/>
      <w:r w:rsidRPr="004F29CC">
        <w:t xml:space="preserve"> </w:t>
      </w:r>
      <w:proofErr w:type="spellStart"/>
      <w:r w:rsidRPr="004F29CC">
        <w:t>Stefan</w:t>
      </w:r>
      <w:proofErr w:type="spellEnd"/>
      <w:r w:rsidRPr="004F29CC">
        <w:t xml:space="preserve">, </w:t>
      </w:r>
      <w:proofErr w:type="spellStart"/>
      <w:r w:rsidRPr="004F29CC">
        <w:t>Wirths</w:t>
      </w:r>
      <w:proofErr w:type="spellEnd"/>
      <w:r w:rsidRPr="004F29CC">
        <w:t xml:space="preserve"> </w:t>
      </w:r>
      <w:proofErr w:type="spellStart"/>
      <w:r w:rsidRPr="004F29CC">
        <w:t>Franziska</w:t>
      </w:r>
      <w:proofErr w:type="spellEnd"/>
      <w:r w:rsidRPr="004F29CC">
        <w:t xml:space="preserve">, </w:t>
      </w:r>
      <w:proofErr w:type="spellStart"/>
      <w:r w:rsidRPr="004F29CC">
        <w:t>Wurges</w:t>
      </w:r>
      <w:proofErr w:type="spellEnd"/>
      <w:r w:rsidRPr="004F29CC">
        <w:t xml:space="preserve"> </w:t>
      </w:r>
      <w:proofErr w:type="spellStart"/>
      <w:r w:rsidRPr="004F29CC">
        <w:t>Dominique</w:t>
      </w:r>
      <w:proofErr w:type="spellEnd"/>
      <w:r w:rsidRPr="004F29CC">
        <w:t xml:space="preserve">, </w:t>
      </w:r>
      <w:proofErr w:type="spellStart"/>
      <w:r w:rsidRPr="004F29CC">
        <w:t>Zorc</w:t>
      </w:r>
      <w:proofErr w:type="spellEnd"/>
      <w:r w:rsidRPr="004F29CC">
        <w:t xml:space="preserve"> </w:t>
      </w:r>
      <w:proofErr w:type="spellStart"/>
      <w:r w:rsidRPr="004F29CC">
        <w:t>Samo</w:t>
      </w:r>
      <w:proofErr w:type="spellEnd"/>
      <w:r w:rsidR="00127C39" w:rsidRPr="00E70C1C">
        <w:t>, служители на Европейската комисия.</w:t>
      </w:r>
    </w:p>
    <w:sectPr w:rsidR="00641AA6" w:rsidRPr="00E70C1C">
      <w:headerReference w:type="default" r:id="rId28"/>
      <w:footerReference w:type="default" r:id="rId29"/>
      <w:headerReference w:type="first" r:id="rId30"/>
      <w:footerReference w:type="first" r:id="rId31"/>
      <w:pgSz w:w="11906" w:h="16838"/>
      <w:pgMar w:top="1020" w:right="1133" w:bottom="1020" w:left="1587" w:header="601" w:footer="533"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DB" w:rsidRDefault="004C19DB">
      <w:pPr>
        <w:spacing w:after="0"/>
      </w:pPr>
      <w:r>
        <w:separator/>
      </w:r>
    </w:p>
  </w:endnote>
  <w:endnote w:type="continuationSeparator" w:id="0">
    <w:p w:rsidR="004C19DB" w:rsidRDefault="004C1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Bitstream Vera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6B" w:rsidRDefault="00F3586B">
    <w:pPr>
      <w:pStyle w:val="Footer"/>
      <w:jc w:val="center"/>
    </w:pPr>
    <w:r>
      <w:fldChar w:fldCharType="begin"/>
    </w:r>
    <w:r>
      <w:instrText>PAGE</w:instrText>
    </w:r>
    <w:r>
      <w:fldChar w:fldCharType="separate"/>
    </w:r>
    <w:r w:rsidR="004F29CC">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6B" w:rsidRDefault="00F3586B">
    <w:pPr>
      <w:pStyle w:val="Footer"/>
      <w:rPr>
        <w:sz w:val="24"/>
        <w:szCs w:val="24"/>
        <w:lang w:val="en-US"/>
      </w:rPr>
    </w:pPr>
  </w:p>
  <w:p w:rsidR="00F3586B" w:rsidRDefault="00F3586B">
    <w:pPr>
      <w:pStyle w:val="Footer"/>
      <w:rPr>
        <w:lang w:val="en-US"/>
      </w:rPr>
    </w:pPr>
    <w:proofErr w:type="spellStart"/>
    <w:r>
      <w:rPr>
        <w:lang w:val="fr-BE"/>
      </w:rPr>
      <w:t>Европейска</w:t>
    </w:r>
    <w:proofErr w:type="spellEnd"/>
    <w:r>
      <w:rPr>
        <w:lang w:val="fr-BE"/>
      </w:rPr>
      <w:t xml:space="preserve"> </w:t>
    </w:r>
    <w:proofErr w:type="spellStart"/>
    <w:r>
      <w:rPr>
        <w:lang w:val="fr-BE"/>
      </w:rPr>
      <w:t>комисия</w:t>
    </w:r>
    <w:proofErr w:type="spellEnd"/>
    <w:r>
      <w:rPr>
        <w:lang w:val="fr-BE"/>
      </w:rPr>
      <w:t>/</w:t>
    </w:r>
    <w:proofErr w:type="spellStart"/>
    <w:r>
      <w:rPr>
        <w:lang w:val="fr-BE"/>
      </w:rPr>
      <w:t>Europese</w:t>
    </w:r>
    <w:proofErr w:type="spellEnd"/>
    <w:r>
      <w:rPr>
        <w:lang w:val="fr-BE"/>
      </w:rPr>
      <w:t xml:space="preserve"> </w:t>
    </w:r>
    <w:proofErr w:type="spellStart"/>
    <w:r>
      <w:rPr>
        <w:lang w:val="fr-BE"/>
      </w:rPr>
      <w:t>Commissie</w:t>
    </w:r>
    <w:proofErr w:type="spellEnd"/>
    <w:r>
      <w:rPr>
        <w:lang w:val="fr-BE"/>
      </w:rPr>
      <w:t xml:space="preserve">, 1049 Bruxelles/Brussel, BELGIQUE/BELGIË — </w:t>
    </w:r>
    <w:proofErr w:type="spellStart"/>
    <w:r>
      <w:rPr>
        <w:lang w:val="fr-BE"/>
      </w:rPr>
      <w:t>Тел</w:t>
    </w:r>
    <w:proofErr w:type="spellEnd"/>
    <w:r>
      <w:rPr>
        <w:lang w:val="fr-BE"/>
      </w:rPr>
      <w:t>. + 32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DB" w:rsidRDefault="004C19DB">
      <w:r>
        <w:separator/>
      </w:r>
    </w:p>
  </w:footnote>
  <w:footnote w:type="continuationSeparator" w:id="0">
    <w:p w:rsidR="004C19DB" w:rsidRDefault="004C19DB">
      <w:r>
        <w:continuationSeparator/>
      </w:r>
    </w:p>
  </w:footnote>
  <w:footnote w:id="1">
    <w:p w:rsidR="00F3586B" w:rsidRDefault="00F3586B">
      <w:pPr>
        <w:pStyle w:val="FootnoteText"/>
        <w:spacing w:after="0"/>
      </w:pPr>
      <w:r>
        <w:footnoteRef/>
      </w:r>
      <w:r>
        <w:tab/>
        <w:t>Публикувано в Регистъра на експертните групи към Комисията и други подобни органи, код номер E02758</w:t>
      </w:r>
    </w:p>
  </w:footnote>
  <w:footnote w:id="2">
    <w:p w:rsidR="00F3586B" w:rsidRDefault="00F3586B">
      <w:pPr>
        <w:pStyle w:val="FootnoteText"/>
        <w:spacing w:after="0"/>
        <w:ind w:left="0" w:firstLine="0"/>
      </w:pPr>
      <w:r>
        <w:footnoteRef/>
      </w:r>
      <w:r>
        <w:tab/>
      </w:r>
      <w:r>
        <w:t>Платформата се състои от представители от държавите членки и страните от ЕАСТ, както и на европейските и международните органи за стандартизация и други организации с нестопанска цел, действащи в Европа при разработването на стандарти в областта на ИКТ и организации, представляващи отрасъла, малките и средните предприятия, потребителите и други заинтересовани обществени групи, назначени от Комисията.</w:t>
      </w:r>
    </w:p>
  </w:footnote>
  <w:footnote w:id="3">
    <w:p w:rsidR="00F3586B" w:rsidRDefault="00F3586B" w:rsidP="00AB02ED">
      <w:pPr>
        <w:pStyle w:val="FootnoteText"/>
        <w:spacing w:after="0"/>
      </w:pPr>
      <w:r>
        <w:footnoteRef/>
      </w:r>
      <w:r>
        <w:tab/>
      </w:r>
      <w:proofErr w:type="spellStart"/>
      <w:r w:rsidRPr="00BF6EC5">
        <w:t>Clubbing</w:t>
      </w:r>
      <w:proofErr w:type="spellEnd"/>
      <w:r w:rsidRPr="00BF6EC5">
        <w:t xml:space="preserve"> </w:t>
      </w:r>
      <w:proofErr w:type="spellStart"/>
      <w:r w:rsidRPr="00BF6EC5">
        <w:t>Seals</w:t>
      </w:r>
      <w:proofErr w:type="spellEnd"/>
      <w:r w:rsidRPr="00BF6EC5">
        <w:t xml:space="preserve">: </w:t>
      </w:r>
      <w:proofErr w:type="spellStart"/>
      <w:r w:rsidRPr="00BF6EC5">
        <w:t>Exploring</w:t>
      </w:r>
      <w:proofErr w:type="spellEnd"/>
      <w:r w:rsidRPr="00BF6EC5">
        <w:t xml:space="preserve"> </w:t>
      </w:r>
      <w:proofErr w:type="spellStart"/>
      <w:r w:rsidRPr="00BF6EC5">
        <w:t>the</w:t>
      </w:r>
      <w:proofErr w:type="spellEnd"/>
      <w:r w:rsidRPr="00BF6EC5">
        <w:t xml:space="preserve"> </w:t>
      </w:r>
      <w:proofErr w:type="spellStart"/>
      <w:r w:rsidRPr="00BF6EC5">
        <w:t>Ecosystem</w:t>
      </w:r>
      <w:proofErr w:type="spellEnd"/>
      <w:r w:rsidRPr="00BF6EC5">
        <w:t xml:space="preserve"> </w:t>
      </w:r>
      <w:proofErr w:type="spellStart"/>
      <w:r w:rsidRPr="00BF6EC5">
        <w:t>of</w:t>
      </w:r>
      <w:proofErr w:type="spellEnd"/>
      <w:r w:rsidRPr="00BF6EC5">
        <w:t xml:space="preserve"> </w:t>
      </w:r>
      <w:proofErr w:type="spellStart"/>
      <w:r w:rsidRPr="00BF6EC5">
        <w:t>Third-party</w:t>
      </w:r>
      <w:proofErr w:type="spellEnd"/>
      <w:r w:rsidRPr="00BF6EC5">
        <w:t xml:space="preserve"> </w:t>
      </w:r>
      <w:proofErr w:type="spellStart"/>
      <w:r w:rsidRPr="00BF6EC5">
        <w:t>Security</w:t>
      </w:r>
      <w:proofErr w:type="spellEnd"/>
      <w:r w:rsidRPr="00BF6EC5">
        <w:t xml:space="preserve"> </w:t>
      </w:r>
      <w:proofErr w:type="spellStart"/>
      <w:r w:rsidRPr="00BF6EC5">
        <w:t>Seals</w:t>
      </w:r>
      <w:proofErr w:type="spellEnd"/>
    </w:p>
    <w:p w:rsidR="00F3586B" w:rsidRDefault="00F3586B" w:rsidP="00AB02ED">
      <w:pPr>
        <w:pStyle w:val="FootnoteText"/>
        <w:spacing w:after="0"/>
      </w:pPr>
      <w:r>
        <w:tab/>
        <w:t>https://www.securitee.org/files/seals_ccs2014.pdf</w:t>
      </w:r>
    </w:p>
  </w:footnote>
  <w:footnote w:id="4">
    <w:p w:rsidR="00F3586B" w:rsidRDefault="00F3586B" w:rsidP="00AB02ED">
      <w:pPr>
        <w:pStyle w:val="FootnoteText"/>
        <w:spacing w:after="0"/>
      </w:pPr>
      <w:r>
        <w:rPr>
          <w:lang w:val="hu-HU"/>
        </w:rPr>
        <w:footnoteRef/>
      </w:r>
      <w:r>
        <w:rPr>
          <w:lang w:val="hu-HU"/>
        </w:rPr>
        <w:tab/>
      </w:r>
      <w:r>
        <w:rPr>
          <w:lang w:val="hu-HU"/>
        </w:rPr>
        <w:t>Регламент (ЕС) 2016/679 — https://goo.gl/EwTFsA</w:t>
      </w:r>
    </w:p>
  </w:footnote>
  <w:footnote w:id="5">
    <w:p w:rsidR="00F3586B" w:rsidRDefault="00F3586B" w:rsidP="00AB02ED">
      <w:pPr>
        <w:pStyle w:val="FootnoteText"/>
        <w:spacing w:after="0"/>
      </w:pPr>
      <w:r>
        <w:rPr>
          <w:lang w:val="hu-HU"/>
        </w:rPr>
        <w:footnoteRef/>
      </w:r>
      <w:r>
        <w:rPr>
          <w:lang w:val="hu-HU"/>
        </w:rPr>
        <w:tab/>
      </w:r>
      <w:r>
        <w:rPr>
          <w:lang w:val="hu-HU"/>
        </w:rPr>
        <w:t xml:space="preserve">вж. </w:t>
      </w:r>
      <w:r>
        <w:t>слайд</w:t>
      </w:r>
      <w:r>
        <w:rPr>
          <w:lang w:val="hu-HU"/>
        </w:rPr>
        <w:t xml:space="preserve"> </w:t>
      </w:r>
      <w:r>
        <w:rPr>
          <w:lang w:val="hu-HU"/>
        </w:rPr>
        <w:t>19 сценарии на „документ 546 20170928“ на ЕС за изчисленията в облак studies.pdf</w:t>
      </w:r>
    </w:p>
  </w:footnote>
  <w:footnote w:id="6">
    <w:p w:rsidR="00F3586B" w:rsidRDefault="00F3586B">
      <w:pPr>
        <w:pStyle w:val="FootnoteText"/>
      </w:pPr>
      <w:r>
        <w:rPr>
          <w:lang w:val="hu-HU"/>
        </w:rPr>
        <w:footnoteRef/>
      </w:r>
      <w:r>
        <w:rPr>
          <w:lang w:val="hu-HU"/>
        </w:rPr>
        <w:tab/>
      </w:r>
      <w:r>
        <w:rPr>
          <w:lang w:val="hu-HU"/>
        </w:rPr>
        <w:t>https://webgate.ec.europa.eu/fpfis/wikis/display/RollingPlanICTS</w:t>
      </w:r>
    </w:p>
  </w:footnote>
  <w:footnote w:id="7">
    <w:p w:rsidR="00F3586B" w:rsidRDefault="00F3586B">
      <w:pPr>
        <w:pStyle w:val="FootnoteText"/>
        <w:ind w:left="0" w:firstLine="0"/>
      </w:pPr>
      <w:r>
        <w:rPr>
          <w:lang w:val="hu-HU"/>
        </w:rPr>
        <w:footnoteRef/>
      </w:r>
      <w:r>
        <w:rPr>
          <w:lang w:val="hu-HU"/>
        </w:rPr>
        <w:tab/>
      </w:r>
      <w:r w:rsidRPr="00E01D5D">
        <w:rPr>
          <w:lang w:val="hu-HU"/>
        </w:rPr>
        <w:t>Decision 2014/188 of 3 April 2014  on the identification of Internet Protocol version 6 (‘IPv6’), Lightweight Directory Access Protocol version 3 (‘LDAPv3’), Domain Name System Security Extensions (‘DNSSEC’), DomainKeys Identified Mail Signatures (‘DKIM’), ECMAScript-402 Internationalisation Specification (‘ECMA-402’), Extensible Markup Language version 1.0 (‘W3C XML’</w:t>
      </w:r>
    </w:p>
    <w:p w:rsidR="00F3586B" w:rsidRDefault="00F3586B">
      <w:pPr>
        <w:pStyle w:val="FootnoteText"/>
        <w:ind w:left="0" w:firstLine="0"/>
      </w:pPr>
      <w:hyperlink r:id="rId1">
        <w:r>
          <w:rPr>
            <w:rStyle w:val="InternetLink"/>
            <w:lang w:val="hu-HU"/>
          </w:rPr>
          <w:tab/>
          <w:t>http://eur-lex.europa.eu/legal-content/EN/TXT/?qid=1396876308856&amp;uri=OJ:JOL_2014_102_R_0008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6B" w:rsidRDefault="00F35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6B" w:rsidRDefault="00F3586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4C63"/>
    <w:multiLevelType w:val="multilevel"/>
    <w:tmpl w:val="827AF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E13379"/>
    <w:multiLevelType w:val="multilevel"/>
    <w:tmpl w:val="C11851C2"/>
    <w:lvl w:ilvl="0">
      <w:start w:val="5"/>
      <w:numFmt w:val="decimal"/>
      <w:lvlText w:val="%1."/>
      <w:lvlJc w:val="left"/>
      <w:pPr>
        <w:tabs>
          <w:tab w:val="num" w:pos="480"/>
        </w:tabs>
        <w:ind w:left="480" w:hanging="480"/>
      </w:pPr>
    </w:lvl>
    <w:lvl w:ilvl="1">
      <w:start w:val="1"/>
      <w:numFmt w:val="decimal"/>
      <w:lvlText w:val="%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40B1634"/>
    <w:multiLevelType w:val="multilevel"/>
    <w:tmpl w:val="E0E8E0A8"/>
    <w:lvl w:ilvl="0">
      <w:start w:val="1"/>
      <w:numFmt w:val="bullet"/>
      <w:lvlText w:val=""/>
      <w:lvlJc w:val="left"/>
      <w:pPr>
        <w:ind w:left="1920"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3">
    <w:nsid w:val="751C093E"/>
    <w:multiLevelType w:val="multilevel"/>
    <w:tmpl w:val="5E14AFAC"/>
    <w:lvl w:ilvl="0">
      <w:start w:val="5"/>
      <w:numFmt w:val="decimal"/>
      <w:pStyle w:val="Heading1"/>
      <w:lvlText w:val="%1."/>
      <w:lvlJc w:val="left"/>
      <w:pPr>
        <w:tabs>
          <w:tab w:val="num" w:pos="480"/>
        </w:tabs>
        <w:ind w:left="480" w:hanging="480"/>
      </w:pPr>
    </w:lvl>
    <w:lvl w:ilvl="1">
      <w:start w:val="1"/>
      <w:numFmt w:val="none"/>
      <w:suff w:val="nothing"/>
      <w:lvlText w:val=""/>
      <w:lvlJc w:val="left"/>
      <w:pPr>
        <w:tabs>
          <w:tab w:val="num" w:pos="576"/>
        </w:tabs>
        <w:ind w:left="576" w:hanging="576"/>
      </w:pPr>
    </w:lvl>
    <w:lvl w:ilvl="2">
      <w:start w:val="1"/>
      <w:numFmt w:val="decimal"/>
      <w:pStyle w:val="Heading3"/>
      <w:lvlText w:val="%1.%3."/>
      <w:lvlJc w:val="left"/>
      <w:pPr>
        <w:tabs>
          <w:tab w:val="num" w:pos="1920"/>
        </w:tabs>
        <w:ind w:left="1920" w:hanging="840"/>
      </w:pPr>
    </w:lvl>
    <w:lvl w:ilvl="3">
      <w:start w:val="1"/>
      <w:numFmt w:val="decimal"/>
      <w:pStyle w:val="Heading4"/>
      <w:lvlText w:val="%1.%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A5A1615"/>
    <w:multiLevelType w:val="multilevel"/>
    <w:tmpl w:val="C64E41C8"/>
    <w:lvl w:ilvl="0">
      <w:start w:val="1"/>
      <w:numFmt w:val="bullet"/>
      <w:lvlText w:val=""/>
      <w:lvlJc w:val="left"/>
      <w:pPr>
        <w:ind w:left="635" w:hanging="360"/>
      </w:pPr>
      <w:rPr>
        <w:rFonts w:ascii="Symbol" w:hAnsi="Symbol" w:cs="Symbol" w:hint="default"/>
      </w:rPr>
    </w:lvl>
    <w:lvl w:ilvl="1">
      <w:start w:val="1"/>
      <w:numFmt w:val="bullet"/>
      <w:lvlText w:val="-"/>
      <w:lvlJc w:val="left"/>
      <w:pPr>
        <w:ind w:left="1500" w:hanging="360"/>
      </w:pPr>
      <w:rPr>
        <w:rFonts w:ascii="Times New Roman" w:hAnsi="Times New Roman" w:cs="Times New Roman"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1AA6"/>
    <w:rsid w:val="000D0455"/>
    <w:rsid w:val="00127C39"/>
    <w:rsid w:val="00217A5D"/>
    <w:rsid w:val="003261E4"/>
    <w:rsid w:val="003C30B9"/>
    <w:rsid w:val="00456405"/>
    <w:rsid w:val="004C19DB"/>
    <w:rsid w:val="004F29CC"/>
    <w:rsid w:val="00641AA6"/>
    <w:rsid w:val="008715D9"/>
    <w:rsid w:val="008D0064"/>
    <w:rsid w:val="00AB02ED"/>
    <w:rsid w:val="00AB2F0E"/>
    <w:rsid w:val="00BF6EC5"/>
    <w:rsid w:val="00C76765"/>
    <w:rsid w:val="00CD1752"/>
    <w:rsid w:val="00E01D5D"/>
    <w:rsid w:val="00E70C1C"/>
    <w:rsid w:val="00F00670"/>
    <w:rsid w:val="00F35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3A48D-8537-4181-9024-F07C3937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bg-BG" w:eastAsia="en-US"/>
    </w:rPr>
  </w:style>
  <w:style w:type="paragraph" w:styleId="Heading1">
    <w:name w:val="heading 1"/>
    <w:basedOn w:val="Normal"/>
    <w:qFormat/>
    <w:pPr>
      <w:keepNext/>
      <w:numPr>
        <w:numId w:val="1"/>
      </w:numPr>
      <w:spacing w:before="240"/>
      <w:outlineLvl w:val="0"/>
    </w:pPr>
    <w:rPr>
      <w:b/>
      <w:smallCaps/>
    </w:rPr>
  </w:style>
  <w:style w:type="paragraph" w:styleId="Heading2">
    <w:name w:val="heading 2"/>
    <w:basedOn w:val="Normal"/>
    <w:qFormat/>
    <w:pPr>
      <w:keepNext/>
      <w:spacing w:before="240" w:after="360"/>
      <w:outlineLvl w:val="1"/>
    </w:pPr>
    <w:rPr>
      <w:b/>
    </w:rPr>
  </w:style>
  <w:style w:type="paragraph" w:styleId="Heading3">
    <w:name w:val="heading 3"/>
    <w:basedOn w:val="Normal"/>
    <w:qFormat/>
    <w:pPr>
      <w:keepNext/>
      <w:numPr>
        <w:ilvl w:val="2"/>
        <w:numId w:val="1"/>
      </w:numPr>
      <w:spacing w:before="120" w:after="360"/>
      <w:outlineLvl w:val="2"/>
    </w:pPr>
    <w:rPr>
      <w:b/>
      <w:i/>
    </w:rPr>
  </w:style>
  <w:style w:type="paragraph" w:styleId="Heading4">
    <w:name w:val="heading 4"/>
    <w:basedOn w:val="Normal"/>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Pr>
      <w:color w:val="800080"/>
      <w:u w:val="single"/>
    </w:rPr>
  </w:style>
  <w:style w:type="character" w:customStyle="1" w:styleId="FooterChar">
    <w:name w:val="Footer Char"/>
    <w:basedOn w:val="DefaultParagraphFont"/>
    <w:qFormat/>
    <w:rPr>
      <w:rFonts w:ascii="Arial" w:hAnsi="Arial"/>
      <w:sz w:val="16"/>
      <w:lang w:eastAsia="en-US"/>
    </w:rPr>
  </w:style>
  <w:style w:type="character" w:customStyle="1" w:styleId="DateChar">
    <w:name w:val="Date Char"/>
    <w:basedOn w:val="DefaultParagraphFont"/>
    <w:qFormat/>
    <w:rPr>
      <w:sz w:val="24"/>
      <w:lang w:eastAsia="en-US"/>
    </w:rPr>
  </w:style>
  <w:style w:type="character" w:customStyle="1" w:styleId="SignatureChar">
    <w:name w:val="Signature Char"/>
    <w:basedOn w:val="DefaultParagraphFont"/>
    <w:qFormat/>
    <w:rPr>
      <w:sz w:val="24"/>
      <w:lang w:eastAsia="en-US"/>
    </w:rPr>
  </w:style>
  <w:style w:type="character" w:customStyle="1" w:styleId="HeaderChar">
    <w:name w:val="Header Char"/>
    <w:basedOn w:val="DefaultParagraphFont"/>
    <w:qFormat/>
    <w:rPr>
      <w:sz w:val="24"/>
      <w:lang w:eastAsia="en-US"/>
    </w:rPr>
  </w:style>
  <w:style w:type="character" w:customStyle="1" w:styleId="FootnoteTextChar">
    <w:name w:val="Footnote Text Char"/>
    <w:basedOn w:val="DefaultParagraphFont"/>
    <w:qFormat/>
    <w:rPr>
      <w:lang w:eastAsia="en-US"/>
    </w:rPr>
  </w:style>
  <w:style w:type="character" w:styleId="FootnoteReference">
    <w:name w:val="footnote reference"/>
    <w:basedOn w:val="DefaultParagraphFont"/>
    <w:qForma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Tahoma" w:hAnsi="Tahoma" w:cs="Tahoma"/>
      <w:sz w:val="16"/>
      <w:szCs w:val="16"/>
      <w:lang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lang w:eastAsia="en-US"/>
    </w:rPr>
  </w:style>
  <w:style w:type="character" w:customStyle="1" w:styleId="CommentSubjectChar">
    <w:name w:val="Comment Subject Char"/>
    <w:basedOn w:val="CommentTextChar"/>
    <w:qFormat/>
    <w:rPr>
      <w:b/>
      <w:bCs/>
      <w:lang w:eastAsia="en-US"/>
    </w:rPr>
  </w:style>
  <w:style w:type="character" w:customStyle="1" w:styleId="Heading3Char">
    <w:name w:val="Heading 3 Char"/>
    <w:basedOn w:val="DefaultParagraphFont"/>
    <w:qFormat/>
    <w:rPr>
      <w:b/>
      <w:i/>
      <w:sz w:val="24"/>
      <w:lang w:eastAsia="en-US"/>
    </w:rPr>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sz w:val="24"/>
    </w:rPr>
  </w:style>
  <w:style w:type="character" w:customStyle="1" w:styleId="ListLabel4">
    <w:name w:val="ListLabel 4"/>
    <w:qFormat/>
    <w:rPr>
      <w:rFonts w:cs="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style>
  <w:style w:type="paragraph" w:customStyle="1" w:styleId="Text1">
    <w:name w:val="Text 1"/>
    <w:basedOn w:val="Normal"/>
    <w:qFormat/>
    <w:pPr>
      <w:ind w:left="482"/>
    </w:pPr>
  </w:style>
  <w:style w:type="paragraph" w:customStyle="1" w:styleId="Text2">
    <w:name w:val="Text 2"/>
    <w:basedOn w:val="Normal"/>
    <w:qFormat/>
    <w:pPr>
      <w:tabs>
        <w:tab w:val="left" w:pos="2160"/>
      </w:tabs>
      <w:ind w:left="1077"/>
    </w:pPr>
  </w:style>
  <w:style w:type="paragraph" w:customStyle="1" w:styleId="Text3">
    <w:name w:val="Text 3"/>
    <w:basedOn w:val="Normal"/>
    <w:qFormat/>
    <w:pPr>
      <w:tabs>
        <w:tab w:val="left" w:pos="2302"/>
      </w:tabs>
      <w:ind w:left="1916"/>
    </w:pPr>
  </w:style>
  <w:style w:type="paragraph" w:customStyle="1" w:styleId="Text4">
    <w:name w:val="Text 4"/>
    <w:basedOn w:val="Normal"/>
    <w:qFormat/>
    <w:pPr>
      <w:ind w:left="2880"/>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TextBody"/>
    <w:qFormat/>
    <w:pPr>
      <w:ind w:firstLine="210"/>
    </w:p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losing">
    <w:name w:val="Closing"/>
    <w:basedOn w:val="Normal"/>
    <w:next w:val="Signature"/>
    <w:qFormat/>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qFormat/>
    <w:pPr>
      <w:keepNext/>
      <w:keepLines/>
      <w:tabs>
        <w:tab w:val="left" w:pos="5670"/>
      </w:tabs>
      <w:spacing w:before="480" w:after="0"/>
      <w:ind w:left="1985" w:hanging="1985"/>
      <w:jc w:val="left"/>
    </w:pPr>
  </w:style>
  <w:style w:type="paragraph" w:customStyle="1" w:styleId="Participants">
    <w:name w:val="Participants"/>
    <w:basedOn w:val="Normal"/>
    <w:qFormat/>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qFormat/>
    <w:rPr>
      <w:sz w:val="20"/>
    </w:rPr>
  </w:style>
  <w:style w:type="paragraph" w:styleId="Date">
    <w:name w:val="Date"/>
    <w:basedOn w:val="Normal"/>
    <w:qFormat/>
    <w:pPr>
      <w:spacing w:after="0"/>
      <w:ind w:left="5103"/>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qFormat/>
    <w:pPr>
      <w:shd w:val="clear" w:color="auto" w:fill="000080"/>
    </w:pPr>
    <w:rPr>
      <w:rFonts w:ascii="Tahoma" w:hAnsi="Tahoma"/>
    </w:rPr>
  </w:style>
  <w:style w:type="paragraph" w:customStyle="1" w:styleId="DoubSign">
    <w:name w:val="DoubSign"/>
    <w:basedOn w:val="Normal"/>
    <w:qFormat/>
    <w:pPr>
      <w:tabs>
        <w:tab w:val="left" w:pos="5103"/>
      </w:tabs>
      <w:spacing w:before="1200" w:after="0"/>
      <w:jc w:val="left"/>
    </w:pPr>
  </w:style>
  <w:style w:type="paragraph" w:styleId="EndnoteText">
    <w:name w:val="endnote text"/>
    <w:basedOn w:val="Normal"/>
    <w:qFormat/>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styleId="Footer">
    <w:name w:val="footer"/>
    <w:basedOn w:val="Normal"/>
    <w:pPr>
      <w:spacing w:after="0"/>
      <w:jc w:val="left"/>
    </w:pPr>
    <w:rPr>
      <w:rFonts w:ascii="Arial" w:hAnsi="Arial"/>
      <w:sz w:val="16"/>
    </w:rPr>
  </w:style>
  <w:style w:type="paragraph" w:styleId="FootnoteText">
    <w:name w:val="footnote text"/>
    <w:basedOn w:val="Normal"/>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qFormat/>
    <w:pPr>
      <w:ind w:left="240" w:hanging="240"/>
    </w:pPr>
  </w:style>
  <w:style w:type="paragraph" w:styleId="Index2">
    <w:name w:val="index 2"/>
    <w:basedOn w:val="Normal"/>
    <w:next w:val="Normal"/>
    <w:autoRedefine/>
    <w:qFormat/>
    <w:pPr>
      <w:ind w:left="480" w:hanging="240"/>
    </w:pPr>
  </w:style>
  <w:style w:type="paragraph" w:styleId="Index3">
    <w:name w:val="index 3"/>
    <w:basedOn w:val="Normal"/>
    <w:next w:val="Normal"/>
    <w:autoRedefine/>
    <w:qFormat/>
    <w:pPr>
      <w:ind w:left="720" w:hanging="240"/>
    </w:pPr>
  </w:style>
  <w:style w:type="paragraph" w:styleId="Index4">
    <w:name w:val="index 4"/>
    <w:basedOn w:val="Normal"/>
    <w:next w:val="Normal"/>
    <w:autoRedefine/>
    <w:qFormat/>
    <w:pPr>
      <w:ind w:left="960" w:hanging="240"/>
    </w:pPr>
  </w:style>
  <w:style w:type="paragraph" w:styleId="Index5">
    <w:name w:val="index 5"/>
    <w:basedOn w:val="Normal"/>
    <w:next w:val="Normal"/>
    <w:autoRedefine/>
    <w:qFormat/>
    <w:pPr>
      <w:ind w:left="1200" w:hanging="240"/>
    </w:pPr>
  </w:style>
  <w:style w:type="paragraph" w:styleId="Index6">
    <w:name w:val="index 6"/>
    <w:basedOn w:val="Normal"/>
    <w:next w:val="Normal"/>
    <w:autoRedefine/>
    <w:qFormat/>
    <w:pPr>
      <w:ind w:left="1440" w:hanging="240"/>
    </w:pPr>
  </w:style>
  <w:style w:type="paragraph" w:styleId="Index7">
    <w:name w:val="index 7"/>
    <w:basedOn w:val="Normal"/>
    <w:next w:val="Normal"/>
    <w:autoRedefine/>
    <w:qFormat/>
    <w:pPr>
      <w:ind w:left="1680" w:hanging="240"/>
    </w:pPr>
  </w:style>
  <w:style w:type="paragraph" w:styleId="Index8">
    <w:name w:val="index 8"/>
    <w:basedOn w:val="Normal"/>
    <w:next w:val="Normal"/>
    <w:autoRedefine/>
    <w:qFormat/>
    <w:pPr>
      <w:ind w:left="1920" w:hanging="240"/>
    </w:pPr>
  </w:style>
  <w:style w:type="paragraph" w:styleId="Index9">
    <w:name w:val="index 9"/>
    <w:basedOn w:val="Normal"/>
    <w:next w:val="Normal"/>
    <w:autoRedefine/>
    <w:qFormat/>
    <w:pPr>
      <w:ind w:left="2160" w:hanging="240"/>
    </w:pPr>
  </w:style>
  <w:style w:type="paragraph" w:styleId="IndexHeading">
    <w:name w:val="index heading"/>
    <w:basedOn w:val="Normal"/>
    <w:qFormat/>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qFormat/>
  </w:style>
  <w:style w:type="paragraph" w:styleId="ListBullet2">
    <w:name w:val="List Bullet 2"/>
    <w:basedOn w:val="Text2"/>
    <w:qFormat/>
  </w:style>
  <w:style w:type="paragraph" w:styleId="ListBullet3">
    <w:name w:val="List Bullet 3"/>
    <w:basedOn w:val="Text3"/>
    <w:qFormat/>
  </w:style>
  <w:style w:type="paragraph" w:styleId="ListBullet4">
    <w:name w:val="List Bullet 4"/>
    <w:basedOn w:val="Text4"/>
    <w:qFormat/>
  </w:style>
  <w:style w:type="paragraph" w:styleId="ListBullet5">
    <w:name w:val="List Bullet 5"/>
    <w:basedOn w:val="Normal"/>
    <w:autoRedefine/>
    <w:qFormat/>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style>
  <w:style w:type="paragraph" w:styleId="ListNumber2">
    <w:name w:val="List Number 2"/>
    <w:basedOn w:val="Text2"/>
    <w:qFormat/>
  </w:style>
  <w:style w:type="paragraph" w:styleId="ListNumber3">
    <w:name w:val="List Number 3"/>
    <w:basedOn w:val="Text3"/>
    <w:qFormat/>
  </w:style>
  <w:style w:type="paragraph" w:styleId="ListNumber4">
    <w:name w:val="List Number 4"/>
    <w:basedOn w:val="Text4"/>
    <w:qFormat/>
  </w:style>
  <w:style w:type="paragraph" w:styleId="ListNumber5">
    <w:name w:val="List Number 5"/>
    <w:basedOn w:val="Normal"/>
    <w:qFormat/>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customStyle="1" w:styleId="NoteHead">
    <w:name w:val="NoteHead"/>
    <w:basedOn w:val="Normal"/>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qFormat/>
    <w:pPr>
      <w:numPr>
        <w:numId w:val="0"/>
      </w:numPr>
      <w:spacing w:before="0"/>
    </w:pPr>
    <w:rPr>
      <w:b w:val="0"/>
      <w:smallCaps w:val="0"/>
    </w:rPr>
  </w:style>
  <w:style w:type="paragraph" w:customStyle="1" w:styleId="NumPar2">
    <w:name w:val="NumPar 2"/>
    <w:basedOn w:val="Heading2"/>
    <w:qFormat/>
    <w:rPr>
      <w:b w:val="0"/>
    </w:rPr>
  </w:style>
  <w:style w:type="paragraph" w:customStyle="1" w:styleId="NumPar3">
    <w:name w:val="NumPar 3"/>
    <w:basedOn w:val="Heading3"/>
    <w:qFormat/>
    <w:pPr>
      <w:numPr>
        <w:ilvl w:val="0"/>
        <w:numId w:val="0"/>
      </w:numPr>
    </w:pPr>
    <w:rPr>
      <w:i w:val="0"/>
    </w:rPr>
  </w:style>
  <w:style w:type="paragraph" w:customStyle="1" w:styleId="NumPar4">
    <w:name w:val="NumPar 4"/>
    <w:basedOn w:val="Heading4"/>
    <w:qFormat/>
    <w:pPr>
      <w:numPr>
        <w:ilvl w:val="0"/>
        <w:numId w:val="0"/>
      </w:numPr>
    </w:pPr>
  </w:style>
  <w:style w:type="paragraph" w:styleId="PlainText">
    <w:name w:val="Plain Text"/>
    <w:basedOn w:val="Normal"/>
    <w:qFormat/>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itle">
    <w:name w:val="Title"/>
    <w:basedOn w:val="Normal"/>
    <w:qFormat/>
    <w:pPr>
      <w:spacing w:before="240" w:after="60"/>
      <w:jc w:val="center"/>
      <w:outlineLvl w:val="0"/>
    </w:pPr>
    <w:rPr>
      <w:rFonts w:ascii="Arial" w:hAnsi="Arial"/>
      <w:b/>
      <w:sz w:val="32"/>
    </w:rPr>
  </w:style>
  <w:style w:type="paragraph" w:styleId="TOAHeading">
    <w:name w:val="toa heading"/>
    <w:basedOn w:val="Normal"/>
    <w:next w:val="Normal"/>
    <w:qFormat/>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style>
  <w:style w:type="paragraph" w:customStyle="1" w:styleId="ListDash3">
    <w:name w:val="List Dash 3"/>
    <w:basedOn w:val="Text3"/>
    <w:qFormat/>
  </w:style>
  <w:style w:type="paragraph" w:customStyle="1" w:styleId="ListDash4">
    <w:name w:val="List Dash 4"/>
    <w:basedOn w:val="Text4"/>
    <w:qFormat/>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style>
  <w:style w:type="paragraph" w:customStyle="1" w:styleId="ListNumber2Level3">
    <w:name w:val="List Number 2 (Level 3)"/>
    <w:basedOn w:val="Text2"/>
    <w:qFormat/>
  </w:style>
  <w:style w:type="paragraph" w:customStyle="1" w:styleId="ListNumber2Level4">
    <w:name w:val="List Number 2 (Level 4)"/>
    <w:basedOn w:val="Text2"/>
    <w:qFormat/>
    <w:pPr>
      <w:ind w:left="3901" w:hanging="703"/>
    </w:pPr>
  </w:style>
  <w:style w:type="paragraph" w:customStyle="1" w:styleId="ListNumber3Level2">
    <w:name w:val="List Number 3 (Level 2)"/>
    <w:basedOn w:val="Text3"/>
    <w:qFormat/>
  </w:style>
  <w:style w:type="paragraph" w:customStyle="1" w:styleId="ListNumber3Level3">
    <w:name w:val="List Number 3 (Level 3)"/>
    <w:basedOn w:val="Text3"/>
    <w:qFormat/>
  </w:style>
  <w:style w:type="paragraph" w:customStyle="1" w:styleId="ListNumber3Level4">
    <w:name w:val="List Number 3 (Level 4)"/>
    <w:basedOn w:val="Text3"/>
    <w:qFormat/>
  </w:style>
  <w:style w:type="paragraph" w:customStyle="1" w:styleId="ListNumber4Level2">
    <w:name w:val="List Number 4 (Level 2)"/>
    <w:basedOn w:val="Text4"/>
    <w:qFormat/>
  </w:style>
  <w:style w:type="paragraph" w:customStyle="1" w:styleId="ListNumber4Level3">
    <w:name w:val="List Number 4 (Level 3)"/>
    <w:basedOn w:val="Text4"/>
    <w:qFormat/>
  </w:style>
  <w:style w:type="paragraph" w:customStyle="1" w:styleId="ListNumber4Level4">
    <w:name w:val="List Number 4 (Level 4)"/>
    <w:basedOn w:val="Text4"/>
    <w:qFormat/>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Normal"/>
    <w:qFormat/>
    <w:pPr>
      <w:spacing w:before="480" w:after="0"/>
      <w:ind w:left="567" w:hanging="567"/>
      <w:jc w:val="left"/>
    </w:pPr>
  </w:style>
  <w:style w:type="paragraph" w:customStyle="1" w:styleId="DisclaimerNotice">
    <w:name w:val="Disclaimer Notice"/>
    <w:basedOn w:val="Normal"/>
    <w:next w:val="AddressTR"/>
    <w:qFormat/>
    <w:pPr>
      <w:ind w:left="5103"/>
      <w:jc w:val="left"/>
    </w:pPr>
    <w:rPr>
      <w:i/>
      <w:sz w:val="20"/>
    </w:rPr>
  </w:style>
  <w:style w:type="paragraph" w:customStyle="1" w:styleId="Disclaimer">
    <w:name w:val="Disclaimer"/>
    <w:basedOn w:val="Normal"/>
    <w:qFormat/>
    <w:pPr>
      <w:keepLines/>
      <w:pBdr>
        <w:top w:val="single" w:sz="4" w:space="1" w:color="00000A"/>
      </w:pBdr>
      <w:spacing w:before="480" w:after="0"/>
    </w:pPr>
    <w:rPr>
      <w:i/>
    </w:rPr>
  </w:style>
  <w:style w:type="paragraph" w:customStyle="1" w:styleId="DisclaimerSJ">
    <w:name w:val="Disclaimer_SJ"/>
    <w:basedOn w:val="Normal"/>
    <w:next w:val="Normal"/>
    <w:qFormat/>
    <w:pPr>
      <w:spacing w:after="0"/>
    </w:pPr>
    <w:rPr>
      <w:rFonts w:ascii="Arial" w:hAnsi="Arial"/>
      <w:b/>
      <w:sz w:val="16"/>
    </w:rPr>
  </w:style>
  <w:style w:type="paragraph" w:customStyle="1" w:styleId="Designator">
    <w:name w:val="Designator"/>
    <w:basedOn w:val="Normal"/>
    <w:qFormat/>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qFormat/>
    <w:pPr>
      <w:spacing w:after="0"/>
      <w:jc w:val="center"/>
    </w:pPr>
    <w:rPr>
      <w:b/>
      <w:caps/>
      <w:sz w:val="32"/>
      <w:bdr w:val="single" w:sz="18" w:space="0" w:color="00000A"/>
      <w:lang w:val="de-DE"/>
    </w:rPr>
  </w:style>
  <w:style w:type="paragraph" w:customStyle="1" w:styleId="ConfidentialUE">
    <w:name w:val="Confidential UE"/>
    <w:basedOn w:val="Normal"/>
    <w:qFormat/>
    <w:pPr>
      <w:spacing w:after="0"/>
      <w:jc w:val="center"/>
    </w:pPr>
    <w:rPr>
      <w:b/>
      <w:caps/>
      <w:sz w:val="32"/>
      <w:bdr w:val="single" w:sz="18" w:space="0" w:color="00000A"/>
    </w:rPr>
  </w:style>
  <w:style w:type="paragraph" w:customStyle="1" w:styleId="TrsSecretUE">
    <w:name w:val="Très Secret UE"/>
    <w:basedOn w:val="Normal"/>
    <w:qFormat/>
    <w:pPr>
      <w:spacing w:after="0"/>
      <w:jc w:val="center"/>
    </w:pPr>
    <w:rPr>
      <w:b/>
      <w:caps/>
      <w:color w:val="FF0000"/>
      <w:sz w:val="32"/>
      <w:bdr w:val="single" w:sz="18" w:space="0" w:color="FF0000"/>
    </w:rPr>
  </w:style>
  <w:style w:type="paragraph" w:customStyle="1" w:styleId="SecretUE">
    <w:name w:val="Secret UE"/>
    <w:basedOn w:val="Normal"/>
    <w:qFormat/>
    <w:pPr>
      <w:spacing w:after="0"/>
      <w:jc w:val="center"/>
    </w:pPr>
    <w:rPr>
      <w:b/>
      <w:caps/>
      <w:color w:val="FF0000"/>
      <w:sz w:val="32"/>
      <w:bdr w:val="single" w:sz="18" w:space="0" w:color="FF0000"/>
    </w:rPr>
  </w:style>
  <w:style w:type="paragraph" w:customStyle="1" w:styleId="LegalNumPar">
    <w:name w:val="LegalNumPar"/>
    <w:basedOn w:val="Normal"/>
    <w:qFormat/>
    <w:pPr>
      <w:spacing w:line="360" w:lineRule="auto"/>
      <w:jc w:val="left"/>
    </w:pPr>
    <w:rPr>
      <w:rFonts w:eastAsia="Calibri"/>
      <w:szCs w:val="22"/>
    </w:rPr>
  </w:style>
  <w:style w:type="paragraph" w:customStyle="1" w:styleId="LegalNumPar2">
    <w:name w:val="LegalNumPar2"/>
    <w:basedOn w:val="Normal"/>
    <w:qFormat/>
    <w:pPr>
      <w:spacing w:line="360" w:lineRule="auto"/>
      <w:jc w:val="left"/>
    </w:pPr>
    <w:rPr>
      <w:rFonts w:eastAsia="Calibri"/>
      <w:szCs w:val="22"/>
    </w:rPr>
  </w:style>
  <w:style w:type="paragraph" w:customStyle="1" w:styleId="LegalNumPar3">
    <w:name w:val="LegalNumPar3"/>
    <w:basedOn w:val="Normal"/>
    <w:qFormat/>
    <w:pPr>
      <w:spacing w:line="360" w:lineRule="auto"/>
      <w:jc w:val="left"/>
    </w:pPr>
    <w:rPr>
      <w:rFonts w:eastAsia="Calibri"/>
      <w:szCs w:val="22"/>
    </w:rPr>
  </w:style>
  <w:style w:type="paragraph" w:customStyle="1" w:styleId="ZCom">
    <w:name w:val="Z_Com"/>
    <w:basedOn w:val="Normal"/>
    <w:qFormat/>
    <w:pPr>
      <w:widowControl w:val="0"/>
      <w:spacing w:after="0"/>
      <w:ind w:right="85"/>
    </w:pPr>
    <w:rPr>
      <w:rFonts w:ascii="Arial" w:eastAsia="MS Mincho" w:hAnsi="Arial" w:cs="Arial"/>
      <w:szCs w:val="24"/>
      <w:lang w:eastAsia="en-GB"/>
    </w:rPr>
  </w:style>
  <w:style w:type="paragraph" w:customStyle="1" w:styleId="ZDGName">
    <w:name w:val="Z_DGName"/>
    <w:basedOn w:val="Normal"/>
    <w:qFormat/>
    <w:pPr>
      <w:widowControl w:val="0"/>
      <w:spacing w:after="0"/>
      <w:ind w:right="85"/>
      <w:jc w:val="left"/>
    </w:pPr>
    <w:rPr>
      <w:rFonts w:ascii="Arial" w:eastAsia="MS Mincho" w:hAnsi="Arial" w:cs="Arial"/>
      <w:sz w:val="16"/>
      <w:szCs w:val="16"/>
      <w:lang w:eastAsia="en-GB"/>
    </w:rPr>
  </w:style>
  <w:style w:type="paragraph" w:styleId="ListParagraph">
    <w:name w:val="List Paragraph"/>
    <w:basedOn w:val="Normal"/>
    <w:qFormat/>
    <w:pPr>
      <w:spacing w:after="0"/>
      <w:ind w:left="720"/>
      <w:contextualSpacing/>
      <w:jc w:val="left"/>
    </w:pPr>
    <w:rPr>
      <w:szCs w:val="24"/>
      <w:lang w:eastAsia="en-GB"/>
    </w:rPr>
  </w:style>
  <w:style w:type="paragraph" w:styleId="BalloonText">
    <w:name w:val="Balloon Text"/>
    <w:basedOn w:val="Normal"/>
    <w:qFormat/>
    <w:pPr>
      <w:spacing w:after="0"/>
    </w:pPr>
    <w:rPr>
      <w:rFonts w:ascii="Tahoma" w:hAnsi="Tahoma" w:cs="Tahoma"/>
      <w:sz w:val="16"/>
      <w:szCs w:val="16"/>
    </w:rPr>
  </w:style>
  <w:style w:type="paragraph" w:styleId="CommentSubject">
    <w:name w:val="annotation subject"/>
    <w:basedOn w:val="CommentText"/>
    <w:qFormat/>
    <w:rPr>
      <w:b/>
      <w:bCs/>
    </w:rPr>
  </w:style>
  <w:style w:type="paragraph" w:styleId="Revision">
    <w:name w:val="Revision"/>
    <w:qFormat/>
    <w:rPr>
      <w:sz w:val="24"/>
      <w:lang w:eastAsia="en-US"/>
    </w:rPr>
  </w:style>
  <w:style w:type="paragraph" w:customStyle="1" w:styleId="Footnote">
    <w:name w:val="Footnote"/>
    <w:basedOn w:val="Normal"/>
  </w:style>
  <w:style w:type="paragraph" w:customStyle="1" w:styleId="Quotations">
    <w:name w:val="Quotations"/>
    <w:basedOn w:val="Normal"/>
    <w:qFormat/>
  </w:style>
  <w:style w:type="paragraph" w:customStyle="1" w:styleId="TableContents">
    <w:name w:val="Table Contents"/>
    <w:basedOn w:val="Normal"/>
    <w:qFormat/>
  </w:style>
  <w:style w:type="character" w:styleId="Hyperlink">
    <w:name w:val="Hyperlink"/>
    <w:basedOn w:val="DefaultParagraphFont"/>
    <w:uiPriority w:val="99"/>
    <w:unhideWhenUsed/>
    <w:rsid w:val="00AB0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sd/a/80b359fd-3d53-47e2-95a9-326cc8a85a56/523v2%20Draft_agenda_21_meeting_MSP_28_September_%202017.docx" TargetMode="External"/><Relationship Id="rId13" Type="http://schemas.openxmlformats.org/officeDocument/2006/relationships/hyperlink" Target="%20&#1055;&#1072;&#1082;&#1077;&#1090;&#1098;&#1090;%20&#1097;&#1077;%20&#1073;&#1098;&#1076;&#1077;%20&#1088;&#1072;&#1079;&#1075;&#1083;&#1077;&#1076;&#1072;&#1085;%20&#1074;%20&#1087;&#1086;-&#1075;&#1086;&#1083;&#1077;&#1084;&#1080;%20&#1087;&#1086;&#1076;&#1088;&#1086;&#1073;&#1085;&#1086;&#1089;&#1090;&#1080;%20&#1085;&#1072;%20&#1079;&#1072;&#1089;&#1077;&#1076;&#1072;&#1085;&#1080;&#1077;&#1090;&#1086;%20&#1087;&#1088;&#1077;&#1079;%20&#1076;&#1077;&#1082;&#1077;&#1084;&#1074;&#1088;&#1080;%20&#1089;%20&#1091;&#1095;&#1072;&#1089;&#1090;&#1080;&#1077;&#1090;&#1086;%20&#1085;&#1072;%20&#1082;&#1086;&#1083;&#1077;&#1075;&#1080;%20&#1086;&#1090;%20&#1089;&#1098;&#1086;&#1090;&#1074;&#1077;&#1090;&#1085;&#1080;&#1090;&#1077;%20&#1073;&#1083;&#1086;&#1082;&#1086;&#1074;&#1077;.%20&#1055;&#1086;&#1074;&#1077;&#1095;&#1077;%20&#1080;&#1085;&#1092;&#1086;&#1088;&#1084;&#1072;&#1094;&#1080;&#1103;%20&#1084;&#1086;&#1078;&#1077;%20&#1076;&#1072;%20&#1073;&#1098;&#1076;&#1077;%20&#1085;&#1072;&#1084;&#1077;&#1088;&#1077;&#1085;&#1072;%20&#1085;&#1072;%20&#1072;&#1076;&#1088;&#1077;&#1089;:%20http://europa.eu/rapid/press-release_IP-17-3193_en.htm" TargetMode="External"/><Relationship Id="rId18" Type="http://schemas.openxmlformats.org/officeDocument/2006/relationships/hyperlink" Target="https://circabc.europa.eu/sd/a/ad2237bc-f9b1-4260-baa5-e9e9de7bd3a3/544%20RDA2%20WG%20Final%20Report%20for%20MSP%20September%202017%20v2(0).pptx" TargetMode="External"/><Relationship Id="rId26" Type="http://schemas.openxmlformats.org/officeDocument/2006/relationships/hyperlink" Target="&#1055;&#1088;&#1077;&#1076;&#1089;&#1077;&#1076;&#1072;&#1090;&#1077;&#1083;&#1103;&#1090;%20&#1087;&#1088;&#1077;&#1076;&#1089;&#1090;&#1072;&#1074;&#1080;%20&#1082;&#1088;&#1072;&#1090;&#1098;&#1082;%20&#1087;&#1088;&#1077;&#1075;&#1083;&#1077;&#1076;%20&#1085;&#1072;%20&#1086;&#1073;&#1097;&#1077;&#1089;&#1090;&#1074;&#1077;&#1085;&#1086;%20&#1076;&#1086;&#1087;&#1080;&#1090;&#1074;&#1072;&#1085;&#1077;%20&#1079;&#1072;%20&#1092;&#1080;&#1085;&#1072;&#1085;&#1089;&#1086;&#1074;&#1080;&#1090;&#1077;%20&#1090;&#1077;&#1093;&#1085;&#1086;&#1083;&#1086;&#1075;&#1080;&#1080;,%20&#1082;&#1086;&#1077;&#1090;&#1086;%20&#1084;&#1086;&#1078;&#1077;%20&#1076;&#1072;%20&#1089;&#1077;%20&#1085;&#1072;&#1084;&#1077;&#1088;&#1080;%20&#1085;&#1072;%20&#1072;&#1076;&#1088;&#1077;&#1089;:%20https://ec.europa.eu/info/finance-consultations-2017-fintech_en." TargetMode="External"/><Relationship Id="rId3" Type="http://schemas.openxmlformats.org/officeDocument/2006/relationships/settings" Target="settings.xml"/><Relationship Id="rId21" Type="http://schemas.openxmlformats.org/officeDocument/2006/relationships/hyperlink" Target="https://circabc.europa.eu/sd/a/b2ebdd3e-a110-4e4c-bcc0-855b64682840/527%20Presentation%20Lesson%20learnt%20Pilot%20-support%20CAMMS%20Team.pptx" TargetMode="External"/><Relationship Id="rId7" Type="http://schemas.openxmlformats.org/officeDocument/2006/relationships/image" Target="media/image1.png"/><Relationship Id="rId12" Type="http://schemas.openxmlformats.org/officeDocument/2006/relationships/hyperlink" Target="https://circabc.europa.eu/sd/a/96e60f2f-257b-4d75-9501-c077d4ab65b9/549%2020170928%20EU%20Cloud%20Computing%20studies.pdf" TargetMode="External"/><Relationship Id="rId17" Type="http://schemas.openxmlformats.org/officeDocument/2006/relationships/hyperlink" Target="https://circabc.europa.eu/sd/a/51096b91-bdbb-4ba4-91b3-5578b1f03631/529%20Evaluation%20Report%20RDA%20TS%205-9%20for%20MSP%20advice.docx" TargetMode="External"/><Relationship Id="rId25" Type="http://schemas.openxmlformats.org/officeDocument/2006/relationships/hyperlink" Target="https://circabc.europa.eu/sd/a/1cf8e1f0-1c6f-4fe8-9c51-076904c64834/541%20OASIS%20and%20standards%20IPR%202017%20MSP%20ccs%20rev%202%20(1).ppt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rcabc.europa.eu/sd/a/6c1db651-f740-4fac-8dcb-51dce2c225f6/537%20PRESENTATION%20Digitisation%20European%20Industry%20Workshop.docx" TargetMode="External"/><Relationship Id="rId20" Type="http://schemas.openxmlformats.org/officeDocument/2006/relationships/hyperlink" Target="https://circabc.europa.eu/sd/a/a5279091-5c68-4885-9ff7-63c07dfc38c2/546%20MSP_letter_20170927%20RDA%20comments.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cabc.europa.eu/sd/a/1a7f54b8-6ada-42a2-9910-bd436b36996b/472%20MSP%20ICT%20meeting%208-12-2016%20Spain%20concerns.pdf" TargetMode="External"/><Relationship Id="rId24" Type="http://schemas.openxmlformats.org/officeDocument/2006/relationships/hyperlink" Target="https://circabc.europa.eu/sd/a/b03b036a-d9e8-47a2-acea-ae759c77fe4e/540%20Digital%20Signature%20Services-%20Oasis%20Liaison%20statemen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rcabc.europa.eu/sd/a/511f4245-da52-43c7-bc51-53aec5fb297e/535%20Presentation%20European%20Catalogue.pptx" TargetMode="External"/><Relationship Id="rId23" Type="http://schemas.openxmlformats.org/officeDocument/2006/relationships/hyperlink" Target="https://circabc.europa.eu/sd/a/4194818c-2cc6-41b6-a831-888bb127bbf2/539%20CEN%20presentation%20MSP%2321-ISOweek.pdf" TargetMode="External"/><Relationship Id="rId28" Type="http://schemas.openxmlformats.org/officeDocument/2006/relationships/header" Target="header1.xml"/><Relationship Id="rId10" Type="http://schemas.openxmlformats.org/officeDocument/2006/relationships/hyperlink" Target="https://ec.europa.eu/commission/news/new-industrial-policy-strategy-2017-sep-18_en" TargetMode="External"/><Relationship Id="rId19" Type="http://schemas.openxmlformats.org/officeDocument/2006/relationships/hyperlink" Target="https://circabc.europa.eu/sd/a/450fa762-6be2-4079-abd1-e01b3ead37bb/538%20170918%20DIGITALEUROPE%20letter%20RDA%20specification.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ircabc.europa.eu/sd/a/61d4a8ea-4df3-448e-9064-39900335a5b7/520%20Minutes%20MSP%20meeting%2013%20June%202017%20adopted%20by%20MSP%2028sept17.docx" TargetMode="External"/><Relationship Id="rId14" Type="http://schemas.openxmlformats.org/officeDocument/2006/relationships/hyperlink" Target="https://circabc.europa.eu/sd/a/f380a5d9-fbb8-4a53-8134-34bb8c5297cb/536%20Rolling%20Plan%20update%20MSP%20Sep%202017_final.pdf" TargetMode="External"/><Relationship Id="rId22" Type="http://schemas.openxmlformats.org/officeDocument/2006/relationships/hyperlink" Target="https://circabc.europa.eu/sd/a/25604976-263c-412c-b680-82b7f15cffd5/526v1%20ECMA%20revision%20TS-ISO%2016262.pptx" TargetMode="External"/><Relationship Id="rId27" Type="http://schemas.openxmlformats.org/officeDocument/2006/relationships/hyperlink" Target="https://circabc.europa.eu/sd/a/5884a42d-d657-41c8-aab5-6a07846f66a3/549%20Presentation%20JRC%20-SDO%20stakeholder%20survey.pptx"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396876308856&amp;uri=OJ:JOL_2014_102_R_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12</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Образец на протокола от заседанията на експертната група</vt:lpstr>
    </vt:vector>
  </TitlesOfParts>
  <Company>Европейска комисия</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на протокола от заседанията на експертната група</dc:title>
  <dc:creator>SecGen</dc:creator>
  <dc:description>ГД „Вътрешен пазар, промишленост, предприемачество и от продължаващото и дистанционното обучение, адаптирано към ДВ, приложени към бележка Ares(2016)6398359 от 14/11/2016</dc:description>
  <cp:lastModifiedBy>Daniela Pesheva</cp:lastModifiedBy>
  <cp:revision>6</cp:revision>
  <dcterms:created xsi:type="dcterms:W3CDTF">2018-01-22T07:46:00Z</dcterms:created>
  <dcterms:modified xsi:type="dcterms:W3CDTF">2018-02-02T09:59:00Z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Европейска комисия</vt:lpwstr>
  </property>
  <property fmtid="{D5CDD505-2E9C-101B-9397-08002B2CF9AE}" pid="4" name="ContentTypeId">
    <vt:lpwstr>0x010100258AA79CEB83498886A3A0868112325000C6C456EBC8A5D64996177CA34E5B3D7C</vt:lpwstr>
  </property>
  <property fmtid="{D5CDD505-2E9C-101B-9397-08002B2CF9AE}" pid="5" name="Created using">
    <vt:lpwstr>EL 4.6 Build 50000</vt:lpwstr>
  </property>
  <property fmtid="{D5CDD505-2E9C-101B-9397-08002B2CF9AE}" pid="6" name="DocID_EU">
    <vt:lpwstr> </vt:lpwstr>
  </property>
  <property fmtid="{D5CDD505-2E9C-101B-9397-08002B2CF9AE}" pid="7" name="DocSecurity">
    <vt:i4>0</vt:i4>
  </property>
  <property fmtid="{D5CDD505-2E9C-101B-9397-08002B2CF9AE}" pid="8" name="ELDocType">
    <vt:lpwstr>not.dot</vt:lpwstr>
  </property>
  <property fmtid="{D5CDD505-2E9C-101B-9397-08002B2CF9AE}" pid="9" name="EL_Author">
    <vt:lpwstr>Pedro Ortún</vt:lpwstr>
  </property>
  <property fmtid="{D5CDD505-2E9C-101B-9397-08002B2CF9AE}" pid="10" name="EL_Language">
    <vt:lpwstr>EN</vt:lpwstr>
  </property>
  <property fmtid="{D5CDD505-2E9C-101B-9397-08002B2CF9AE}" pid="11" name="EurolookVersion">
    <vt:lpwstr>4.6</vt:lpwstr>
  </property>
  <property fmtid="{D5CDD505-2E9C-101B-9397-08002B2CF9AE}" pid="12" name="Formatting">
    <vt:lpwstr>4.1</vt:lpwstr>
  </property>
  <property fmtid="{D5CDD505-2E9C-101B-9397-08002B2CF9AE}" pid="13" name="Language">
    <vt:lpwstr>EN</vt:lpwstr>
  </property>
  <property fmtid="{D5CDD505-2E9C-101B-9397-08002B2CF9AE}" pid="14" name="Last edited using">
    <vt:lpwstr>EL 4.6 Build 50000</vt:lpwstr>
  </property>
  <property fmtid="{D5CDD505-2E9C-101B-9397-08002B2CF9AE}" pid="15" name="PresentationFormat">
    <vt:lpwstr>Microsoft Word 14.0</vt:lpwstr>
  </property>
  <property fmtid="{D5CDD505-2E9C-101B-9397-08002B2CF9AE}" pid="16" name="TemplateVersion">
    <vt:lpwstr>4.6.5.0000</vt:lpwstr>
  </property>
  <property fmtid="{D5CDD505-2E9C-101B-9397-08002B2CF9AE}" pid="17" name="Type">
    <vt:lpwstr>Бележка Eurolook &amp; писмо</vt:lpwstr>
  </property>
  <property fmtid="{D5CDD505-2E9C-101B-9397-08002B2CF9AE}" pid="18" name="_DocHome">
    <vt:i4>0</vt:i4>
  </property>
</Properties>
</file>