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87D" w:rsidRPr="00C83180" w:rsidRDefault="005B287D" w:rsidP="00C83180">
      <w:pPr>
        <w:spacing w:after="0"/>
      </w:pPr>
    </w:p>
    <w:tbl>
      <w:tblPr>
        <w:tblW w:w="9468" w:type="dxa"/>
        <w:tblCellMar>
          <w:left w:w="0" w:type="dxa"/>
          <w:right w:w="0" w:type="dxa"/>
        </w:tblCellMar>
        <w:tblLook w:val="04A0" w:firstRow="1" w:lastRow="0" w:firstColumn="1" w:lastColumn="0" w:noHBand="0" w:noVBand="1"/>
      </w:tblPr>
      <w:tblGrid>
        <w:gridCol w:w="3402"/>
        <w:gridCol w:w="6066"/>
      </w:tblGrid>
      <w:tr w:rsidR="005B287D" w:rsidRPr="00C83180" w:rsidTr="00C83180">
        <w:trPr>
          <w:trHeight w:val="1440"/>
        </w:trPr>
        <w:tc>
          <w:tcPr>
            <w:tcW w:w="3402" w:type="dxa"/>
            <w:shd w:val="clear" w:color="auto" w:fill="auto"/>
          </w:tcPr>
          <w:p w:rsidR="005B287D" w:rsidRPr="00C83180" w:rsidRDefault="00EC4333" w:rsidP="00C83180">
            <w:pPr>
              <w:pStyle w:val="ZCom"/>
              <w:ind w:right="1105"/>
              <w:rPr>
                <w:rFonts w:ascii="Times New Roman" w:hAnsi="Times New Roman" w:cs="Times New Roman"/>
              </w:rPr>
            </w:pPr>
            <w:r w:rsidRPr="00C83180">
              <w:rPr>
                <w:rFonts w:ascii="Times New Roman" w:hAnsi="Times New Roman" w:cs="Times New Roman"/>
                <w:noProof/>
                <w:lang w:eastAsia="bg-BG"/>
              </w:rPr>
              <w:drawing>
                <wp:inline distT="0" distB="0" distL="0" distR="0">
                  <wp:extent cx="1371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1371600" cy="685800"/>
                          </a:xfrm>
                          <a:prstGeom prst="rect">
                            <a:avLst/>
                          </a:prstGeom>
                        </pic:spPr>
                      </pic:pic>
                    </a:graphicData>
                  </a:graphic>
                </wp:inline>
              </w:drawing>
            </w:r>
          </w:p>
        </w:tc>
        <w:tc>
          <w:tcPr>
            <w:tcW w:w="6066" w:type="dxa"/>
            <w:shd w:val="clear" w:color="auto" w:fill="auto"/>
          </w:tcPr>
          <w:p w:rsidR="005B287D" w:rsidRPr="00C83180" w:rsidRDefault="00EC4333" w:rsidP="00C83180">
            <w:pPr>
              <w:pStyle w:val="ZCom"/>
              <w:rPr>
                <w:rFonts w:ascii="Times New Roman" w:hAnsi="Times New Roman" w:cs="Times New Roman"/>
              </w:rPr>
            </w:pPr>
            <w:r w:rsidRPr="00C83180">
              <w:rPr>
                <w:rFonts w:ascii="Times New Roman" w:hAnsi="Times New Roman" w:cs="Times New Roman"/>
              </w:rPr>
              <w:t>ЕВРОПЕЙСКА КОМИСИЯ</w:t>
            </w:r>
          </w:p>
          <w:p w:rsidR="005B287D" w:rsidRPr="00C83180" w:rsidRDefault="00EC4333" w:rsidP="00C83180">
            <w:pPr>
              <w:pStyle w:val="ZDGName"/>
              <w:rPr>
                <w:rFonts w:ascii="Times New Roman" w:hAnsi="Times New Roman" w:cs="Times New Roman"/>
                <w:sz w:val="20"/>
                <w:szCs w:val="20"/>
              </w:rPr>
            </w:pPr>
            <w:r w:rsidRPr="00C83180">
              <w:rPr>
                <w:rFonts w:ascii="Times New Roman" w:hAnsi="Times New Roman" w:cs="Times New Roman"/>
                <w:sz w:val="20"/>
                <w:szCs w:val="20"/>
              </w:rPr>
              <w:t>Генерална дирекция „Вътрешен пазар, промишленост, предприемачество и МСП“</w:t>
            </w:r>
          </w:p>
          <w:p w:rsidR="005B287D" w:rsidRPr="00C83180" w:rsidRDefault="005B287D" w:rsidP="00C83180">
            <w:pPr>
              <w:pStyle w:val="ZDGName"/>
              <w:rPr>
                <w:rFonts w:ascii="Times New Roman" w:hAnsi="Times New Roman" w:cs="Times New Roman"/>
                <w:sz w:val="20"/>
                <w:szCs w:val="20"/>
              </w:rPr>
            </w:pPr>
          </w:p>
          <w:p w:rsidR="005B287D" w:rsidRPr="00C83180" w:rsidRDefault="00EC4333" w:rsidP="00C83180">
            <w:pPr>
              <w:pStyle w:val="ZDGName"/>
              <w:rPr>
                <w:rFonts w:ascii="Times New Roman" w:hAnsi="Times New Roman" w:cs="Times New Roman"/>
                <w:sz w:val="20"/>
                <w:szCs w:val="20"/>
              </w:rPr>
            </w:pPr>
            <w:r w:rsidRPr="00C83180">
              <w:rPr>
                <w:rFonts w:ascii="Times New Roman" w:hAnsi="Times New Roman" w:cs="Times New Roman"/>
                <w:sz w:val="20"/>
                <w:szCs w:val="20"/>
              </w:rPr>
              <w:t>Дирекция „Иновации и усъвършенствани производствени технологии</w:t>
            </w:r>
          </w:p>
          <w:p w:rsidR="005B287D" w:rsidRPr="00C83180" w:rsidRDefault="00EC4333" w:rsidP="00C83180">
            <w:pPr>
              <w:pStyle w:val="ZDGName"/>
              <w:rPr>
                <w:rFonts w:ascii="Times New Roman" w:hAnsi="Times New Roman" w:cs="Times New Roman"/>
                <w:b/>
                <w:sz w:val="20"/>
                <w:szCs w:val="20"/>
              </w:rPr>
            </w:pPr>
            <w:r w:rsidRPr="00C83180">
              <w:rPr>
                <w:rFonts w:ascii="Times New Roman" w:hAnsi="Times New Roman" w:cs="Times New Roman"/>
                <w:b/>
                <w:sz w:val="20"/>
                <w:szCs w:val="20"/>
              </w:rPr>
              <w:t>Главни базови технологии, цифрово производство и оперативна съвместимост</w:t>
            </w:r>
          </w:p>
          <w:p w:rsidR="005B287D" w:rsidRPr="00C83180" w:rsidRDefault="005B287D" w:rsidP="00C83180">
            <w:pPr>
              <w:pStyle w:val="ZDGName"/>
              <w:rPr>
                <w:rFonts w:ascii="Times New Roman" w:hAnsi="Times New Roman" w:cs="Times New Roman"/>
                <w:sz w:val="20"/>
                <w:szCs w:val="20"/>
              </w:rPr>
            </w:pPr>
          </w:p>
          <w:p w:rsidR="005B287D" w:rsidRPr="00C83180" w:rsidRDefault="00EC4333" w:rsidP="00C83180">
            <w:pPr>
              <w:pStyle w:val="ZDGName"/>
              <w:rPr>
                <w:rFonts w:ascii="Times New Roman" w:hAnsi="Times New Roman" w:cs="Times New Roman"/>
                <w:sz w:val="20"/>
                <w:szCs w:val="20"/>
              </w:rPr>
            </w:pPr>
            <w:r w:rsidRPr="00C83180">
              <w:rPr>
                <w:rFonts w:ascii="Times New Roman" w:hAnsi="Times New Roman" w:cs="Times New Roman"/>
                <w:sz w:val="20"/>
                <w:szCs w:val="20"/>
              </w:rPr>
              <w:t xml:space="preserve">Генерална дирекция „Съобщителни </w:t>
            </w:r>
            <w:r w:rsidR="00C83180" w:rsidRPr="00C83180">
              <w:rPr>
                <w:rFonts w:ascii="Times New Roman" w:hAnsi="Times New Roman" w:cs="Times New Roman"/>
                <w:sz w:val="20"/>
                <w:szCs w:val="20"/>
              </w:rPr>
              <w:t>мрежи, съдържание и технологични иновации</w:t>
            </w:r>
          </w:p>
          <w:p w:rsidR="005B287D" w:rsidRPr="00C83180" w:rsidRDefault="005B287D" w:rsidP="00C83180">
            <w:pPr>
              <w:pStyle w:val="ZDGName"/>
              <w:rPr>
                <w:rFonts w:ascii="Times New Roman" w:hAnsi="Times New Roman" w:cs="Times New Roman"/>
                <w:sz w:val="20"/>
                <w:szCs w:val="20"/>
              </w:rPr>
            </w:pPr>
          </w:p>
          <w:p w:rsidR="005B287D" w:rsidRPr="00C83180" w:rsidRDefault="00EC4333" w:rsidP="00C83180">
            <w:pPr>
              <w:pStyle w:val="ZDGName"/>
              <w:rPr>
                <w:rFonts w:ascii="Times New Roman" w:hAnsi="Times New Roman" w:cs="Times New Roman"/>
                <w:sz w:val="20"/>
                <w:szCs w:val="20"/>
              </w:rPr>
            </w:pPr>
            <w:r w:rsidRPr="00C83180">
              <w:rPr>
                <w:rFonts w:ascii="Times New Roman" w:hAnsi="Times New Roman" w:cs="Times New Roman"/>
                <w:sz w:val="20"/>
                <w:szCs w:val="20"/>
              </w:rPr>
              <w:t>Дирекция за цифровия единен пазар</w:t>
            </w:r>
          </w:p>
          <w:p w:rsidR="005B287D" w:rsidRPr="00C83180" w:rsidRDefault="00C83180" w:rsidP="00C83180">
            <w:pPr>
              <w:pStyle w:val="ZDGName"/>
              <w:rPr>
                <w:rFonts w:ascii="Times New Roman" w:hAnsi="Times New Roman" w:cs="Times New Roman"/>
                <w:b/>
                <w:sz w:val="24"/>
                <w:szCs w:val="24"/>
              </w:rPr>
            </w:pPr>
            <w:r w:rsidRPr="00C83180">
              <w:rPr>
                <w:rFonts w:ascii="Times New Roman" w:hAnsi="Times New Roman" w:cs="Times New Roman"/>
                <w:b/>
                <w:sz w:val="20"/>
                <w:szCs w:val="20"/>
              </w:rPr>
              <w:t>Новосъздадени предприятия и</w:t>
            </w:r>
            <w:r w:rsidR="00EC4333" w:rsidRPr="00C83180">
              <w:rPr>
                <w:rFonts w:ascii="Times New Roman" w:hAnsi="Times New Roman" w:cs="Times New Roman"/>
                <w:b/>
                <w:sz w:val="20"/>
                <w:szCs w:val="20"/>
              </w:rPr>
              <w:t xml:space="preserve"> иновации </w:t>
            </w:r>
          </w:p>
        </w:tc>
      </w:tr>
    </w:tbl>
    <w:p w:rsidR="005B287D" w:rsidRPr="00C83180" w:rsidRDefault="005B287D" w:rsidP="00C83180">
      <w:pPr>
        <w:pStyle w:val="Date"/>
        <w:rPr>
          <w:szCs w:val="24"/>
        </w:rPr>
      </w:pPr>
    </w:p>
    <w:p w:rsidR="005B287D" w:rsidRPr="00C83180" w:rsidRDefault="005B287D" w:rsidP="00C83180">
      <w:pPr>
        <w:pStyle w:val="Date"/>
        <w:rPr>
          <w:szCs w:val="24"/>
          <w:highlight w:val="white"/>
        </w:rPr>
      </w:pPr>
    </w:p>
    <w:p w:rsidR="005B287D" w:rsidRPr="00C83180" w:rsidRDefault="00EC4333" w:rsidP="00C83180">
      <w:pPr>
        <w:pStyle w:val="Date"/>
        <w:rPr>
          <w:szCs w:val="24"/>
          <w:highlight w:val="white"/>
        </w:rPr>
      </w:pPr>
      <w:r w:rsidRPr="00C83180">
        <w:rPr>
          <w:szCs w:val="24"/>
          <w:highlight w:val="white"/>
        </w:rPr>
        <w:t>Брюксел, 10 януари 2018 г.</w:t>
      </w:r>
    </w:p>
    <w:p w:rsidR="00C83180" w:rsidRDefault="00C83180" w:rsidP="00C83180">
      <w:pPr>
        <w:pStyle w:val="Title"/>
        <w:spacing w:before="0" w:after="0"/>
        <w:rPr>
          <w:rFonts w:ascii="Times New Roman" w:hAnsi="Times New Roman"/>
          <w:sz w:val="24"/>
          <w:szCs w:val="24"/>
        </w:rPr>
      </w:pPr>
    </w:p>
    <w:p w:rsidR="00C55AA5" w:rsidRPr="00C83180" w:rsidRDefault="00C55AA5" w:rsidP="00C83180">
      <w:pPr>
        <w:pStyle w:val="Title"/>
        <w:spacing w:before="0" w:after="0"/>
        <w:rPr>
          <w:rFonts w:ascii="Times New Roman" w:hAnsi="Times New Roman"/>
          <w:sz w:val="24"/>
          <w:szCs w:val="24"/>
        </w:rPr>
      </w:pPr>
    </w:p>
    <w:p w:rsidR="005B287D" w:rsidRPr="00C83180" w:rsidRDefault="00C83180" w:rsidP="00C83180">
      <w:pPr>
        <w:pStyle w:val="Title"/>
        <w:spacing w:before="0" w:after="0"/>
        <w:rPr>
          <w:rFonts w:ascii="Times New Roman" w:hAnsi="Times New Roman"/>
          <w:sz w:val="24"/>
          <w:szCs w:val="24"/>
        </w:rPr>
      </w:pPr>
      <w:r w:rsidRPr="00C83180">
        <w:rPr>
          <w:rFonts w:ascii="Times New Roman" w:hAnsi="Times New Roman"/>
          <w:sz w:val="24"/>
          <w:szCs w:val="24"/>
        </w:rPr>
        <w:t>ПРОТОКОЛ</w:t>
      </w:r>
    </w:p>
    <w:p w:rsidR="005B287D" w:rsidRPr="00C83180" w:rsidRDefault="005B287D" w:rsidP="00C83180">
      <w:pPr>
        <w:pStyle w:val="Subtitle"/>
        <w:spacing w:after="0"/>
        <w:rPr>
          <w:rFonts w:ascii="Times New Roman" w:hAnsi="Times New Roman"/>
          <w:szCs w:val="24"/>
        </w:rPr>
      </w:pPr>
    </w:p>
    <w:p w:rsidR="005B287D" w:rsidRPr="00C83180" w:rsidRDefault="00EC4333" w:rsidP="00C83180">
      <w:pPr>
        <w:pStyle w:val="Subtitle"/>
        <w:spacing w:after="0"/>
        <w:rPr>
          <w:rFonts w:ascii="Times New Roman" w:hAnsi="Times New Roman"/>
          <w:szCs w:val="24"/>
        </w:rPr>
      </w:pPr>
      <w:r w:rsidRPr="00C83180">
        <w:rPr>
          <w:rFonts w:ascii="Times New Roman" w:hAnsi="Times New Roman"/>
          <w:b/>
          <w:szCs w:val="24"/>
        </w:rPr>
        <w:t>22-о заседание на Европейската многостранна платформа по въпросите на стандартизацията в областта на ИКТ</w:t>
      </w:r>
      <w:r w:rsidRPr="00C83180">
        <w:rPr>
          <w:rStyle w:val="FootnoteAnchor"/>
          <w:rFonts w:ascii="Times New Roman" w:hAnsi="Times New Roman"/>
          <w:b/>
          <w:szCs w:val="24"/>
        </w:rPr>
        <w:footnoteReference w:id="1"/>
      </w:r>
    </w:p>
    <w:p w:rsidR="005B287D" w:rsidRPr="00C83180" w:rsidRDefault="005B287D" w:rsidP="00C83180">
      <w:pPr>
        <w:pStyle w:val="Subtitle"/>
        <w:spacing w:after="0"/>
        <w:rPr>
          <w:rFonts w:ascii="Times New Roman" w:hAnsi="Times New Roman"/>
          <w:szCs w:val="24"/>
        </w:rPr>
      </w:pPr>
    </w:p>
    <w:p w:rsidR="005B287D" w:rsidRPr="00C83180" w:rsidRDefault="00EC4333" w:rsidP="00C83180">
      <w:pPr>
        <w:pStyle w:val="Subtitle"/>
        <w:spacing w:after="0"/>
        <w:rPr>
          <w:rFonts w:ascii="Times New Roman" w:hAnsi="Times New Roman"/>
          <w:szCs w:val="24"/>
        </w:rPr>
      </w:pPr>
      <w:r w:rsidRPr="00C83180">
        <w:rPr>
          <w:rFonts w:ascii="Times New Roman" w:hAnsi="Times New Roman"/>
          <w:szCs w:val="24"/>
        </w:rPr>
        <w:t>7 декември 2017 г., Брюксел</w:t>
      </w:r>
    </w:p>
    <w:p w:rsidR="005B287D" w:rsidRDefault="005B287D" w:rsidP="00C83180">
      <w:pPr>
        <w:pStyle w:val="Subtitle"/>
        <w:spacing w:after="0"/>
        <w:rPr>
          <w:rFonts w:ascii="Times New Roman" w:hAnsi="Times New Roman"/>
          <w:szCs w:val="24"/>
        </w:rPr>
      </w:pPr>
    </w:p>
    <w:p w:rsidR="00C55AA5" w:rsidRPr="00C83180" w:rsidRDefault="00C55AA5" w:rsidP="00C83180">
      <w:pPr>
        <w:pStyle w:val="Subtitle"/>
        <w:spacing w:after="0"/>
        <w:rPr>
          <w:rFonts w:ascii="Times New Roman" w:hAnsi="Times New Roman"/>
          <w:szCs w:val="24"/>
        </w:rPr>
      </w:pPr>
    </w:p>
    <w:p w:rsidR="005B287D" w:rsidRPr="00C83180" w:rsidRDefault="00EC4333" w:rsidP="00C83180">
      <w:pPr>
        <w:pStyle w:val="Heading1"/>
        <w:numPr>
          <w:ilvl w:val="0"/>
          <w:numId w:val="3"/>
        </w:numPr>
        <w:spacing w:before="0" w:after="0"/>
        <w:ind w:left="0"/>
      </w:pPr>
      <w:r w:rsidRPr="00C83180">
        <w:t>приемане на дневния ред и на протокола от предишното заседание</w:t>
      </w:r>
    </w:p>
    <w:p w:rsidR="005B287D" w:rsidRPr="00C83180" w:rsidRDefault="005B287D" w:rsidP="00C83180">
      <w:pPr>
        <w:pStyle w:val="ListParagraph"/>
        <w:ind w:left="0"/>
        <w:jc w:val="both"/>
      </w:pPr>
    </w:p>
    <w:p w:rsidR="005B287D" w:rsidRPr="00C83180" w:rsidRDefault="00463FF6" w:rsidP="00C83180">
      <w:pPr>
        <w:pStyle w:val="ListParagraph"/>
        <w:ind w:left="0" w:firstLine="720"/>
        <w:jc w:val="both"/>
        <w:rPr>
          <w:i/>
        </w:rPr>
      </w:pPr>
      <w:hyperlink r:id="rId8">
        <w:r w:rsidR="00EC4333" w:rsidRPr="00C83180">
          <w:t>Дневният ред (документ ИКТ/</w:t>
        </w:r>
        <w:r w:rsidR="00C83180">
          <w:rPr>
            <w:lang w:val="en-US"/>
          </w:rPr>
          <w:t>MSP</w:t>
        </w:r>
        <w:r w:rsidR="00EC4333" w:rsidRPr="00C83180">
          <w:t xml:space="preserve"> (2017)550v2) беше предс</w:t>
        </w:r>
        <w:r w:rsidR="00C83180">
          <w:t>тавен от председателя и одобрен</w:t>
        </w:r>
        <w:r w:rsidR="00EC4333" w:rsidRPr="00C83180">
          <w:t xml:space="preserve"> без изменения.</w:t>
        </w:r>
      </w:hyperlink>
    </w:p>
    <w:p w:rsidR="005B287D" w:rsidRPr="00C83180" w:rsidRDefault="005B287D" w:rsidP="00C83180">
      <w:pPr>
        <w:pStyle w:val="ListParagraph"/>
        <w:ind w:left="0"/>
        <w:jc w:val="both"/>
      </w:pPr>
    </w:p>
    <w:p w:rsidR="005B287D" w:rsidRPr="00C83180" w:rsidRDefault="00463FF6" w:rsidP="00C83180">
      <w:pPr>
        <w:pStyle w:val="ListParagraph"/>
        <w:ind w:left="0" w:firstLine="720"/>
        <w:jc w:val="both"/>
        <w:rPr>
          <w:i/>
        </w:rPr>
      </w:pPr>
      <w:hyperlink r:id="rId9">
        <w:r w:rsidR="00EC4333" w:rsidRPr="00C83180">
          <w:t>Протоколът от предходното заседание (документ ИКТ/</w:t>
        </w:r>
        <w:r w:rsidR="00C83180" w:rsidRPr="00C83180">
          <w:t xml:space="preserve"> MSP</w:t>
        </w:r>
        <w:r w:rsidR="00EC4333" w:rsidRPr="00C83180">
          <w:t xml:space="preserve"> (2017)547v1), </w:t>
        </w:r>
        <w:r w:rsidR="00C83180" w:rsidRPr="00C83180">
          <w:t>б</w:t>
        </w:r>
        <w:r w:rsidR="00C83180">
          <w:t>еше приет</w:t>
        </w:r>
        <w:r w:rsidR="00C83180" w:rsidRPr="00C83180">
          <w:t xml:space="preserve"> </w:t>
        </w:r>
        <w:r w:rsidR="00C83180">
          <w:t>с</w:t>
        </w:r>
        <w:r w:rsidR="00EC4333" w:rsidRPr="00C83180">
          <w:t xml:space="preserve"> промените, предложени от ECMA по отношение на идентификацията на ECMA 402.</w:t>
        </w:r>
      </w:hyperlink>
    </w:p>
    <w:p w:rsidR="005B287D" w:rsidRPr="00C83180" w:rsidRDefault="005B287D" w:rsidP="00C83180">
      <w:pPr>
        <w:pStyle w:val="ListParagraph"/>
        <w:ind w:left="0"/>
        <w:jc w:val="both"/>
        <w:rPr>
          <w:color w:val="FF0000"/>
        </w:rPr>
      </w:pPr>
    </w:p>
    <w:p w:rsidR="005B287D" w:rsidRDefault="00C83180" w:rsidP="00C83180">
      <w:pPr>
        <w:pStyle w:val="ListParagraph"/>
        <w:ind w:left="0" w:firstLine="720"/>
        <w:jc w:val="both"/>
      </w:pPr>
      <w:proofErr w:type="spellStart"/>
      <w:r w:rsidRPr="00B060A0">
        <w:rPr>
          <w:i/>
        </w:rPr>
        <w:t>Belén</w:t>
      </w:r>
      <w:proofErr w:type="spellEnd"/>
      <w:r w:rsidRPr="00B060A0">
        <w:rPr>
          <w:i/>
        </w:rPr>
        <w:t xml:space="preserve"> </w:t>
      </w:r>
      <w:proofErr w:type="spellStart"/>
      <w:r w:rsidRPr="00B060A0">
        <w:rPr>
          <w:i/>
        </w:rPr>
        <w:t>Martínez</w:t>
      </w:r>
      <w:proofErr w:type="spellEnd"/>
      <w:r w:rsidRPr="00B060A0">
        <w:rPr>
          <w:i/>
        </w:rPr>
        <w:t xml:space="preserve"> </w:t>
      </w:r>
      <w:r w:rsidR="00EC4333" w:rsidRPr="00C83180">
        <w:rPr>
          <w:i/>
        </w:rPr>
        <w:t>(</w:t>
      </w:r>
      <w:r w:rsidRPr="00C83180">
        <w:rPr>
          <w:i/>
        </w:rPr>
        <w:t>DG GROW F3</w:t>
      </w:r>
      <w:r w:rsidR="00EC4333" w:rsidRPr="00C83180">
        <w:rPr>
          <w:i/>
        </w:rPr>
        <w:t>) се спря на списъка с действия, включени в края на протокола.</w:t>
      </w:r>
      <w:r w:rsidR="00EC4333" w:rsidRPr="00C83180">
        <w:t xml:space="preserve"> Тя информира членовете, че всички действия са завършени. Във връзка с действия 20.4 и 20.5 от предишното заседание, някои държави членки посочиха, че списъкът, предоставен от ECSO съдържа някои фактически грешки и не е изчерпателен и предлага</w:t>
      </w:r>
      <w:r>
        <w:t>т</w:t>
      </w:r>
      <w:r w:rsidR="00EC4333" w:rsidRPr="00C83180">
        <w:t xml:space="preserve"> да се работи допълнително, за да </w:t>
      </w:r>
      <w:r>
        <w:t>се</w:t>
      </w:r>
      <w:r w:rsidR="00EC4333" w:rsidRPr="00C83180">
        <w:t xml:space="preserve"> </w:t>
      </w:r>
      <w:r>
        <w:t>финализира</w:t>
      </w:r>
      <w:r w:rsidR="00EC4333" w:rsidRPr="00C83180">
        <w:t>. Швейцария напомни, че те са изпратили писмени бележки за действие 20.5 (документ ИКТ/</w:t>
      </w:r>
      <w:r w:rsidRPr="00C83180">
        <w:rPr>
          <w:szCs w:val="20"/>
          <w:lang w:eastAsia="en-US"/>
        </w:rPr>
        <w:t xml:space="preserve"> </w:t>
      </w:r>
      <w:r w:rsidRPr="00C83180">
        <w:t>MSP</w:t>
      </w:r>
      <w:r w:rsidR="00EC4333" w:rsidRPr="00C83180">
        <w:t xml:space="preserve"> (2017)562) относно използването на схеми за сертификация.</w:t>
      </w:r>
      <w:hyperlink r:id="rId10">
        <w:r w:rsidR="00EC4333" w:rsidRPr="00C83180">
          <w:t xml:space="preserve"> В отговор на бележките, </w:t>
        </w:r>
        <w:r w:rsidRPr="00C83180">
          <w:t>присъства</w:t>
        </w:r>
        <w:r>
          <w:t>щият</w:t>
        </w:r>
        <w:r w:rsidRPr="00C83180">
          <w:t xml:space="preserve"> на заседанието </w:t>
        </w:r>
        <w:r w:rsidR="00EC4333" w:rsidRPr="00C83180">
          <w:t xml:space="preserve">представител </w:t>
        </w:r>
        <w:r>
          <w:t xml:space="preserve">на </w:t>
        </w:r>
        <w:r w:rsidRPr="00C83180">
          <w:t xml:space="preserve">ECSO </w:t>
        </w:r>
        <w:r w:rsidR="00EC4333" w:rsidRPr="00C83180">
          <w:t xml:space="preserve">потвърди, че списъкът не е изчерпателен, макар и не поради грешка, но тъй като това е непрекъснат процес, с </w:t>
        </w:r>
        <w:r>
          <w:t xml:space="preserve">множество </w:t>
        </w:r>
        <w:r w:rsidR="00EC4333" w:rsidRPr="00C83180">
          <w:t xml:space="preserve">варианти, </w:t>
        </w:r>
        <w:r>
          <w:t xml:space="preserve">той се </w:t>
        </w:r>
        <w:r w:rsidR="00EC4333" w:rsidRPr="00C83180">
          <w:t>актуализира на всеки 6 месеца. Той съобщи, че е прие</w:t>
        </w:r>
        <w:r>
          <w:t>т</w:t>
        </w:r>
        <w:r w:rsidR="00EC4333" w:rsidRPr="00C83180">
          <w:t xml:space="preserve"> преразгледан вариант на предишния ден, ко</w:t>
        </w:r>
        <w:r>
          <w:t>й</w:t>
        </w:r>
        <w:r w:rsidR="00EC4333" w:rsidRPr="00C83180">
          <w:t>то ще бъд</w:t>
        </w:r>
        <w:r>
          <w:t>е публикуван</w:t>
        </w:r>
        <w:r w:rsidR="00EC4333" w:rsidRPr="00C83180">
          <w:t xml:space="preserve"> след шест месеца. </w:t>
        </w:r>
        <w:r w:rsidRPr="00C83180">
          <w:t xml:space="preserve">ECSO </w:t>
        </w:r>
        <w:r>
          <w:t>п</w:t>
        </w:r>
        <w:r w:rsidR="00EC4333" w:rsidRPr="00C83180">
          <w:t xml:space="preserve">риветства получаването на допълнителни коментари от страна на членовете на </w:t>
        </w:r>
        <w:r w:rsidRPr="00C83180">
          <w:t>MSP</w:t>
        </w:r>
        <w:r w:rsidR="00EC4333" w:rsidRPr="00C83180">
          <w:t>, които биха могли да бъдат включени в следващата версия.</w:t>
        </w:r>
      </w:hyperlink>
    </w:p>
    <w:p w:rsidR="00C83180" w:rsidRPr="00C83180" w:rsidRDefault="00C83180" w:rsidP="00C83180">
      <w:pPr>
        <w:pStyle w:val="ListParagraph"/>
        <w:ind w:left="0"/>
        <w:jc w:val="both"/>
      </w:pPr>
    </w:p>
    <w:p w:rsidR="005B287D" w:rsidRPr="00C83180" w:rsidRDefault="00C83180" w:rsidP="00C83180">
      <w:pPr>
        <w:pStyle w:val="Heading1"/>
        <w:numPr>
          <w:ilvl w:val="0"/>
          <w:numId w:val="3"/>
        </w:numPr>
        <w:spacing w:before="0" w:after="0"/>
        <w:ind w:left="0" w:firstLine="0"/>
      </w:pPr>
      <w:r>
        <w:t>Заседание по същество</w:t>
      </w:r>
    </w:p>
    <w:p w:rsidR="005B287D" w:rsidRDefault="00EC4333" w:rsidP="00C83180">
      <w:pPr>
        <w:spacing w:after="0"/>
        <w:ind w:firstLine="720"/>
      </w:pPr>
      <w:r w:rsidRPr="00C83180">
        <w:t xml:space="preserve">Заседанието беше </w:t>
      </w:r>
      <w:r w:rsidR="00C83180">
        <w:t>закрито</w:t>
      </w:r>
      <w:r w:rsidRPr="00C83180">
        <w:t xml:space="preserve">. Участниците бяха членове на платформата, </w:t>
      </w:r>
      <w:r w:rsidR="00C83180">
        <w:t>длъжностни</w:t>
      </w:r>
      <w:r w:rsidRPr="00C83180">
        <w:t xml:space="preserve"> лица</w:t>
      </w:r>
      <w:r w:rsidR="00C83180" w:rsidRPr="00C83180">
        <w:t xml:space="preserve"> </w:t>
      </w:r>
      <w:r w:rsidR="00C83180">
        <w:t xml:space="preserve">от </w:t>
      </w:r>
      <w:r w:rsidR="00C83180" w:rsidRPr="00C83180">
        <w:t>Комисията</w:t>
      </w:r>
      <w:r w:rsidRPr="00C83180">
        <w:t xml:space="preserve">, занимаващи се със съответните политики и някои </w:t>
      </w:r>
      <w:r w:rsidRPr="00C83180">
        <w:lastRenderedPageBreak/>
        <w:t>експерти, поканени по конкретни точки в дневния ред (вж. списък на участниците в точка 5).</w:t>
      </w:r>
      <w:r w:rsidRPr="00C83180">
        <w:rPr>
          <w:rStyle w:val="FootnoteAnchor"/>
        </w:rPr>
        <w:footnoteReference w:id="2"/>
      </w:r>
    </w:p>
    <w:p w:rsidR="00C83180" w:rsidRPr="00C83180" w:rsidRDefault="00C83180" w:rsidP="00C83180">
      <w:pPr>
        <w:spacing w:after="0"/>
        <w:ind w:firstLine="720"/>
      </w:pPr>
    </w:p>
    <w:p w:rsidR="005B287D" w:rsidRPr="00C83180" w:rsidRDefault="00EC4333" w:rsidP="00C83180">
      <w:pPr>
        <w:pStyle w:val="Heading1"/>
        <w:numPr>
          <w:ilvl w:val="0"/>
          <w:numId w:val="3"/>
        </w:numPr>
        <w:spacing w:before="0" w:after="0"/>
        <w:ind w:left="0" w:firstLine="0"/>
      </w:pPr>
      <w:r w:rsidRPr="00C83180">
        <w:t>Списък с дискутираните точки</w:t>
      </w:r>
    </w:p>
    <w:p w:rsidR="005B287D" w:rsidRDefault="00EC4333" w:rsidP="00C83180">
      <w:pPr>
        <w:pStyle w:val="Heading1"/>
        <w:numPr>
          <w:ilvl w:val="0"/>
          <w:numId w:val="0"/>
        </w:numPr>
        <w:pBdr>
          <w:bottom w:val="single" w:sz="4" w:space="1" w:color="00000A"/>
        </w:pBdr>
        <w:spacing w:before="0" w:after="0"/>
        <w:ind w:left="480" w:hanging="480"/>
        <w:rPr>
          <w:rFonts w:asciiTheme="minorHAnsi" w:hAnsiTheme="minorHAnsi"/>
        </w:rPr>
      </w:pPr>
      <w:r w:rsidRPr="00C83180">
        <w:rPr>
          <w:rFonts w:ascii="Times New Roman Bold" w:hAnsi="Times New Roman Bold"/>
        </w:rPr>
        <w:t>Отк</w:t>
      </w:r>
      <w:r w:rsidR="00C83180" w:rsidRPr="00C83180">
        <w:rPr>
          <w:rFonts w:ascii="Times New Roman Bold" w:hAnsi="Times New Roman Bold"/>
        </w:rPr>
        <w:t>риване на заседанието</w:t>
      </w:r>
    </w:p>
    <w:p w:rsidR="00C83180" w:rsidRPr="00C83180" w:rsidRDefault="00C83180" w:rsidP="00C83180">
      <w:pPr>
        <w:pStyle w:val="Heading1"/>
        <w:numPr>
          <w:ilvl w:val="0"/>
          <w:numId w:val="0"/>
        </w:numPr>
        <w:pBdr>
          <w:bottom w:val="single" w:sz="4" w:space="1" w:color="00000A"/>
        </w:pBdr>
        <w:spacing w:before="0" w:after="0"/>
        <w:ind w:left="480" w:hanging="480"/>
        <w:rPr>
          <w:rFonts w:asciiTheme="minorHAnsi" w:hAnsiTheme="minorHAnsi"/>
        </w:rPr>
      </w:pPr>
    </w:p>
    <w:p w:rsidR="005B287D" w:rsidRPr="00C83180" w:rsidRDefault="00EC4333" w:rsidP="00C83180">
      <w:pPr>
        <w:pStyle w:val="ListParagraph"/>
        <w:ind w:left="0" w:firstLine="480"/>
        <w:jc w:val="both"/>
        <w:rPr>
          <w:i/>
        </w:rPr>
      </w:pPr>
      <w:proofErr w:type="spellStart"/>
      <w:r w:rsidRPr="00C83180">
        <w:rPr>
          <w:i/>
        </w:rPr>
        <w:t>Kirsi</w:t>
      </w:r>
      <w:proofErr w:type="spellEnd"/>
      <w:r w:rsidRPr="00C83180">
        <w:rPr>
          <w:i/>
        </w:rPr>
        <w:t xml:space="preserve"> </w:t>
      </w:r>
      <w:proofErr w:type="spellStart"/>
      <w:r w:rsidRPr="00C83180">
        <w:rPr>
          <w:i/>
        </w:rPr>
        <w:t>Ekroth-Manssila</w:t>
      </w:r>
      <w:proofErr w:type="spellEnd"/>
      <w:r w:rsidRPr="00C83180">
        <w:rPr>
          <w:i/>
        </w:rPr>
        <w:t>, съпредседател (</w:t>
      </w:r>
      <w:r w:rsidR="00C83180" w:rsidRPr="00C83180">
        <w:rPr>
          <w:i/>
        </w:rPr>
        <w:t>DG GROW F3</w:t>
      </w:r>
      <w:r w:rsidRPr="00C83180">
        <w:rPr>
          <w:i/>
        </w:rPr>
        <w:t xml:space="preserve">), </w:t>
      </w:r>
      <w:r w:rsidRPr="00C83180">
        <w:t>откри заседанието</w:t>
      </w:r>
      <w:r w:rsidRPr="00C83180">
        <w:rPr>
          <w:i/>
        </w:rPr>
        <w:t>.</w:t>
      </w:r>
      <w:r w:rsidRPr="00C83180">
        <w:t xml:space="preserve"> Следобедната сесия беше председателствана от </w:t>
      </w:r>
      <w:proofErr w:type="spellStart"/>
      <w:r w:rsidR="00C83180" w:rsidRPr="00C83180">
        <w:t>Peteris</w:t>
      </w:r>
      <w:proofErr w:type="spellEnd"/>
      <w:r w:rsidR="00C83180" w:rsidRPr="00C83180">
        <w:t xml:space="preserve"> </w:t>
      </w:r>
      <w:proofErr w:type="spellStart"/>
      <w:r w:rsidR="00C83180" w:rsidRPr="00C83180">
        <w:t>Zilgalvis</w:t>
      </w:r>
      <w:proofErr w:type="spellEnd"/>
      <w:r w:rsidR="00C83180" w:rsidRPr="00C83180">
        <w:t xml:space="preserve"> </w:t>
      </w:r>
      <w:r w:rsidRPr="00C83180">
        <w:t>(</w:t>
      </w:r>
      <w:r w:rsidR="00C83180" w:rsidRPr="00C83180">
        <w:t>DG CNECT F3</w:t>
      </w:r>
      <w:r w:rsidRPr="00C83180">
        <w:t>).</w:t>
      </w:r>
    </w:p>
    <w:p w:rsidR="005B287D" w:rsidRDefault="00EC4333" w:rsidP="00C83180">
      <w:pPr>
        <w:pStyle w:val="ListParagraph"/>
        <w:ind w:left="0" w:firstLine="480"/>
        <w:jc w:val="both"/>
      </w:pPr>
      <w:r w:rsidRPr="00C83180">
        <w:t xml:space="preserve">Председателят представи извинения </w:t>
      </w:r>
      <w:r w:rsidR="007A24CA">
        <w:t xml:space="preserve">на </w:t>
      </w:r>
      <w:r w:rsidR="007A24CA" w:rsidRPr="00C83180">
        <w:t>представители</w:t>
      </w:r>
      <w:r w:rsidR="007A24CA">
        <w:t>те на</w:t>
      </w:r>
      <w:r w:rsidRPr="00C83180">
        <w:t xml:space="preserve"> ECMA International, Австрия, Унгария, Хърватия и Лихтенщайн, ко</w:t>
      </w:r>
      <w:r w:rsidR="007A24CA">
        <w:t>и</w:t>
      </w:r>
      <w:r w:rsidRPr="00C83180">
        <w:t>то б</w:t>
      </w:r>
      <w:r w:rsidR="007A24CA">
        <w:t>яха</w:t>
      </w:r>
      <w:r w:rsidRPr="00C83180">
        <w:t xml:space="preserve"> възпрепятстван</w:t>
      </w:r>
      <w:r w:rsidR="007A24CA">
        <w:t>и</w:t>
      </w:r>
      <w:r w:rsidRPr="00C83180">
        <w:t xml:space="preserve"> да присъства</w:t>
      </w:r>
      <w:r w:rsidR="007A24CA">
        <w:t>т</w:t>
      </w:r>
      <w:r w:rsidRPr="00C83180">
        <w:t xml:space="preserve"> на заседанието.</w:t>
      </w:r>
    </w:p>
    <w:p w:rsidR="00C83180" w:rsidRPr="00C83180" w:rsidRDefault="00C83180" w:rsidP="00C83180">
      <w:pPr>
        <w:pStyle w:val="ListParagraph"/>
        <w:ind w:left="0" w:firstLine="480"/>
        <w:jc w:val="both"/>
      </w:pPr>
    </w:p>
    <w:p w:rsidR="005B287D" w:rsidRPr="00C83180" w:rsidRDefault="00EC4333" w:rsidP="00C83180">
      <w:pPr>
        <w:pStyle w:val="Heading1"/>
        <w:numPr>
          <w:ilvl w:val="0"/>
          <w:numId w:val="0"/>
        </w:numPr>
        <w:pBdr>
          <w:bottom w:val="single" w:sz="4" w:space="1" w:color="00000A"/>
        </w:pBdr>
        <w:spacing w:before="0" w:after="0"/>
        <w:ind w:left="480" w:hanging="480"/>
      </w:pPr>
      <w:r w:rsidRPr="00C83180">
        <w:t>Въпроси, свързани с политиката и управлението</w:t>
      </w:r>
    </w:p>
    <w:p w:rsidR="005B287D" w:rsidRPr="00C83180" w:rsidRDefault="00EC4333" w:rsidP="00C83180">
      <w:pPr>
        <w:pStyle w:val="Heading2"/>
        <w:spacing w:before="0" w:after="0"/>
        <w:rPr>
          <w:sz w:val="26"/>
          <w:szCs w:val="26"/>
          <w:lang w:eastAsia="en-GB"/>
        </w:rPr>
      </w:pPr>
      <w:r w:rsidRPr="00C83180">
        <w:rPr>
          <w:sz w:val="26"/>
          <w:szCs w:val="26"/>
          <w:lang w:eastAsia="en-GB"/>
        </w:rPr>
        <w:t>Идентификаци</w:t>
      </w:r>
      <w:r w:rsidR="007A24CA">
        <w:rPr>
          <w:sz w:val="26"/>
          <w:szCs w:val="26"/>
          <w:lang w:eastAsia="en-GB"/>
        </w:rPr>
        <w:t>онен процес</w:t>
      </w:r>
      <w:r w:rsidRPr="00C83180">
        <w:rPr>
          <w:sz w:val="26"/>
          <w:szCs w:val="26"/>
          <w:lang w:eastAsia="en-GB"/>
        </w:rPr>
        <w:t xml:space="preserve"> </w:t>
      </w:r>
      <w:r w:rsidR="007A24CA">
        <w:rPr>
          <w:sz w:val="26"/>
          <w:szCs w:val="26"/>
          <w:lang w:eastAsia="en-GB"/>
        </w:rPr>
        <w:t>- ускорена</w:t>
      </w:r>
      <w:r w:rsidRPr="00C83180">
        <w:rPr>
          <w:sz w:val="26"/>
          <w:szCs w:val="26"/>
          <w:lang w:eastAsia="en-GB"/>
        </w:rPr>
        <w:t xml:space="preserve"> процедура</w:t>
      </w:r>
    </w:p>
    <w:p w:rsidR="005B287D" w:rsidRPr="00C83180" w:rsidRDefault="00EC4333" w:rsidP="007A24CA">
      <w:pPr>
        <w:pStyle w:val="ListParagraph"/>
        <w:ind w:left="0" w:firstLine="720"/>
        <w:jc w:val="both"/>
        <w:rPr>
          <w:bCs/>
        </w:rPr>
      </w:pPr>
      <w:proofErr w:type="spellStart"/>
      <w:r w:rsidRPr="00C83180">
        <w:rPr>
          <w:i/>
        </w:rPr>
        <w:t>Rodolphe</w:t>
      </w:r>
      <w:proofErr w:type="spellEnd"/>
      <w:r w:rsidRPr="00C83180">
        <w:rPr>
          <w:i/>
        </w:rPr>
        <w:t xml:space="preserve"> </w:t>
      </w:r>
      <w:proofErr w:type="spellStart"/>
      <w:r w:rsidRPr="00C83180">
        <w:rPr>
          <w:i/>
        </w:rPr>
        <w:t>Wouters</w:t>
      </w:r>
      <w:proofErr w:type="spellEnd"/>
      <w:r w:rsidRPr="00C83180">
        <w:rPr>
          <w:i/>
        </w:rPr>
        <w:t xml:space="preserve"> (</w:t>
      </w:r>
      <w:r w:rsidR="007A24CA" w:rsidRPr="007A24CA">
        <w:rPr>
          <w:i/>
        </w:rPr>
        <w:t>DG GROW F3</w:t>
      </w:r>
      <w:r w:rsidRPr="00C83180">
        <w:rPr>
          <w:i/>
        </w:rPr>
        <w:t xml:space="preserve">) </w:t>
      </w:r>
      <w:r w:rsidRPr="007A24CA">
        <w:t xml:space="preserve">представи предложение за нова </w:t>
      </w:r>
      <w:r w:rsidR="007A24CA">
        <w:t xml:space="preserve">ускорена </w:t>
      </w:r>
      <w:r w:rsidRPr="007A24CA">
        <w:t xml:space="preserve">процедура с използването на </w:t>
      </w:r>
      <w:r w:rsidR="007A24CA" w:rsidRPr="007A24CA">
        <w:t>подкрепа</w:t>
      </w:r>
      <w:r w:rsidR="007A24CA">
        <w:t>та</w:t>
      </w:r>
      <w:r w:rsidR="007A24CA" w:rsidRPr="007A24CA">
        <w:t xml:space="preserve"> </w:t>
      </w:r>
      <w:r w:rsidRPr="007A24CA">
        <w:t>CAMSS екип (документи ИКТ/MSP(2017) 014а &amp; 014a-01 — Flowchart-).</w:t>
      </w:r>
      <w:hyperlink r:id="rId11">
        <w:r w:rsidRPr="007A24CA">
          <w:rPr>
            <w:bCs/>
          </w:rPr>
          <w:t xml:space="preserve"> Документът</w:t>
        </w:r>
        <w:r w:rsidR="007A24CA">
          <w:rPr>
            <w:bCs/>
          </w:rPr>
          <w:t>,</w:t>
        </w:r>
        <w:r w:rsidRPr="007A24CA">
          <w:rPr>
            <w:bCs/>
          </w:rPr>
          <w:t xml:space="preserve"> </w:t>
        </w:r>
        <w:r w:rsidR="007A24CA">
          <w:rPr>
            <w:bCs/>
          </w:rPr>
          <w:t>публикуван</w:t>
        </w:r>
        <w:r w:rsidRPr="007A24CA">
          <w:rPr>
            <w:bCs/>
          </w:rPr>
          <w:t xml:space="preserve"> в CIRCA BC</w:t>
        </w:r>
        <w:r w:rsidR="007A24CA">
          <w:rPr>
            <w:bCs/>
          </w:rPr>
          <w:t>, получи коментари от Ц</w:t>
        </w:r>
        <w:r w:rsidRPr="007A24CA">
          <w:rPr>
            <w:bCs/>
          </w:rPr>
          <w:t>ифрова Европа, Швейцария и ИКТ/MSP(2017) CEN-CENELEC (документи 556, 562 &amp; 563).</w:t>
        </w:r>
      </w:hyperlink>
      <w:hyperlink r:id="rId12">
        <w:r w:rsidRPr="00C83180">
          <w:rPr>
            <w:bCs/>
          </w:rPr>
          <w:t xml:space="preserve"> </w:t>
        </w:r>
      </w:hyperlink>
      <w:r w:rsidRPr="00C83180">
        <w:t xml:space="preserve">Резултата от новата процедура ще бъде доклад с предварителна оценка, която да бъде одобрена на </w:t>
      </w:r>
      <w:r w:rsidR="007A24CA" w:rsidRPr="007A24CA">
        <w:t>MSP</w:t>
      </w:r>
      <w:r w:rsidRPr="00C83180">
        <w:t>.</w:t>
      </w:r>
    </w:p>
    <w:p w:rsidR="005B287D" w:rsidRPr="00C83180" w:rsidRDefault="00EC4333" w:rsidP="007A24CA">
      <w:pPr>
        <w:pStyle w:val="ListParagraph"/>
        <w:ind w:left="0" w:firstLine="720"/>
        <w:jc w:val="both"/>
      </w:pPr>
      <w:r w:rsidRPr="00C83180">
        <w:t xml:space="preserve">По време на последвалата дискусия членовете изразиха подкрепа за този нов процес. </w:t>
      </w:r>
      <w:r w:rsidR="007A24CA">
        <w:t>Б</w:t>
      </w:r>
      <w:r w:rsidR="007A24CA" w:rsidRPr="00C83180">
        <w:t xml:space="preserve">яха подчертани </w:t>
      </w:r>
      <w:r w:rsidR="007A24CA">
        <w:t>с</w:t>
      </w:r>
      <w:r w:rsidRPr="00C83180">
        <w:t xml:space="preserve">ледните въпроси и предложения: този процес </w:t>
      </w:r>
      <w:r w:rsidR="007A24CA">
        <w:t xml:space="preserve">да </w:t>
      </w:r>
      <w:r w:rsidRPr="00C83180">
        <w:t>се нарича „рационализира</w:t>
      </w:r>
      <w:r w:rsidR="007A24CA">
        <w:t>на процедура „вместо „ускорена</w:t>
      </w:r>
      <w:r w:rsidRPr="00C83180">
        <w:t xml:space="preserve"> процедура“; </w:t>
      </w:r>
      <w:r w:rsidR="007A24CA" w:rsidRPr="00C83180">
        <w:t>процес</w:t>
      </w:r>
      <w:r w:rsidR="007A24CA">
        <w:t>ът</w:t>
      </w:r>
      <w:r w:rsidR="007A24CA" w:rsidRPr="00C83180">
        <w:t xml:space="preserve"> </w:t>
      </w:r>
      <w:r w:rsidRPr="00C83180">
        <w:t xml:space="preserve">да започне с формален въпрос, а не само с изразяване на интерес; </w:t>
      </w:r>
      <w:r w:rsidR="007A24CA" w:rsidRPr="00C83180">
        <w:t xml:space="preserve">за да </w:t>
      </w:r>
      <w:r w:rsidR="007A24CA">
        <w:t xml:space="preserve">се </w:t>
      </w:r>
      <w:r w:rsidR="007A24CA" w:rsidRPr="00C83180">
        <w:t>ускор</w:t>
      </w:r>
      <w:r w:rsidR="007A24CA">
        <w:t>и</w:t>
      </w:r>
      <w:r w:rsidR="007A24CA" w:rsidRPr="00C83180">
        <w:t xml:space="preserve"> процеса </w:t>
      </w:r>
      <w:r w:rsidRPr="00C83180">
        <w:t>да се избегне задължителн</w:t>
      </w:r>
      <w:r w:rsidR="007A24CA">
        <w:t>ото</w:t>
      </w:r>
      <w:r w:rsidRPr="00C83180">
        <w:t xml:space="preserve"> правило </w:t>
      </w:r>
      <w:r w:rsidR="007A24CA" w:rsidRPr="00C83180">
        <w:t xml:space="preserve">за представяне </w:t>
      </w:r>
      <w:r w:rsidRPr="00C83180">
        <w:t xml:space="preserve">преди заседанието; да се поддържат отделни стъпка от процеса на подаване и проекта за доклад за оценка, но представяне под формата на минимално равнище, със задължителни полета; да </w:t>
      </w:r>
      <w:r w:rsidR="007A24CA">
        <w:t xml:space="preserve">се </w:t>
      </w:r>
      <w:r w:rsidRPr="00C83180">
        <w:t xml:space="preserve">позволи участието на доброволци </w:t>
      </w:r>
      <w:r w:rsidR="007A24CA">
        <w:t xml:space="preserve">от </w:t>
      </w:r>
      <w:r w:rsidR="007A24CA" w:rsidRPr="007A24CA">
        <w:t xml:space="preserve">MSP </w:t>
      </w:r>
      <w:r w:rsidRPr="00C83180">
        <w:t>по време на процеса; да се установят някои критерии за създаването на работна група за оценка, кат</w:t>
      </w:r>
      <w:r w:rsidR="007A24CA">
        <w:t>о някои предлагат да бъде създавана</w:t>
      </w:r>
      <w:r w:rsidRPr="00C83180">
        <w:t xml:space="preserve"> автоматично след мо</w:t>
      </w:r>
      <w:r w:rsidR="007A24CA">
        <w:t xml:space="preserve">тивирано искане от някой член, докато другото </w:t>
      </w:r>
      <w:r w:rsidRPr="00C83180">
        <w:t xml:space="preserve">ще бъде предварително </w:t>
      </w:r>
      <w:r w:rsidR="007A24CA">
        <w:t>не</w:t>
      </w:r>
      <w:r w:rsidR="007A24CA" w:rsidRPr="00C83180">
        <w:t xml:space="preserve">осъществимо </w:t>
      </w:r>
      <w:r w:rsidRPr="00C83180">
        <w:t xml:space="preserve">решение, тъй като </w:t>
      </w:r>
      <w:r w:rsidR="007A24CA">
        <w:t xml:space="preserve">ще </w:t>
      </w:r>
      <w:r w:rsidRPr="00C83180">
        <w:t xml:space="preserve">отнема твърде много време и би довело до </w:t>
      </w:r>
      <w:r w:rsidR="007A24CA">
        <w:t>същата</w:t>
      </w:r>
      <w:r w:rsidRPr="00C83180">
        <w:t xml:space="preserve"> тежест; да се осигури достатъчно време за </w:t>
      </w:r>
      <w:r w:rsidR="007A24CA" w:rsidRPr="007A24CA">
        <w:t>MSP</w:t>
      </w:r>
      <w:r w:rsidRPr="00C83180">
        <w:t xml:space="preserve"> членовете да разгледа</w:t>
      </w:r>
      <w:r w:rsidR="007A24CA">
        <w:t>т</w:t>
      </w:r>
      <w:r w:rsidRPr="00C83180">
        <w:t xml:space="preserve"> проекта и </w:t>
      </w:r>
      <w:r w:rsidR="007A24CA">
        <w:t xml:space="preserve">да дадат мнение </w:t>
      </w:r>
      <w:r w:rsidRPr="00C83180">
        <w:t xml:space="preserve">по проекта за доклад за оценка (най-малко 3 седмици); възможност за повторно използване на информацията, съдържаща се в предишните доклади за оценка, но за проверка и </w:t>
      </w:r>
      <w:r w:rsidR="007A24CA">
        <w:t>при</w:t>
      </w:r>
      <w:r w:rsidRPr="00C83180">
        <w:t xml:space="preserve"> изрично </w:t>
      </w:r>
      <w:r w:rsidR="007A24CA">
        <w:t>потвърждение, че</w:t>
      </w:r>
      <w:r w:rsidRPr="00C83180">
        <w:t xml:space="preserve"> отчети</w:t>
      </w:r>
      <w:r w:rsidR="007A24CA">
        <w:t>те</w:t>
      </w:r>
      <w:r w:rsidRPr="00C83180">
        <w:t xml:space="preserve"> все още са валидни (тъй като може да е имало промени); да </w:t>
      </w:r>
      <w:r w:rsidR="007A24CA">
        <w:t xml:space="preserve">се </w:t>
      </w:r>
      <w:r w:rsidRPr="00C83180">
        <w:t xml:space="preserve">обмисли използването на съвременни инструменти за съвместна работа за </w:t>
      </w:r>
      <w:r w:rsidR="007A24CA" w:rsidRPr="007A24CA">
        <w:t>MSP</w:t>
      </w:r>
      <w:r w:rsidRPr="00C83180">
        <w:t xml:space="preserve"> членове</w:t>
      </w:r>
      <w:r w:rsidR="007A24CA">
        <w:t>те</w:t>
      </w:r>
      <w:r w:rsidRPr="00C83180">
        <w:t xml:space="preserve"> за </w:t>
      </w:r>
      <w:r w:rsidR="00611668" w:rsidRPr="00C83180">
        <w:t>паралелн</w:t>
      </w:r>
      <w:r w:rsidR="00611668">
        <w:t>о</w:t>
      </w:r>
      <w:r w:rsidR="00611668" w:rsidRPr="00C83180">
        <w:t xml:space="preserve"> </w:t>
      </w:r>
      <w:r w:rsidRPr="00C83180">
        <w:t xml:space="preserve">наблюдение на текущата оценка (т.е. </w:t>
      </w:r>
      <w:proofErr w:type="spellStart"/>
      <w:r w:rsidRPr="00C83180">
        <w:t>уики</w:t>
      </w:r>
      <w:proofErr w:type="spellEnd"/>
      <w:r w:rsidRPr="00C83180">
        <w:t xml:space="preserve">) и работния процес </w:t>
      </w:r>
      <w:r w:rsidR="00611668">
        <w:t>и избягване</w:t>
      </w:r>
      <w:r w:rsidRPr="00C83180">
        <w:t xml:space="preserve"> </w:t>
      </w:r>
      <w:r w:rsidR="00611668">
        <w:t>на</w:t>
      </w:r>
      <w:r w:rsidRPr="00C83180">
        <w:t xml:space="preserve"> </w:t>
      </w:r>
      <w:r w:rsidR="00611668">
        <w:t>многократно връщане</w:t>
      </w:r>
      <w:r w:rsidRPr="00C83180">
        <w:t xml:space="preserve"> назад и напред; да </w:t>
      </w:r>
      <w:r w:rsidR="00611668">
        <w:t xml:space="preserve">се </w:t>
      </w:r>
      <w:r w:rsidRPr="00C83180">
        <w:t>уведом</w:t>
      </w:r>
      <w:r w:rsidR="00611668">
        <w:t>яват</w:t>
      </w:r>
      <w:r w:rsidRPr="00C83180">
        <w:t xml:space="preserve"> членовете на </w:t>
      </w:r>
      <w:r w:rsidR="00611668" w:rsidRPr="00611668">
        <w:t>MSP</w:t>
      </w:r>
      <w:r w:rsidRPr="00C83180">
        <w:t xml:space="preserve">, </w:t>
      </w:r>
      <w:r w:rsidR="00611668" w:rsidRPr="00C83180">
        <w:t>от страна на CAMSS екип</w:t>
      </w:r>
      <w:r w:rsidR="00611668">
        <w:t>а,</w:t>
      </w:r>
      <w:r w:rsidR="00611668" w:rsidRPr="00C83180">
        <w:t xml:space="preserve"> </w:t>
      </w:r>
      <w:r w:rsidRPr="00C83180">
        <w:t xml:space="preserve">когато </w:t>
      </w:r>
      <w:r w:rsidR="00611668" w:rsidRPr="00C83180">
        <w:t xml:space="preserve">в рамките на процеса на оценяване са достъпни </w:t>
      </w:r>
      <w:r w:rsidRPr="00C83180">
        <w:t>нови документи; да се гарантира, че оценката на CAMSS екип</w:t>
      </w:r>
      <w:r w:rsidR="00611668">
        <w:t>а</w:t>
      </w:r>
      <w:r w:rsidRPr="00C83180">
        <w:t xml:space="preserve"> е направен</w:t>
      </w:r>
      <w:r w:rsidR="00611668">
        <w:t>а</w:t>
      </w:r>
      <w:r w:rsidRPr="00C83180">
        <w:t xml:space="preserve"> след</w:t>
      </w:r>
      <w:r w:rsidR="00611668">
        <w:t>вайки</w:t>
      </w:r>
      <w:r w:rsidRPr="00C83180">
        <w:t xml:space="preserve"> </w:t>
      </w:r>
      <w:r w:rsidR="00611668" w:rsidRPr="00C83180">
        <w:t>критерии</w:t>
      </w:r>
      <w:r w:rsidR="00611668">
        <w:t>те в</w:t>
      </w:r>
      <w:r w:rsidR="00611668" w:rsidRPr="00C83180">
        <w:t xml:space="preserve"> </w:t>
      </w:r>
      <w:r w:rsidR="00611668">
        <w:t>П</w:t>
      </w:r>
      <w:r w:rsidRPr="00C83180">
        <w:t xml:space="preserve">риложение II; в този смисъл, да </w:t>
      </w:r>
      <w:r w:rsidR="00611668">
        <w:t xml:space="preserve">се </w:t>
      </w:r>
      <w:r w:rsidRPr="00C83180">
        <w:t>потвърди, че не съществува никакво разминаване между CAMSS метод</w:t>
      </w:r>
      <w:r w:rsidR="00611668">
        <w:t>а</w:t>
      </w:r>
      <w:r w:rsidRPr="00C83180">
        <w:t xml:space="preserve"> и критерии</w:t>
      </w:r>
      <w:r w:rsidR="00611668">
        <w:t>те</w:t>
      </w:r>
      <w:r w:rsidRPr="00C83180">
        <w:t xml:space="preserve"> за оценка; по специално на първоначалното заседание следва да включват в диаграмата; да </w:t>
      </w:r>
      <w:r w:rsidR="00611668">
        <w:t xml:space="preserve">се </w:t>
      </w:r>
      <w:r w:rsidRPr="00C83180">
        <w:t>ускор</w:t>
      </w:r>
      <w:r w:rsidR="00611668">
        <w:t>и</w:t>
      </w:r>
      <w:r w:rsidRPr="00C83180">
        <w:t xml:space="preserve"> процеса след одобрение от </w:t>
      </w:r>
      <w:r w:rsidR="00611668" w:rsidRPr="00611668">
        <w:t>MSP</w:t>
      </w:r>
      <w:r w:rsidRPr="00C83180">
        <w:t xml:space="preserve">, т.е., консултация с експерти от </w:t>
      </w:r>
      <w:r w:rsidR="00611668">
        <w:t>сектора, решението на Комисията;</w:t>
      </w:r>
      <w:r w:rsidRPr="00C83180">
        <w:rPr>
          <w:bCs/>
        </w:rPr>
        <w:t xml:space="preserve"> </w:t>
      </w:r>
      <w:r w:rsidR="00611668">
        <w:rPr>
          <w:bCs/>
        </w:rPr>
        <w:t>да се запази</w:t>
      </w:r>
      <w:r w:rsidRPr="00C83180">
        <w:rPr>
          <w:bCs/>
        </w:rPr>
        <w:t xml:space="preserve"> контрол</w:t>
      </w:r>
      <w:r w:rsidR="00611668">
        <w:rPr>
          <w:bCs/>
        </w:rPr>
        <w:t>а</w:t>
      </w:r>
      <w:r w:rsidRPr="00C83180">
        <w:rPr>
          <w:bCs/>
        </w:rPr>
        <w:t xml:space="preserve"> на процеса</w:t>
      </w:r>
      <w:r w:rsidR="00611668">
        <w:rPr>
          <w:bCs/>
        </w:rPr>
        <w:t xml:space="preserve"> от страна на </w:t>
      </w:r>
      <w:r w:rsidR="00611668" w:rsidRPr="00611668">
        <w:rPr>
          <w:bCs/>
        </w:rPr>
        <w:t>MSP</w:t>
      </w:r>
      <w:r w:rsidRPr="00C83180">
        <w:rPr>
          <w:bCs/>
        </w:rPr>
        <w:t>; да се гарантира</w:t>
      </w:r>
      <w:r w:rsidR="00611668">
        <w:rPr>
          <w:bCs/>
        </w:rPr>
        <w:t>т</w:t>
      </w:r>
      <w:r w:rsidRPr="00C83180">
        <w:rPr>
          <w:bCs/>
        </w:rPr>
        <w:t xml:space="preserve"> </w:t>
      </w:r>
      <w:r w:rsidR="00611668">
        <w:rPr>
          <w:bCs/>
        </w:rPr>
        <w:t>(</w:t>
      </w:r>
      <w:r w:rsidRPr="00C83180">
        <w:rPr>
          <w:bCs/>
        </w:rPr>
        <w:t>дори да стан</w:t>
      </w:r>
      <w:r w:rsidR="00611668">
        <w:rPr>
          <w:bCs/>
        </w:rPr>
        <w:t>ат</w:t>
      </w:r>
      <w:r w:rsidRPr="00C83180">
        <w:rPr>
          <w:bCs/>
        </w:rPr>
        <w:t xml:space="preserve"> задължител</w:t>
      </w:r>
      <w:r w:rsidR="00611668">
        <w:rPr>
          <w:bCs/>
        </w:rPr>
        <w:t>ни)</w:t>
      </w:r>
      <w:r w:rsidRPr="00C83180">
        <w:rPr>
          <w:bCs/>
        </w:rPr>
        <w:t xml:space="preserve"> контакти</w:t>
      </w:r>
      <w:r w:rsidR="00611668">
        <w:rPr>
          <w:bCs/>
        </w:rPr>
        <w:t xml:space="preserve">те със </w:t>
      </w:r>
      <w:proofErr w:type="spellStart"/>
      <w:r w:rsidR="00611668">
        <w:rPr>
          <w:bCs/>
        </w:rPr>
        <w:t>стандартизационните</w:t>
      </w:r>
      <w:proofErr w:type="spellEnd"/>
      <w:r w:rsidR="00611668">
        <w:rPr>
          <w:bCs/>
        </w:rPr>
        <w:t xml:space="preserve"> организации,</w:t>
      </w:r>
      <w:r w:rsidRPr="00C83180">
        <w:rPr>
          <w:bCs/>
        </w:rPr>
        <w:t xml:space="preserve"> разработва</w:t>
      </w:r>
      <w:r w:rsidR="00611668">
        <w:rPr>
          <w:bCs/>
        </w:rPr>
        <w:t>щи</w:t>
      </w:r>
      <w:r w:rsidRPr="00C83180">
        <w:rPr>
          <w:bCs/>
        </w:rPr>
        <w:t xml:space="preserve"> технически спецификации, за да се гарантира цялостното качество на отчета.</w:t>
      </w:r>
    </w:p>
    <w:p w:rsidR="005B287D" w:rsidRPr="00C83180" w:rsidRDefault="00EC4333" w:rsidP="00611668">
      <w:pPr>
        <w:spacing w:after="0"/>
        <w:ind w:firstLine="720"/>
      </w:pPr>
      <w:r w:rsidRPr="00C83180">
        <w:t>Председателят обобщи обсъжданията: като се има предвид успехът на пилот</w:t>
      </w:r>
      <w:r w:rsidR="00F24308">
        <w:t>ния проект</w:t>
      </w:r>
      <w:r w:rsidRPr="00C83180">
        <w:t xml:space="preserve">, </w:t>
      </w:r>
      <w:r w:rsidR="00F24308" w:rsidRPr="00F24308">
        <w:t xml:space="preserve">MSP </w:t>
      </w:r>
      <w:r w:rsidRPr="00C83180">
        <w:t xml:space="preserve">подкрепя рационализирана процедура да стане основният процес; процесът ще започне с представянето от държавите членки или Комисията, без да </w:t>
      </w:r>
      <w:r w:rsidR="00F24308">
        <w:t xml:space="preserve">се </w:t>
      </w:r>
      <w:r w:rsidRPr="00C83180">
        <w:t xml:space="preserve">чака </w:t>
      </w:r>
      <w:r w:rsidRPr="00C83180">
        <w:lastRenderedPageBreak/>
        <w:t xml:space="preserve">официално одобрение от </w:t>
      </w:r>
      <w:r w:rsidR="00F24308" w:rsidRPr="00F24308">
        <w:t>MSP</w:t>
      </w:r>
      <w:r w:rsidRPr="00C83180">
        <w:t>, ко</w:t>
      </w:r>
      <w:r w:rsidR="00F24308">
        <w:t>я</w:t>
      </w:r>
      <w:r w:rsidRPr="00C83180">
        <w:t>то ще запаз</w:t>
      </w:r>
      <w:r w:rsidR="00F24308">
        <w:t>и</w:t>
      </w:r>
      <w:r w:rsidRPr="00C83180">
        <w:t xml:space="preserve"> контрол на процедурата; </w:t>
      </w:r>
      <w:proofErr w:type="spellStart"/>
      <w:r w:rsidRPr="00C83180">
        <w:t>уики</w:t>
      </w:r>
      <w:proofErr w:type="spellEnd"/>
      <w:r w:rsidRPr="00C83180">
        <w:t xml:space="preserve"> сайта може да бъде от полза, но ще е необходимо </w:t>
      </w:r>
      <w:r w:rsidR="00256FBC">
        <w:t xml:space="preserve">запазване на </w:t>
      </w:r>
      <w:r w:rsidRPr="00C83180">
        <w:t xml:space="preserve">версии (т.е. „моментни снимки“) за </w:t>
      </w:r>
      <w:r w:rsidR="00256FBC" w:rsidRPr="00256FBC">
        <w:t>MSP</w:t>
      </w:r>
      <w:r w:rsidRPr="00C83180">
        <w:t xml:space="preserve"> членове</w:t>
      </w:r>
      <w:r w:rsidR="00256FBC">
        <w:t>те, които</w:t>
      </w:r>
      <w:r w:rsidRPr="00C83180">
        <w:t xml:space="preserve"> да се консултират със сво</w:t>
      </w:r>
      <w:r w:rsidR="00256FBC">
        <w:t>ите</w:t>
      </w:r>
      <w:r w:rsidRPr="00C83180">
        <w:t xml:space="preserve"> </w:t>
      </w:r>
      <w:r w:rsidR="00256FBC">
        <w:t>колеги</w:t>
      </w:r>
      <w:r w:rsidRPr="00C83180">
        <w:t xml:space="preserve"> (най-малко 3 седмици са нужни); </w:t>
      </w:r>
      <w:r w:rsidR="00256FBC" w:rsidRPr="00C83180">
        <w:t>критерии</w:t>
      </w:r>
      <w:r w:rsidR="00256FBC">
        <w:t>те в</w:t>
      </w:r>
      <w:r w:rsidR="00256FBC" w:rsidRPr="00C83180">
        <w:t xml:space="preserve"> </w:t>
      </w:r>
      <w:r w:rsidR="00256FBC">
        <w:t>П</w:t>
      </w:r>
      <w:r w:rsidRPr="00C83180">
        <w:t>риложение II, ще бъдат основа за доклада за оценка, като по този начин се гарантира легитимността.</w:t>
      </w:r>
    </w:p>
    <w:p w:rsidR="005B287D" w:rsidRPr="00C83180" w:rsidRDefault="00EC4333" w:rsidP="00256FBC">
      <w:pPr>
        <w:spacing w:after="0"/>
        <w:ind w:firstLine="720"/>
      </w:pPr>
      <w:r w:rsidRPr="00C83180">
        <w:t xml:space="preserve">В заключение Председателят закри обсъжданията по точката, като прикани </w:t>
      </w:r>
      <w:r w:rsidR="00256FBC">
        <w:t xml:space="preserve">членовете на </w:t>
      </w:r>
      <w:r w:rsidR="00256FBC" w:rsidRPr="00256FBC">
        <w:t xml:space="preserve">MSP </w:t>
      </w:r>
      <w:r w:rsidR="00256FBC">
        <w:t>да изпратят</w:t>
      </w:r>
      <w:r w:rsidRPr="00C83180">
        <w:t xml:space="preserve"> допълнителни коментари по електронна поща преди края на годината, и посочи, че този въпрос ще бъде в дневния ред на следващото заседание.</w:t>
      </w:r>
    </w:p>
    <w:p w:rsidR="00611668" w:rsidRDefault="00611668" w:rsidP="00C83180">
      <w:pPr>
        <w:spacing w:after="0"/>
        <w:contextualSpacing/>
        <w:rPr>
          <w:rFonts w:eastAsia="Calibri"/>
          <w:b/>
          <w:sz w:val="26"/>
          <w:szCs w:val="26"/>
        </w:rPr>
      </w:pPr>
    </w:p>
    <w:p w:rsidR="005B287D" w:rsidRPr="00C83180" w:rsidRDefault="00EC4333" w:rsidP="00C83180">
      <w:pPr>
        <w:spacing w:after="0"/>
        <w:contextualSpacing/>
        <w:rPr>
          <w:rFonts w:eastAsia="Calibri"/>
          <w:b/>
          <w:sz w:val="26"/>
          <w:szCs w:val="26"/>
        </w:rPr>
      </w:pPr>
      <w:r w:rsidRPr="00C83180">
        <w:rPr>
          <w:rFonts w:eastAsia="Calibri"/>
          <w:b/>
          <w:sz w:val="26"/>
          <w:szCs w:val="26"/>
        </w:rPr>
        <w:t>Въпроси на Комисията</w:t>
      </w:r>
    </w:p>
    <w:p w:rsidR="005B287D" w:rsidRPr="00C83180" w:rsidRDefault="00EC4333" w:rsidP="00C83180">
      <w:pPr>
        <w:numPr>
          <w:ilvl w:val="0"/>
          <w:numId w:val="5"/>
        </w:numPr>
        <w:spacing w:after="0"/>
        <w:contextualSpacing/>
        <w:rPr>
          <w:rFonts w:eastAsia="Calibri"/>
          <w:b/>
          <w:i/>
          <w:szCs w:val="24"/>
        </w:rPr>
      </w:pPr>
      <w:r w:rsidRPr="00C83180">
        <w:rPr>
          <w:rFonts w:eastAsia="Calibri"/>
          <w:b/>
          <w:i/>
          <w:szCs w:val="24"/>
        </w:rPr>
        <w:t>Актуална информация относно различните дейности по стандартизация</w:t>
      </w:r>
    </w:p>
    <w:p w:rsidR="005B287D" w:rsidRPr="00C83180" w:rsidRDefault="00256FBC" w:rsidP="00256FBC">
      <w:pPr>
        <w:pStyle w:val="ListParagraph"/>
        <w:ind w:left="0" w:firstLine="635"/>
        <w:jc w:val="both"/>
      </w:pPr>
      <w:proofErr w:type="spellStart"/>
      <w:r w:rsidRPr="00256FBC">
        <w:rPr>
          <w:i/>
        </w:rPr>
        <w:t>Hein</w:t>
      </w:r>
      <w:proofErr w:type="spellEnd"/>
      <w:r w:rsidRPr="00256FBC">
        <w:rPr>
          <w:i/>
        </w:rPr>
        <w:t xml:space="preserve"> </w:t>
      </w:r>
      <w:proofErr w:type="spellStart"/>
      <w:r w:rsidRPr="00256FBC">
        <w:rPr>
          <w:i/>
        </w:rPr>
        <w:t>Bollens</w:t>
      </w:r>
      <w:proofErr w:type="spellEnd"/>
      <w:r w:rsidRPr="00256FBC">
        <w:rPr>
          <w:i/>
        </w:rPr>
        <w:t xml:space="preserve"> (DG GROW B3)</w:t>
      </w:r>
      <w:r>
        <w:rPr>
          <w:i/>
        </w:rPr>
        <w:t xml:space="preserve"> </w:t>
      </w:r>
      <w:r w:rsidR="00EC4333" w:rsidRPr="00256FBC">
        <w:t>представи документ ICT/MSP(2017)565, в ко</w:t>
      </w:r>
      <w:r>
        <w:t>й</w:t>
      </w:r>
      <w:r w:rsidR="00EC4333" w:rsidRPr="00256FBC">
        <w:t xml:space="preserve">то се </w:t>
      </w:r>
      <w:r>
        <w:t>представя напредъка на различни</w:t>
      </w:r>
      <w:r w:rsidR="00EC4333" w:rsidRPr="00256FBC">
        <w:t xml:space="preserve"> дейности </w:t>
      </w:r>
      <w:r>
        <w:t xml:space="preserve">от </w:t>
      </w:r>
      <w:r w:rsidRPr="00256FBC">
        <w:t>компетентност</w:t>
      </w:r>
      <w:r>
        <w:t>ите</w:t>
      </w:r>
      <w:r w:rsidRPr="00256FBC">
        <w:t xml:space="preserve"> </w:t>
      </w:r>
      <w:r>
        <w:t>на</w:t>
      </w:r>
      <w:r w:rsidR="00EC4333" w:rsidRPr="00256FBC">
        <w:t xml:space="preserve"> GROW B3, по-специално </w:t>
      </w:r>
      <w:r>
        <w:t>след</w:t>
      </w:r>
      <w:r w:rsidR="00EC4333" w:rsidRPr="00256FBC">
        <w:t xml:space="preserve"> последното заседание на ръководната група на съвместната инициатива за стандартизация (СИС) от 20 октомври, последното заседание на Комитета по стандартизация (</w:t>
      </w:r>
      <w:proofErr w:type="spellStart"/>
      <w:r w:rsidR="00EC4333" w:rsidRPr="00256FBC">
        <w:t>CoS</w:t>
      </w:r>
      <w:proofErr w:type="spellEnd"/>
      <w:r w:rsidR="00EC4333" w:rsidRPr="00256FBC">
        <w:t>) на 8 ноември, план</w:t>
      </w:r>
      <w:r>
        <w:t>а</w:t>
      </w:r>
      <w:r w:rsidR="00EC4333" w:rsidRPr="00256FBC">
        <w:t xml:space="preserve"> за действие за намаляване на</w:t>
      </w:r>
      <w:r>
        <w:t xml:space="preserve"> натрупването на хармонизирани</w:t>
      </w:r>
      <w:r w:rsidR="00EC4333" w:rsidRPr="00256FBC">
        <w:t xml:space="preserve"> стандарти (</w:t>
      </w:r>
      <w:r w:rsidRPr="00256FBC">
        <w:t>HENs</w:t>
      </w:r>
      <w:r w:rsidR="00EC4333" w:rsidRPr="00256FBC">
        <w:t>) и редица събития, свързани с политиката по стандартизация.</w:t>
      </w:r>
      <w:hyperlink r:id="rId13">
        <w:r w:rsidR="00EC4333" w:rsidRPr="00C83180">
          <w:t xml:space="preserve"> Освен това той посочи актуалното състояние на предстоящия доклад за напредъка на Комисията до останалите институции относно изпълнението на политиката на стандартизация на ЕС. Той спомена също така стратегия за промишлената политика, приет</w:t>
        </w:r>
        <w:r>
          <w:t>а</w:t>
        </w:r>
        <w:r w:rsidR="00EC4333" w:rsidRPr="00C83180">
          <w:t xml:space="preserve"> от Европейската комисия през септември.</w:t>
        </w:r>
      </w:hyperlink>
    </w:p>
    <w:p w:rsidR="005B287D" w:rsidRPr="00C83180" w:rsidRDefault="00EC4333" w:rsidP="00256FBC">
      <w:pPr>
        <w:pStyle w:val="ListParagraph"/>
        <w:ind w:left="0" w:firstLine="635"/>
        <w:jc w:val="both"/>
      </w:pPr>
      <w:r w:rsidRPr="00C83180">
        <w:t xml:space="preserve">По време на обсъждането бяха споменати следните въпроси: значението на спазването на графика за разработване на стандарти (СИС действие 8); някои посочиха, че би било полезно, ако </w:t>
      </w:r>
      <w:r w:rsidR="00256FBC" w:rsidRPr="00256FBC">
        <w:t xml:space="preserve">MSP </w:t>
      </w:r>
      <w:r w:rsidRPr="00C83180">
        <w:t xml:space="preserve">може да има достъп до програми на Комитета по стандартите и беше постигнато съгласие да </w:t>
      </w:r>
      <w:r w:rsidR="00256FBC">
        <w:t>се</w:t>
      </w:r>
      <w:r w:rsidRPr="00C83180">
        <w:t xml:space="preserve"> кач</w:t>
      </w:r>
      <w:r w:rsidR="00256FBC">
        <w:t>ат</w:t>
      </w:r>
      <w:r w:rsidRPr="00C83180">
        <w:t xml:space="preserve"> в CIRCA; някои поставиха под въпрос последиците от решението на Съда на Европейския съюз по дело „</w:t>
      </w:r>
      <w:proofErr w:type="spellStart"/>
      <w:r w:rsidRPr="00C83180">
        <w:t>James</w:t>
      </w:r>
      <w:proofErr w:type="spellEnd"/>
      <w:r w:rsidRPr="00C83180">
        <w:t xml:space="preserve"> </w:t>
      </w:r>
      <w:proofErr w:type="spellStart"/>
      <w:r w:rsidRPr="00C83180">
        <w:t>Elliot</w:t>
      </w:r>
      <w:proofErr w:type="spellEnd"/>
      <w:r w:rsidRPr="00C83180">
        <w:t xml:space="preserve"> и неяснотата дали стандартите са правни документи. </w:t>
      </w:r>
      <w:r w:rsidR="00256FBC" w:rsidRPr="00256FBC">
        <w:rPr>
          <w:i/>
        </w:rPr>
        <w:t>H</w:t>
      </w:r>
      <w:r w:rsidRPr="00C83180">
        <w:rPr>
          <w:i/>
        </w:rPr>
        <w:t xml:space="preserve">. </w:t>
      </w:r>
      <w:proofErr w:type="spellStart"/>
      <w:r w:rsidRPr="00C83180">
        <w:rPr>
          <w:i/>
        </w:rPr>
        <w:t>Bollens</w:t>
      </w:r>
      <w:proofErr w:type="spellEnd"/>
      <w:r w:rsidRPr="00C83180">
        <w:rPr>
          <w:i/>
        </w:rPr>
        <w:t xml:space="preserve"> </w:t>
      </w:r>
      <w:r w:rsidRPr="00256FBC">
        <w:t>обясни, че Сметната палата разгле</w:t>
      </w:r>
      <w:r w:rsidR="00256FBC">
        <w:t>ж</w:t>
      </w:r>
      <w:r w:rsidRPr="00256FBC">
        <w:t xml:space="preserve">да начина, по който ЕС се обръща към </w:t>
      </w:r>
      <w:r w:rsidR="00256FBC" w:rsidRPr="00256FBC">
        <w:t xml:space="preserve">HENs </w:t>
      </w:r>
      <w:r w:rsidRPr="00256FBC">
        <w:t>и изясни, че има правни последици, произтичащи от презумпцията за съответствие.</w:t>
      </w:r>
      <w:r w:rsidRPr="00C83180">
        <w:rPr>
          <w:bCs/>
        </w:rPr>
        <w:t xml:space="preserve"> Той добави, че Сметната палата е поискала Комисията да </w:t>
      </w:r>
      <w:r w:rsidR="00256FBC">
        <w:rPr>
          <w:bCs/>
        </w:rPr>
        <w:t xml:space="preserve">се </w:t>
      </w:r>
      <w:r w:rsidRPr="00C83180">
        <w:rPr>
          <w:bCs/>
        </w:rPr>
        <w:t xml:space="preserve">спазват процедурите, и по-специално да се формализира (i) </w:t>
      </w:r>
      <w:r w:rsidR="00256FBC" w:rsidRPr="00C83180">
        <w:rPr>
          <w:bCs/>
        </w:rPr>
        <w:t>въпрос</w:t>
      </w:r>
      <w:r w:rsidR="00256FBC">
        <w:rPr>
          <w:bCs/>
        </w:rPr>
        <w:t>а за</w:t>
      </w:r>
      <w:r w:rsidR="00256FBC" w:rsidRPr="00C83180">
        <w:rPr>
          <w:bCs/>
        </w:rPr>
        <w:t xml:space="preserve"> </w:t>
      </w:r>
      <w:r w:rsidRPr="00C83180">
        <w:rPr>
          <w:bCs/>
        </w:rPr>
        <w:t>оправомощ</w:t>
      </w:r>
      <w:r w:rsidR="00256FBC">
        <w:rPr>
          <w:bCs/>
        </w:rPr>
        <w:t>аване</w:t>
      </w:r>
      <w:r w:rsidRPr="00C83180">
        <w:rPr>
          <w:bCs/>
        </w:rPr>
        <w:t xml:space="preserve">, ii) когато </w:t>
      </w:r>
      <w:r w:rsidR="00256FBC">
        <w:rPr>
          <w:bCs/>
        </w:rPr>
        <w:t>хармонизирани стандарти са</w:t>
      </w:r>
      <w:r w:rsidRPr="00C83180">
        <w:rPr>
          <w:bCs/>
        </w:rPr>
        <w:t xml:space="preserve"> приети от </w:t>
      </w:r>
      <w:r w:rsidR="00256FBC">
        <w:rPr>
          <w:bCs/>
        </w:rPr>
        <w:t>стандартизационни организации</w:t>
      </w:r>
      <w:r w:rsidRPr="00C83180">
        <w:rPr>
          <w:bCs/>
        </w:rPr>
        <w:t xml:space="preserve"> и </w:t>
      </w:r>
      <w:r w:rsidR="00256FBC">
        <w:rPr>
          <w:bCs/>
        </w:rPr>
        <w:t>са</w:t>
      </w:r>
      <w:r w:rsidRPr="00C83180">
        <w:rPr>
          <w:bCs/>
        </w:rPr>
        <w:t xml:space="preserve"> изпратен</w:t>
      </w:r>
      <w:r w:rsidR="00256FBC">
        <w:rPr>
          <w:bCs/>
        </w:rPr>
        <w:t>и</w:t>
      </w:r>
      <w:r w:rsidRPr="00C83180">
        <w:rPr>
          <w:bCs/>
        </w:rPr>
        <w:t xml:space="preserve"> на ЕК, (iii) как Е</w:t>
      </w:r>
      <w:r w:rsidR="00116B27">
        <w:rPr>
          <w:bCs/>
        </w:rPr>
        <w:t>К</w:t>
      </w:r>
      <w:r w:rsidRPr="00C83180">
        <w:rPr>
          <w:bCs/>
        </w:rPr>
        <w:t xml:space="preserve"> ги оцен</w:t>
      </w:r>
      <w:r w:rsidR="00116B27">
        <w:rPr>
          <w:bCs/>
        </w:rPr>
        <w:t>ява</w:t>
      </w:r>
      <w:r w:rsidRPr="00C83180">
        <w:rPr>
          <w:bCs/>
        </w:rPr>
        <w:t xml:space="preserve"> и iv) начин за осведомяване на обществото. </w:t>
      </w:r>
      <w:r w:rsidR="00116B27" w:rsidRPr="00116B27">
        <w:rPr>
          <w:bCs/>
        </w:rPr>
        <w:t>DG GROW</w:t>
      </w:r>
      <w:r w:rsidRPr="00C83180">
        <w:rPr>
          <w:bCs/>
        </w:rPr>
        <w:t xml:space="preserve"> работи с Правната служба относно тази формалност. Беше поискано Е</w:t>
      </w:r>
      <w:r w:rsidR="00116B27">
        <w:rPr>
          <w:bCs/>
        </w:rPr>
        <w:t>К да</w:t>
      </w:r>
      <w:r w:rsidRPr="00C83180">
        <w:rPr>
          <w:bCs/>
        </w:rPr>
        <w:t xml:space="preserve"> уведом</w:t>
      </w:r>
      <w:r w:rsidR="00116B27">
        <w:rPr>
          <w:bCs/>
        </w:rPr>
        <w:t>и</w:t>
      </w:r>
      <w:r w:rsidRPr="00C83180">
        <w:rPr>
          <w:bCs/>
        </w:rPr>
        <w:t xml:space="preserve"> </w:t>
      </w:r>
      <w:proofErr w:type="spellStart"/>
      <w:r w:rsidR="00116B27">
        <w:rPr>
          <w:bCs/>
        </w:rPr>
        <w:t>стандартизационните</w:t>
      </w:r>
      <w:proofErr w:type="spellEnd"/>
      <w:r w:rsidR="00116B27">
        <w:rPr>
          <w:bCs/>
        </w:rPr>
        <w:t xml:space="preserve"> организации</w:t>
      </w:r>
      <w:r w:rsidRPr="00C83180">
        <w:rPr>
          <w:bCs/>
        </w:rPr>
        <w:t xml:space="preserve"> и техните технически комитети относно факта, че стандартите не са правни документи, но могат да имат правни последици. Някои членове изразиха опасения, че планът за действие относно </w:t>
      </w:r>
      <w:r w:rsidR="00116B27">
        <w:rPr>
          <w:bCs/>
        </w:rPr>
        <w:t>хармонизираните стандарти</w:t>
      </w:r>
      <w:r w:rsidRPr="00C83180">
        <w:rPr>
          <w:bCs/>
        </w:rPr>
        <w:t xml:space="preserve"> ще добав</w:t>
      </w:r>
      <w:r w:rsidR="00116B27">
        <w:rPr>
          <w:bCs/>
        </w:rPr>
        <w:t>и</w:t>
      </w:r>
      <w:r w:rsidRPr="00C83180">
        <w:rPr>
          <w:bCs/>
        </w:rPr>
        <w:t xml:space="preserve"> допълнителни стъпки и още по-голямо забавяне. </w:t>
      </w:r>
      <w:r w:rsidRPr="00C83180">
        <w:rPr>
          <w:bCs/>
          <w:i/>
        </w:rPr>
        <w:t>H.</w:t>
      </w:r>
      <w:r w:rsidR="00116B27">
        <w:rPr>
          <w:bCs/>
          <w:i/>
        </w:rPr>
        <w:t xml:space="preserve"> </w:t>
      </w:r>
      <w:proofErr w:type="spellStart"/>
      <w:r w:rsidRPr="00C83180">
        <w:rPr>
          <w:bCs/>
          <w:i/>
        </w:rPr>
        <w:t>Bollens</w:t>
      </w:r>
      <w:proofErr w:type="spellEnd"/>
      <w:r w:rsidRPr="00C83180">
        <w:rPr>
          <w:bCs/>
          <w:i/>
        </w:rPr>
        <w:t xml:space="preserve"> </w:t>
      </w:r>
      <w:r w:rsidRPr="00116B27">
        <w:rPr>
          <w:bCs/>
        </w:rPr>
        <w:t xml:space="preserve">обясни, че тъй като </w:t>
      </w:r>
      <w:r w:rsidR="00116B27">
        <w:rPr>
          <w:bCs/>
        </w:rPr>
        <w:t>процесът стартира</w:t>
      </w:r>
      <w:r w:rsidRPr="00116B27">
        <w:rPr>
          <w:bCs/>
        </w:rPr>
        <w:t xml:space="preserve"> преди лятото, планът за действие намал</w:t>
      </w:r>
      <w:r w:rsidR="00116B27">
        <w:rPr>
          <w:bCs/>
        </w:rPr>
        <w:t>и</w:t>
      </w:r>
      <w:r w:rsidRPr="00116B27">
        <w:rPr>
          <w:bCs/>
        </w:rPr>
        <w:t xml:space="preserve"> натрупан</w:t>
      </w:r>
      <w:r w:rsidR="00116B27">
        <w:rPr>
          <w:bCs/>
        </w:rPr>
        <w:t>ите дела с 50 %, от 700 до 350</w:t>
      </w:r>
      <w:r w:rsidRPr="00116B27">
        <w:rPr>
          <w:bCs/>
        </w:rPr>
        <w:t xml:space="preserve">. </w:t>
      </w:r>
      <w:r w:rsidR="00116B27">
        <w:rPr>
          <w:bCs/>
        </w:rPr>
        <w:t>П</w:t>
      </w:r>
      <w:r w:rsidRPr="00116B27">
        <w:rPr>
          <w:bCs/>
        </w:rPr>
        <w:t xml:space="preserve">овечето от работата беше свършена от </w:t>
      </w:r>
      <w:r w:rsidR="00116B27" w:rsidRPr="00116B27">
        <w:rPr>
          <w:bCs/>
        </w:rPr>
        <w:t>ТК</w:t>
      </w:r>
      <w:r w:rsidR="00116B27">
        <w:rPr>
          <w:bCs/>
        </w:rPr>
        <w:t xml:space="preserve"> на</w:t>
      </w:r>
      <w:r w:rsidR="00116B27" w:rsidRPr="00116B27">
        <w:rPr>
          <w:bCs/>
        </w:rPr>
        <w:t xml:space="preserve"> </w:t>
      </w:r>
      <w:r w:rsidRPr="00116B27">
        <w:rPr>
          <w:bCs/>
        </w:rPr>
        <w:t>ETSI и службите на ЕК.</w:t>
      </w:r>
      <w:r w:rsidRPr="00C83180">
        <w:rPr>
          <w:bCs/>
        </w:rPr>
        <w:t xml:space="preserve"> </w:t>
      </w:r>
      <w:r w:rsidR="00116B27">
        <w:rPr>
          <w:bCs/>
        </w:rPr>
        <w:t xml:space="preserve">В </w:t>
      </w:r>
      <w:r w:rsidRPr="00C83180">
        <w:rPr>
          <w:bCs/>
        </w:rPr>
        <w:t xml:space="preserve">Приложението към плана за действие се съдържа пояснение </w:t>
      </w:r>
      <w:r w:rsidR="00116B27">
        <w:rPr>
          <w:bCs/>
        </w:rPr>
        <w:t>на</w:t>
      </w:r>
      <w:r w:rsidRPr="00C83180">
        <w:rPr>
          <w:bCs/>
        </w:rPr>
        <w:t xml:space="preserve"> членове 10.5 и 10.6, </w:t>
      </w:r>
      <w:r w:rsidR="00116B27">
        <w:rPr>
          <w:bCs/>
        </w:rPr>
        <w:t xml:space="preserve">за </w:t>
      </w:r>
      <w:r w:rsidRPr="00C83180">
        <w:rPr>
          <w:bCs/>
        </w:rPr>
        <w:t xml:space="preserve">да </w:t>
      </w:r>
      <w:r w:rsidR="00116B27">
        <w:rPr>
          <w:bCs/>
        </w:rPr>
        <w:t xml:space="preserve">се </w:t>
      </w:r>
      <w:r w:rsidRPr="00C83180">
        <w:rPr>
          <w:bCs/>
        </w:rPr>
        <w:t>осигур</w:t>
      </w:r>
      <w:r w:rsidR="00116B27">
        <w:rPr>
          <w:bCs/>
        </w:rPr>
        <w:t>и</w:t>
      </w:r>
      <w:r w:rsidRPr="00C83180">
        <w:rPr>
          <w:bCs/>
        </w:rPr>
        <w:t xml:space="preserve"> повече прозрачност в системата, с ясни срокове. Целта е по-бързо препра</w:t>
      </w:r>
      <w:r w:rsidR="00116B27">
        <w:rPr>
          <w:bCs/>
        </w:rPr>
        <w:t>щане</w:t>
      </w:r>
      <w:r w:rsidRPr="00C83180">
        <w:rPr>
          <w:bCs/>
        </w:rPr>
        <w:t xml:space="preserve"> и гарантиране, че </w:t>
      </w:r>
      <w:r w:rsidR="00116B27">
        <w:rPr>
          <w:bCs/>
        </w:rPr>
        <w:t>хармонизираните стандарти</w:t>
      </w:r>
      <w:r w:rsidRPr="00C83180">
        <w:rPr>
          <w:bCs/>
        </w:rPr>
        <w:t xml:space="preserve"> отговарят на правните изисквания.</w:t>
      </w:r>
    </w:p>
    <w:p w:rsidR="005B287D" w:rsidRPr="00C83180" w:rsidRDefault="005B287D" w:rsidP="00C83180">
      <w:pPr>
        <w:pStyle w:val="ListParagraph"/>
        <w:ind w:left="0"/>
        <w:jc w:val="both"/>
        <w:rPr>
          <w:bCs/>
        </w:rPr>
      </w:pPr>
    </w:p>
    <w:p w:rsidR="005B287D" w:rsidRPr="00C83180" w:rsidRDefault="00EC4333" w:rsidP="00C83180">
      <w:pPr>
        <w:pStyle w:val="ListParagraph"/>
        <w:ind w:left="0"/>
        <w:jc w:val="both"/>
        <w:rPr>
          <w:b/>
          <w:bCs/>
          <w:i/>
        </w:rPr>
      </w:pPr>
      <w:r w:rsidRPr="00C83180">
        <w:rPr>
          <w:b/>
          <w:bCs/>
          <w:i/>
        </w:rPr>
        <w:t xml:space="preserve">• </w:t>
      </w:r>
      <w:r w:rsidR="00116B27">
        <w:rPr>
          <w:b/>
          <w:bCs/>
          <w:i/>
        </w:rPr>
        <w:t>М</w:t>
      </w:r>
      <w:r w:rsidRPr="00C83180">
        <w:rPr>
          <w:b/>
          <w:bCs/>
          <w:i/>
        </w:rPr>
        <w:t>еждуинституционалния диалог/доклад на Комисията относно политиката на ЕС за стандартизация</w:t>
      </w:r>
    </w:p>
    <w:p w:rsidR="005B287D" w:rsidRPr="00C83180" w:rsidRDefault="00EC4333" w:rsidP="00116B27">
      <w:pPr>
        <w:pStyle w:val="ListParagraph"/>
        <w:ind w:left="0" w:firstLine="720"/>
        <w:jc w:val="both"/>
      </w:pPr>
      <w:bookmarkStart w:id="0" w:name="_GoBack"/>
      <w:bookmarkEnd w:id="0"/>
      <w:proofErr w:type="spellStart"/>
      <w:r w:rsidRPr="00C83180">
        <w:rPr>
          <w:bCs/>
          <w:i/>
        </w:rPr>
        <w:t>Belén</w:t>
      </w:r>
      <w:proofErr w:type="spellEnd"/>
      <w:r w:rsidRPr="00C83180">
        <w:rPr>
          <w:bCs/>
          <w:i/>
        </w:rPr>
        <w:t xml:space="preserve"> </w:t>
      </w:r>
      <w:proofErr w:type="spellStart"/>
      <w:r w:rsidRPr="00C83180">
        <w:rPr>
          <w:bCs/>
          <w:i/>
        </w:rPr>
        <w:t>Martínez</w:t>
      </w:r>
      <w:proofErr w:type="spellEnd"/>
      <w:r w:rsidRPr="00C83180">
        <w:rPr>
          <w:bCs/>
          <w:i/>
        </w:rPr>
        <w:t xml:space="preserve"> (</w:t>
      </w:r>
      <w:r w:rsidR="00116B27" w:rsidRPr="00116B27">
        <w:rPr>
          <w:bCs/>
          <w:i/>
        </w:rPr>
        <w:t xml:space="preserve">DG GROW </w:t>
      </w:r>
      <w:r w:rsidRPr="00C83180">
        <w:rPr>
          <w:bCs/>
          <w:i/>
        </w:rPr>
        <w:t xml:space="preserve">F3), </w:t>
      </w:r>
      <w:r w:rsidRPr="00116B27">
        <w:rPr>
          <w:bCs/>
        </w:rPr>
        <w:t>посоч</w:t>
      </w:r>
      <w:r w:rsidR="00116B27">
        <w:rPr>
          <w:bCs/>
        </w:rPr>
        <w:t>и, че</w:t>
      </w:r>
      <w:r w:rsidRPr="00116B27">
        <w:rPr>
          <w:bCs/>
        </w:rPr>
        <w:t xml:space="preserve"> </w:t>
      </w:r>
      <w:r w:rsidR="00116B27">
        <w:rPr>
          <w:bCs/>
        </w:rPr>
        <w:t>към тази точка</w:t>
      </w:r>
      <w:r w:rsidRPr="00116B27">
        <w:rPr>
          <w:bCs/>
        </w:rPr>
        <w:t xml:space="preserve"> </w:t>
      </w:r>
      <w:r w:rsidR="00116B27">
        <w:rPr>
          <w:bCs/>
        </w:rPr>
        <w:t>е</w:t>
      </w:r>
      <w:r w:rsidRPr="00116B27">
        <w:rPr>
          <w:bCs/>
        </w:rPr>
        <w:t xml:space="preserve"> документ ICT/MSP(2017)554. Тя обясни концепцията и предложения подход </w:t>
      </w:r>
      <w:r w:rsidR="00116B27">
        <w:rPr>
          <w:bCs/>
        </w:rPr>
        <w:t>за започване на</w:t>
      </w:r>
      <w:r w:rsidRPr="00116B27">
        <w:rPr>
          <w:bCs/>
        </w:rPr>
        <w:t xml:space="preserve"> междуинституционален диалог, обявени в Съобщението относно приоритетите за стандартизацията в областта на ИКТ и в пакета за стандартизация.</w:t>
      </w:r>
      <w:hyperlink r:id="rId14">
        <w:r w:rsidRPr="00116B27">
          <w:rPr>
            <w:bCs/>
          </w:rPr>
          <w:t xml:space="preserve"> Една от предложените области за диалог се отнася до определяне на приоритетите за ИКТ </w:t>
        </w:r>
        <w:r w:rsidR="00116B27">
          <w:rPr>
            <w:bCs/>
          </w:rPr>
          <w:t>стандартизацията</w:t>
        </w:r>
        <w:r w:rsidRPr="00116B27">
          <w:rPr>
            <w:bCs/>
          </w:rPr>
          <w:t>.</w:t>
        </w:r>
        <w:r w:rsidR="00116B27">
          <w:rPr>
            <w:bCs/>
          </w:rPr>
          <w:t xml:space="preserve"> Това</w:t>
        </w:r>
        <w:r w:rsidRPr="00116B27">
          <w:rPr>
            <w:bCs/>
          </w:rPr>
          <w:t xml:space="preserve"> е възможност за заинтересованите лица, включително членове на </w:t>
        </w:r>
        <w:r w:rsidR="00116B27" w:rsidRPr="00116B27">
          <w:rPr>
            <w:bCs/>
          </w:rPr>
          <w:t>MSP</w:t>
        </w:r>
        <w:r w:rsidRPr="00116B27">
          <w:rPr>
            <w:bCs/>
          </w:rPr>
          <w:t xml:space="preserve">, да представят мненията си </w:t>
        </w:r>
        <w:r w:rsidR="00116B27">
          <w:rPr>
            <w:bCs/>
          </w:rPr>
          <w:t>н</w:t>
        </w:r>
        <w:r w:rsidRPr="00116B27">
          <w:rPr>
            <w:bCs/>
          </w:rPr>
          <w:t xml:space="preserve">а европейските институции, т.е. по отношение на по-нататъшното подобряване на европейската система за стандартизация, значението на актуализирания план за стандартизация в областта на ИКТ или </w:t>
        </w:r>
        <w:r w:rsidR="00116B27">
          <w:rPr>
            <w:bCs/>
          </w:rPr>
          <w:t xml:space="preserve">с </w:t>
        </w:r>
        <w:r w:rsidR="00116B27" w:rsidRPr="00116B27">
          <w:rPr>
            <w:bCs/>
          </w:rPr>
          <w:t xml:space="preserve">акцент върху </w:t>
        </w:r>
        <w:r w:rsidR="00116B27">
          <w:rPr>
            <w:bCs/>
          </w:rPr>
          <w:t>новите приоритети</w:t>
        </w:r>
        <w:r w:rsidRPr="00116B27">
          <w:rPr>
            <w:bCs/>
          </w:rPr>
          <w:t>.</w:t>
        </w:r>
      </w:hyperlink>
    </w:p>
    <w:p w:rsidR="005B287D" w:rsidRPr="00C83180" w:rsidRDefault="00EC4333" w:rsidP="00116B27">
      <w:pPr>
        <w:pStyle w:val="ListParagraph"/>
        <w:ind w:left="0" w:firstLine="720"/>
        <w:jc w:val="both"/>
        <w:rPr>
          <w:bCs/>
        </w:rPr>
      </w:pPr>
      <w:r w:rsidRPr="00C83180">
        <w:rPr>
          <w:bCs/>
        </w:rPr>
        <w:lastRenderedPageBreak/>
        <w:t xml:space="preserve">Първият диалог следва да се проведе </w:t>
      </w:r>
      <w:r w:rsidR="00116B27">
        <w:rPr>
          <w:bCs/>
        </w:rPr>
        <w:t xml:space="preserve">през първото полугодие на </w:t>
      </w:r>
      <w:r w:rsidRPr="00C83180">
        <w:rPr>
          <w:bCs/>
        </w:rPr>
        <w:t xml:space="preserve">2018 и ще се основава на доклад за напредъка относно изпълнението на политиката на стандартизация на ЕС, </w:t>
      </w:r>
      <w:r w:rsidR="00116B27">
        <w:rPr>
          <w:bCs/>
        </w:rPr>
        <w:t xml:space="preserve">който </w:t>
      </w:r>
      <w:r w:rsidRPr="00C83180">
        <w:rPr>
          <w:bCs/>
        </w:rPr>
        <w:t>Комисията скоро ще п</w:t>
      </w:r>
      <w:r w:rsidR="00116B27">
        <w:rPr>
          <w:bCs/>
        </w:rPr>
        <w:t>риеме и ще бъде предаден и</w:t>
      </w:r>
      <w:r w:rsidRPr="00C83180">
        <w:rPr>
          <w:bCs/>
        </w:rPr>
        <w:t xml:space="preserve"> на </w:t>
      </w:r>
      <w:r w:rsidR="00116B27" w:rsidRPr="00116B27">
        <w:rPr>
          <w:bCs/>
        </w:rPr>
        <w:t>MSP</w:t>
      </w:r>
      <w:r w:rsidRPr="00C83180">
        <w:rPr>
          <w:bCs/>
        </w:rPr>
        <w:t>.</w:t>
      </w:r>
    </w:p>
    <w:p w:rsidR="005B287D" w:rsidRPr="00C83180" w:rsidRDefault="00EC4333" w:rsidP="00116B27">
      <w:pPr>
        <w:pStyle w:val="ListParagraph"/>
        <w:ind w:left="0" w:firstLine="720"/>
        <w:jc w:val="both"/>
      </w:pPr>
      <w:r w:rsidRPr="009052A9">
        <w:rPr>
          <w:bCs/>
        </w:rPr>
        <w:t>По време</w:t>
      </w:r>
      <w:r w:rsidRPr="00C83180">
        <w:rPr>
          <w:bCs/>
        </w:rPr>
        <w:t xml:space="preserve"> на обсъждането много от членовете на </w:t>
      </w:r>
      <w:r w:rsidR="009052A9" w:rsidRPr="009052A9">
        <w:rPr>
          <w:bCs/>
        </w:rPr>
        <w:t>MSP</w:t>
      </w:r>
      <w:r w:rsidRPr="00C83180">
        <w:rPr>
          <w:bCs/>
        </w:rPr>
        <w:t>, прояви</w:t>
      </w:r>
      <w:r w:rsidR="009052A9">
        <w:rPr>
          <w:bCs/>
        </w:rPr>
        <w:t>ха</w:t>
      </w:r>
      <w:r w:rsidRPr="00C83180">
        <w:rPr>
          <w:bCs/>
        </w:rPr>
        <w:t xml:space="preserve"> интерес към този диалог и някои </w:t>
      </w:r>
      <w:r w:rsidR="009052A9">
        <w:rPr>
          <w:bCs/>
        </w:rPr>
        <w:t>по</w:t>
      </w:r>
      <w:r w:rsidRPr="00C83180">
        <w:rPr>
          <w:bCs/>
        </w:rPr>
        <w:t>моли</w:t>
      </w:r>
      <w:r w:rsidR="009052A9">
        <w:rPr>
          <w:bCs/>
        </w:rPr>
        <w:t>ха</w:t>
      </w:r>
      <w:r w:rsidRPr="00C83180">
        <w:rPr>
          <w:bCs/>
        </w:rPr>
        <w:t xml:space="preserve"> да се запозна</w:t>
      </w:r>
      <w:r w:rsidR="009052A9">
        <w:rPr>
          <w:bCs/>
        </w:rPr>
        <w:t>ят</w:t>
      </w:r>
      <w:r w:rsidRPr="00C83180">
        <w:rPr>
          <w:bCs/>
        </w:rPr>
        <w:t xml:space="preserve"> с текущо актуали</w:t>
      </w:r>
      <w:r w:rsidR="009052A9">
        <w:rPr>
          <w:bCs/>
        </w:rPr>
        <w:t>зирания план за ИКТ, интегриран</w:t>
      </w:r>
      <w:r w:rsidRPr="00C83180">
        <w:rPr>
          <w:bCs/>
        </w:rPr>
        <w:t xml:space="preserve"> в дебатите за бъдещето. Имаше известна дискусия относно начина на представяне на темите. Може да се окаже интересно да съсредоточи вниманието върху основни въпроси, като например комбиниране на (липсващата оперативна съвместимост при съчетаването на различни </w:t>
      </w:r>
      <w:r w:rsidR="009052A9">
        <w:rPr>
          <w:bCs/>
        </w:rPr>
        <w:t>спецификации</w:t>
      </w:r>
      <w:r w:rsidRPr="00C83180">
        <w:rPr>
          <w:bCs/>
        </w:rPr>
        <w:t>, всеобхватна</w:t>
      </w:r>
      <w:r w:rsidR="009052A9">
        <w:rPr>
          <w:bCs/>
        </w:rPr>
        <w:t>та роля на регулаторните органи;</w:t>
      </w:r>
      <w:r w:rsidRPr="00C83180">
        <w:rPr>
          <w:bCs/>
        </w:rPr>
        <w:t xml:space="preserve"> въпроси</w:t>
      </w:r>
      <w:r w:rsidR="009052A9">
        <w:rPr>
          <w:bCs/>
        </w:rPr>
        <w:t>те</w:t>
      </w:r>
      <w:r w:rsidRPr="00C83180">
        <w:rPr>
          <w:bCs/>
        </w:rPr>
        <w:t>, свързани с правото на неприкосновеност на личния живот и правила</w:t>
      </w:r>
      <w:r w:rsidR="009052A9">
        <w:rPr>
          <w:bCs/>
        </w:rPr>
        <w:t>та за това</w:t>
      </w:r>
      <w:r w:rsidRPr="00C83180">
        <w:rPr>
          <w:bCs/>
        </w:rPr>
        <w:t xml:space="preserve">, </w:t>
      </w:r>
      <w:r w:rsidR="009052A9">
        <w:rPr>
          <w:bCs/>
        </w:rPr>
        <w:t>въвеждането</w:t>
      </w:r>
      <w:r w:rsidRPr="00C83180">
        <w:rPr>
          <w:bCs/>
        </w:rPr>
        <w:t xml:space="preserve"> на новия подход). Концепцията </w:t>
      </w:r>
      <w:r w:rsidR="009052A9">
        <w:rPr>
          <w:bCs/>
        </w:rPr>
        <w:t>н</w:t>
      </w:r>
      <w:r w:rsidRPr="00C83180">
        <w:rPr>
          <w:bCs/>
        </w:rPr>
        <w:t>а текущо актуализирания план мо</w:t>
      </w:r>
      <w:r w:rsidR="009052A9">
        <w:rPr>
          <w:bCs/>
        </w:rPr>
        <w:t xml:space="preserve">же </w:t>
      </w:r>
      <w:r w:rsidRPr="00C83180">
        <w:rPr>
          <w:bCs/>
        </w:rPr>
        <w:t>да бъд</w:t>
      </w:r>
      <w:r w:rsidR="009052A9">
        <w:rPr>
          <w:bCs/>
        </w:rPr>
        <w:t>е</w:t>
      </w:r>
      <w:r w:rsidRPr="00C83180">
        <w:rPr>
          <w:bCs/>
        </w:rPr>
        <w:t xml:space="preserve"> представен</w:t>
      </w:r>
      <w:r w:rsidR="009052A9">
        <w:rPr>
          <w:bCs/>
        </w:rPr>
        <w:t>а</w:t>
      </w:r>
      <w:r w:rsidRPr="00C83180">
        <w:rPr>
          <w:bCs/>
        </w:rPr>
        <w:t xml:space="preserve"> или новите приоритети биха могли да бъдат </w:t>
      </w:r>
      <w:r w:rsidR="009052A9">
        <w:rPr>
          <w:bCs/>
        </w:rPr>
        <w:t>поставени</w:t>
      </w:r>
      <w:r w:rsidRPr="00C83180">
        <w:rPr>
          <w:bCs/>
        </w:rPr>
        <w:t xml:space="preserve"> за разисквания, </w:t>
      </w:r>
      <w:r w:rsidR="009052A9">
        <w:rPr>
          <w:bCs/>
        </w:rPr>
        <w:t>вкл</w:t>
      </w:r>
      <w:r w:rsidRPr="00C83180">
        <w:rPr>
          <w:bCs/>
        </w:rPr>
        <w:t xml:space="preserve">. </w:t>
      </w:r>
      <w:r w:rsidR="009052A9">
        <w:rPr>
          <w:bCs/>
        </w:rPr>
        <w:t>изкуствения интелект,</w:t>
      </w:r>
      <w:r w:rsidRPr="00C83180">
        <w:rPr>
          <w:bCs/>
        </w:rPr>
        <w:t xml:space="preserve"> </w:t>
      </w:r>
      <w:proofErr w:type="spellStart"/>
      <w:r w:rsidRPr="00C83180">
        <w:rPr>
          <w:bCs/>
        </w:rPr>
        <w:t>блоквериг</w:t>
      </w:r>
      <w:r w:rsidR="009052A9">
        <w:rPr>
          <w:bCs/>
        </w:rPr>
        <w:t>ите</w:t>
      </w:r>
      <w:proofErr w:type="spellEnd"/>
      <w:r w:rsidRPr="00C83180">
        <w:rPr>
          <w:bCs/>
        </w:rPr>
        <w:t>, свързани</w:t>
      </w:r>
      <w:r w:rsidR="009052A9">
        <w:rPr>
          <w:bCs/>
        </w:rPr>
        <w:t>те</w:t>
      </w:r>
      <w:r w:rsidRPr="00C83180">
        <w:rPr>
          <w:bCs/>
        </w:rPr>
        <w:t xml:space="preserve"> и автономни превозни средства, включително </w:t>
      </w:r>
      <w:r w:rsidR="009052A9" w:rsidRPr="00C83180">
        <w:rPr>
          <w:bCs/>
        </w:rPr>
        <w:t>батерии</w:t>
      </w:r>
      <w:r w:rsidR="009052A9">
        <w:rPr>
          <w:bCs/>
        </w:rPr>
        <w:t>те</w:t>
      </w:r>
      <w:r w:rsidR="009052A9" w:rsidRPr="00C83180">
        <w:rPr>
          <w:bCs/>
        </w:rPr>
        <w:t xml:space="preserve"> </w:t>
      </w:r>
      <w:r w:rsidRPr="00C83180">
        <w:rPr>
          <w:bCs/>
        </w:rPr>
        <w:t xml:space="preserve">за </w:t>
      </w:r>
      <w:proofErr w:type="spellStart"/>
      <w:r w:rsidR="009052A9">
        <w:rPr>
          <w:bCs/>
        </w:rPr>
        <w:t>електромобили</w:t>
      </w:r>
      <w:proofErr w:type="spellEnd"/>
      <w:r w:rsidRPr="00C83180">
        <w:rPr>
          <w:bCs/>
        </w:rPr>
        <w:t>.</w:t>
      </w:r>
    </w:p>
    <w:p w:rsidR="005B287D" w:rsidRPr="00C83180" w:rsidRDefault="00EC4333" w:rsidP="009052A9">
      <w:pPr>
        <w:pStyle w:val="ListParagraph"/>
        <w:ind w:left="0" w:firstLine="720"/>
        <w:jc w:val="both"/>
        <w:rPr>
          <w:bCs/>
        </w:rPr>
      </w:pPr>
      <w:r w:rsidRPr="00881740">
        <w:rPr>
          <w:bCs/>
        </w:rPr>
        <w:t>Председателят</w:t>
      </w:r>
      <w:r w:rsidRPr="00C83180">
        <w:rPr>
          <w:bCs/>
        </w:rPr>
        <w:t xml:space="preserve"> </w:t>
      </w:r>
      <w:r w:rsidR="00881740">
        <w:rPr>
          <w:bCs/>
        </w:rPr>
        <w:t>прикани за взаимодействие и обсъждане</w:t>
      </w:r>
      <w:r w:rsidRPr="00C83180">
        <w:rPr>
          <w:bCs/>
        </w:rPr>
        <w:t xml:space="preserve"> </w:t>
      </w:r>
      <w:r w:rsidR="00881740">
        <w:rPr>
          <w:bCs/>
        </w:rPr>
        <w:t>извън</w:t>
      </w:r>
      <w:r w:rsidRPr="00C83180">
        <w:rPr>
          <w:bCs/>
        </w:rPr>
        <w:t xml:space="preserve"> този диалог и прикани членовете да представят писмени материали на </w:t>
      </w:r>
      <w:r w:rsidR="00881740" w:rsidRPr="00881740">
        <w:rPr>
          <w:bCs/>
        </w:rPr>
        <w:t>MSP</w:t>
      </w:r>
      <w:r w:rsidR="00881740">
        <w:rPr>
          <w:bCs/>
        </w:rPr>
        <w:t>,</w:t>
      </w:r>
      <w:r w:rsidRPr="00C83180">
        <w:rPr>
          <w:bCs/>
        </w:rPr>
        <w:t xml:space="preserve"> да бъдат </w:t>
      </w:r>
      <w:r w:rsidR="00881740">
        <w:rPr>
          <w:bCs/>
        </w:rPr>
        <w:t xml:space="preserve">отразени </w:t>
      </w:r>
      <w:r w:rsidRPr="00C83180">
        <w:rPr>
          <w:bCs/>
        </w:rPr>
        <w:t xml:space="preserve">приоритетите за стандартизацията в областта на ИКТ </w:t>
      </w:r>
      <w:r w:rsidR="00881740">
        <w:rPr>
          <w:bCs/>
        </w:rPr>
        <w:t>в отговор</w:t>
      </w:r>
      <w:r w:rsidRPr="00C83180">
        <w:rPr>
          <w:bCs/>
        </w:rPr>
        <w:t xml:space="preserve"> на настоящите предизвикателства и нови</w:t>
      </w:r>
      <w:r w:rsidR="00881740">
        <w:rPr>
          <w:bCs/>
        </w:rPr>
        <w:t>те</w:t>
      </w:r>
      <w:r w:rsidRPr="00C83180">
        <w:rPr>
          <w:bCs/>
        </w:rPr>
        <w:t xml:space="preserve"> бизнес модели. Тя би искала да се каже какво </w:t>
      </w:r>
      <w:r w:rsidR="00881740">
        <w:rPr>
          <w:bCs/>
        </w:rPr>
        <w:t xml:space="preserve">би подкрепила Платформата в </w:t>
      </w:r>
      <w:r w:rsidRPr="00C83180">
        <w:rPr>
          <w:bCs/>
        </w:rPr>
        <w:t xml:space="preserve">бъдеще, независимо дали сме поели в правилната посока и </w:t>
      </w:r>
      <w:r w:rsidR="00881740">
        <w:rPr>
          <w:bCs/>
        </w:rPr>
        <w:t>дали</w:t>
      </w:r>
      <w:r w:rsidRPr="00C83180">
        <w:rPr>
          <w:bCs/>
        </w:rPr>
        <w:t xml:space="preserve"> е налице н</w:t>
      </w:r>
      <w:r w:rsidR="00881740">
        <w:rPr>
          <w:bCs/>
        </w:rPr>
        <w:t>е</w:t>
      </w:r>
      <w:r w:rsidRPr="00C83180">
        <w:rPr>
          <w:bCs/>
        </w:rPr>
        <w:t>що, което може да се направи от гледна точка на стандартизацията в областта на ИКТ.</w:t>
      </w:r>
    </w:p>
    <w:p w:rsidR="005B287D" w:rsidRDefault="00EC4333" w:rsidP="009052A9">
      <w:pPr>
        <w:pStyle w:val="ListParagraph"/>
        <w:ind w:left="0" w:firstLine="480"/>
        <w:jc w:val="both"/>
        <w:rPr>
          <w:bCs/>
        </w:rPr>
      </w:pPr>
      <w:r w:rsidRPr="00C83180">
        <w:rPr>
          <w:bCs/>
        </w:rPr>
        <w:t xml:space="preserve">Евентуално представителство на </w:t>
      </w:r>
      <w:r w:rsidR="00881740" w:rsidRPr="00881740">
        <w:rPr>
          <w:bCs/>
        </w:rPr>
        <w:t>MSP</w:t>
      </w:r>
      <w:r w:rsidRPr="00C83180">
        <w:rPr>
          <w:bCs/>
        </w:rPr>
        <w:t xml:space="preserve"> също беше обсъдено. Председателят обясни, че диалогът ще </w:t>
      </w:r>
      <w:r w:rsidR="00881740">
        <w:rPr>
          <w:bCs/>
        </w:rPr>
        <w:t>се води между не</w:t>
      </w:r>
      <w:r w:rsidRPr="00C83180">
        <w:rPr>
          <w:bCs/>
        </w:rPr>
        <w:t xml:space="preserve"> повече от 50 души, и ще включва </w:t>
      </w:r>
      <w:proofErr w:type="spellStart"/>
      <w:r w:rsidR="00881740">
        <w:rPr>
          <w:bCs/>
        </w:rPr>
        <w:t>стандартизационните</w:t>
      </w:r>
      <w:proofErr w:type="spellEnd"/>
      <w:r w:rsidR="00881740">
        <w:rPr>
          <w:bCs/>
        </w:rPr>
        <w:t xml:space="preserve"> организации</w:t>
      </w:r>
      <w:r w:rsidRPr="00C83180">
        <w:rPr>
          <w:bCs/>
        </w:rPr>
        <w:t>, организациите от приложение III и някои ключови участници от сектора. Беше предложено да се определ</w:t>
      </w:r>
      <w:r w:rsidR="00881740">
        <w:rPr>
          <w:bCs/>
        </w:rPr>
        <w:t>ят</w:t>
      </w:r>
      <w:r w:rsidRPr="00C83180">
        <w:rPr>
          <w:bCs/>
        </w:rPr>
        <w:t xml:space="preserve"> представители от други </w:t>
      </w:r>
      <w:proofErr w:type="spellStart"/>
      <w:r w:rsidR="00881740" w:rsidRPr="00881740">
        <w:rPr>
          <w:bCs/>
        </w:rPr>
        <w:t>SDOs</w:t>
      </w:r>
      <w:proofErr w:type="spellEnd"/>
      <w:r w:rsidRPr="00C83180">
        <w:rPr>
          <w:bCs/>
        </w:rPr>
        <w:t xml:space="preserve"> и форуми и консорциуми да присъства</w:t>
      </w:r>
      <w:r w:rsidR="00881740">
        <w:rPr>
          <w:bCs/>
        </w:rPr>
        <w:t>т</w:t>
      </w:r>
      <w:r w:rsidRPr="00C83180">
        <w:rPr>
          <w:bCs/>
        </w:rPr>
        <w:t xml:space="preserve"> от името на </w:t>
      </w:r>
      <w:r w:rsidR="00881740" w:rsidRPr="00881740">
        <w:rPr>
          <w:bCs/>
        </w:rPr>
        <w:t>MSP</w:t>
      </w:r>
      <w:r w:rsidRPr="00C83180">
        <w:rPr>
          <w:bCs/>
        </w:rPr>
        <w:t>. И накрая, беше направено заключението, че форуми &amp; консорциумите следва да бъдат п</w:t>
      </w:r>
      <w:r w:rsidR="00881740">
        <w:rPr>
          <w:bCs/>
        </w:rPr>
        <w:t>о</w:t>
      </w:r>
      <w:r w:rsidRPr="00C83180">
        <w:rPr>
          <w:bCs/>
        </w:rPr>
        <w:t xml:space="preserve">канени сами по себе си, а не като представители на </w:t>
      </w:r>
      <w:r w:rsidR="00881740" w:rsidRPr="00881740">
        <w:rPr>
          <w:bCs/>
        </w:rPr>
        <w:t>MSP</w:t>
      </w:r>
      <w:r w:rsidRPr="00C83180">
        <w:rPr>
          <w:bCs/>
        </w:rPr>
        <w:t xml:space="preserve">. </w:t>
      </w:r>
      <w:proofErr w:type="spellStart"/>
      <w:r w:rsidRPr="00C83180">
        <w:rPr>
          <w:bCs/>
        </w:rPr>
        <w:t>Йохен</w:t>
      </w:r>
      <w:proofErr w:type="spellEnd"/>
      <w:r w:rsidRPr="00C83180">
        <w:rPr>
          <w:bCs/>
        </w:rPr>
        <w:t xml:space="preserve"> Фридрих, представляващи OFE и </w:t>
      </w:r>
      <w:proofErr w:type="spellStart"/>
      <w:r w:rsidRPr="00C83180">
        <w:rPr>
          <w:bCs/>
        </w:rPr>
        <w:t>Carol</w:t>
      </w:r>
      <w:r w:rsidR="00881740">
        <w:rPr>
          <w:bCs/>
        </w:rPr>
        <w:t>e</w:t>
      </w:r>
      <w:proofErr w:type="spellEnd"/>
      <w:r w:rsidR="00881740">
        <w:rPr>
          <w:bCs/>
        </w:rPr>
        <w:t xml:space="preserve"> </w:t>
      </w:r>
      <w:proofErr w:type="spellStart"/>
      <w:r w:rsidR="00881740">
        <w:rPr>
          <w:bCs/>
        </w:rPr>
        <w:t>Cosgrove-Sacks</w:t>
      </w:r>
      <w:proofErr w:type="spellEnd"/>
      <w:r w:rsidR="00881740">
        <w:rPr>
          <w:bCs/>
        </w:rPr>
        <w:t>, представляващ</w:t>
      </w:r>
      <w:r w:rsidRPr="00C83180">
        <w:rPr>
          <w:bCs/>
        </w:rPr>
        <w:t xml:space="preserve"> OASIS бяха посочени като възможни представители. Председателят заключи, като прикани членовете да предложат допълнителни идеи до средата на януари.</w:t>
      </w:r>
    </w:p>
    <w:p w:rsidR="009052A9" w:rsidRPr="00C83180" w:rsidRDefault="009052A9" w:rsidP="00C83180">
      <w:pPr>
        <w:pStyle w:val="ListParagraph"/>
        <w:ind w:left="0"/>
        <w:jc w:val="both"/>
        <w:rPr>
          <w:bCs/>
        </w:rPr>
      </w:pPr>
    </w:p>
    <w:p w:rsidR="005B287D" w:rsidRPr="00C83180" w:rsidRDefault="00EC4333" w:rsidP="00C83180">
      <w:pPr>
        <w:pStyle w:val="Heading1"/>
        <w:numPr>
          <w:ilvl w:val="0"/>
          <w:numId w:val="0"/>
        </w:numPr>
        <w:pBdr>
          <w:bottom w:val="single" w:sz="4" w:space="1" w:color="00000A"/>
        </w:pBdr>
        <w:spacing w:before="0" w:after="0"/>
        <w:ind w:left="480" w:hanging="480"/>
      </w:pPr>
      <w:r w:rsidRPr="00C83180">
        <w:t>Приоритети по отношение на политиката</w:t>
      </w:r>
    </w:p>
    <w:p w:rsidR="005B287D" w:rsidRPr="00C83180" w:rsidRDefault="00EC4333" w:rsidP="00C83180">
      <w:pPr>
        <w:pStyle w:val="Heading2"/>
        <w:spacing w:before="0" w:after="0"/>
        <w:rPr>
          <w:sz w:val="26"/>
          <w:szCs w:val="26"/>
          <w:u w:val="single"/>
        </w:rPr>
      </w:pPr>
      <w:r w:rsidRPr="00C83180">
        <w:rPr>
          <w:sz w:val="26"/>
          <w:szCs w:val="26"/>
          <w:u w:val="single"/>
        </w:rPr>
        <w:t>Съобщението „Приоритети за стандартизацията в областта на ИКТ</w:t>
      </w:r>
    </w:p>
    <w:p w:rsidR="005B287D" w:rsidRPr="00C83180" w:rsidRDefault="00EC4333" w:rsidP="00C83180">
      <w:pPr>
        <w:numPr>
          <w:ilvl w:val="0"/>
          <w:numId w:val="5"/>
        </w:numPr>
        <w:spacing w:after="0"/>
        <w:contextualSpacing/>
        <w:rPr>
          <w:rFonts w:eastAsia="Calibri"/>
          <w:b/>
          <w:i/>
          <w:szCs w:val="24"/>
        </w:rPr>
      </w:pPr>
      <w:r w:rsidRPr="00C83180">
        <w:rPr>
          <w:rFonts w:eastAsia="Calibri"/>
          <w:b/>
          <w:i/>
          <w:szCs w:val="24"/>
        </w:rPr>
        <w:t xml:space="preserve">Актуална информация относно приоритетни области: </w:t>
      </w:r>
      <w:proofErr w:type="spellStart"/>
      <w:r w:rsidRPr="00C83180">
        <w:rPr>
          <w:rFonts w:eastAsia="Calibri"/>
          <w:b/>
          <w:i/>
          <w:szCs w:val="24"/>
        </w:rPr>
        <w:t>киберсигурност</w:t>
      </w:r>
      <w:proofErr w:type="spellEnd"/>
    </w:p>
    <w:p w:rsidR="005B287D" w:rsidRPr="009052A9" w:rsidRDefault="00463FF6" w:rsidP="009052A9">
      <w:pPr>
        <w:pStyle w:val="ListParagraph"/>
        <w:ind w:left="0" w:firstLine="635"/>
        <w:jc w:val="both"/>
      </w:pPr>
      <w:hyperlink r:id="rId15">
        <w:proofErr w:type="spellStart"/>
        <w:r w:rsidR="00EC4333" w:rsidRPr="009052A9">
          <w:rPr>
            <w:i/>
          </w:rPr>
          <w:t>Aristotelis</w:t>
        </w:r>
        <w:proofErr w:type="spellEnd"/>
        <w:r w:rsidR="00EC4333" w:rsidRPr="009052A9">
          <w:rPr>
            <w:i/>
          </w:rPr>
          <w:t xml:space="preserve"> </w:t>
        </w:r>
        <w:proofErr w:type="spellStart"/>
        <w:r w:rsidR="00EC4333" w:rsidRPr="009052A9">
          <w:rPr>
            <w:i/>
          </w:rPr>
          <w:t>Tzafalias</w:t>
        </w:r>
        <w:proofErr w:type="spellEnd"/>
        <w:r w:rsidR="00EC4333" w:rsidRPr="009052A9">
          <w:rPr>
            <w:i/>
          </w:rPr>
          <w:t xml:space="preserve"> (CNECT H1)</w:t>
        </w:r>
        <w:r w:rsidR="00EC4333" w:rsidRPr="009052A9">
          <w:t xml:space="preserve"> представи </w:t>
        </w:r>
        <w:r w:rsidR="00C312A9" w:rsidRPr="00C312A9">
          <w:t>пакет</w:t>
        </w:r>
        <w:r w:rsidR="00C312A9">
          <w:t>а за</w:t>
        </w:r>
        <w:r w:rsidR="00C312A9" w:rsidRPr="00C312A9">
          <w:t xml:space="preserve"> </w:t>
        </w:r>
        <w:proofErr w:type="spellStart"/>
        <w:r w:rsidR="00C312A9">
          <w:t>киберсигурност</w:t>
        </w:r>
        <w:proofErr w:type="spellEnd"/>
        <w:r w:rsidR="00EC4333" w:rsidRPr="009052A9">
          <w:t>, предложен от Комисията (док. ICT/MSP(2017)558), ко</w:t>
        </w:r>
        <w:r w:rsidR="00C312A9">
          <w:t>й</w:t>
        </w:r>
        <w:r w:rsidR="00EC4333" w:rsidRPr="009052A9">
          <w:t xml:space="preserve">то е в процес на обсъждане със </w:t>
        </w:r>
        <w:proofErr w:type="spellStart"/>
        <w:r w:rsidR="00EC4333" w:rsidRPr="009052A9">
          <w:t>съзаконодателите</w:t>
        </w:r>
        <w:proofErr w:type="spellEnd"/>
        <w:r w:rsidR="00EC4333" w:rsidRPr="009052A9">
          <w:t xml:space="preserve">, с цел окончателно съгласие преди </w:t>
        </w:r>
        <w:r w:rsidR="00C312A9">
          <w:t xml:space="preserve">второто полугодие на </w:t>
        </w:r>
        <w:r w:rsidR="00EC4333" w:rsidRPr="009052A9">
          <w:t>2019</w:t>
        </w:r>
        <w:r w:rsidR="00C312A9">
          <w:t xml:space="preserve"> г</w:t>
        </w:r>
        <w:r w:rsidR="00EC4333" w:rsidRPr="009052A9">
          <w:t xml:space="preserve">. </w:t>
        </w:r>
        <w:r w:rsidR="00C312A9">
          <w:t>Т</w:t>
        </w:r>
        <w:r w:rsidR="00EC4333" w:rsidRPr="009052A9">
          <w:t xml:space="preserve">ой представи </w:t>
        </w:r>
        <w:r w:rsidR="00C312A9">
          <w:t>Акта</w:t>
        </w:r>
        <w:r w:rsidR="00EC4333" w:rsidRPr="009052A9">
          <w:t xml:space="preserve"> за </w:t>
        </w:r>
        <w:proofErr w:type="spellStart"/>
        <w:r w:rsidR="00EC4333" w:rsidRPr="009052A9">
          <w:t>киберсигурност</w:t>
        </w:r>
        <w:proofErr w:type="spellEnd"/>
        <w:r w:rsidR="00EC4333" w:rsidRPr="009052A9">
          <w:t xml:space="preserve">, Стратегията на Европейския съюз за </w:t>
        </w:r>
        <w:proofErr w:type="spellStart"/>
        <w:r w:rsidR="00EC4333" w:rsidRPr="009052A9">
          <w:t>киберсигурност</w:t>
        </w:r>
        <w:proofErr w:type="spellEnd"/>
        <w:r w:rsidR="00EC4333" w:rsidRPr="009052A9">
          <w:t xml:space="preserve"> и подробния план</w:t>
        </w:r>
        <w:r w:rsidR="00C312A9">
          <w:t xml:space="preserve"> (</w:t>
        </w:r>
        <w:proofErr w:type="spellStart"/>
        <w:r w:rsidR="00C312A9" w:rsidRPr="00C312A9">
          <w:t>Blueprint</w:t>
        </w:r>
        <w:proofErr w:type="spellEnd"/>
        <w:r w:rsidR="00C312A9">
          <w:t>)</w:t>
        </w:r>
        <w:r w:rsidR="00EC4333" w:rsidRPr="009052A9">
          <w:t>.</w:t>
        </w:r>
      </w:hyperlink>
    </w:p>
    <w:p w:rsidR="005B287D" w:rsidRPr="00C83180" w:rsidRDefault="00EC4333" w:rsidP="009052A9">
      <w:pPr>
        <w:spacing w:after="0"/>
        <w:ind w:firstLine="635"/>
      </w:pPr>
      <w:r w:rsidRPr="00C83180">
        <w:t xml:space="preserve">По време на последвалата дискусия бяха споменати следните въпроси: </w:t>
      </w:r>
      <w:proofErr w:type="spellStart"/>
      <w:r w:rsidRPr="00C83180">
        <w:t>киберсигурността</w:t>
      </w:r>
      <w:proofErr w:type="spellEnd"/>
      <w:r w:rsidRPr="00C83180">
        <w:t xml:space="preserve"> е от изключително значение за цифровизация</w:t>
      </w:r>
      <w:r w:rsidR="00C312A9">
        <w:t>та</w:t>
      </w:r>
      <w:r w:rsidRPr="00C83180">
        <w:t>; хармонизация</w:t>
      </w:r>
      <w:r w:rsidR="00C312A9">
        <w:t>та</w:t>
      </w:r>
      <w:r w:rsidRPr="00C83180">
        <w:t xml:space="preserve"> </w:t>
      </w:r>
      <w:r w:rsidR="00C312A9">
        <w:t>също</w:t>
      </w:r>
      <w:r w:rsidRPr="00C83180">
        <w:t xml:space="preserve"> </w:t>
      </w:r>
      <w:r w:rsidR="00C312A9">
        <w:t>е важна</w:t>
      </w:r>
      <w:r w:rsidRPr="00C83180">
        <w:t>; как да се гарантира, че режимите са ориентирани към промишлеността и за широк прием; привеждане в съответствие с вече съществуващите съответни схеми извън ЕС, например в САЩ; връзка със секторни</w:t>
      </w:r>
      <w:r w:rsidR="00C312A9">
        <w:t>те</w:t>
      </w:r>
      <w:r w:rsidRPr="00C83180">
        <w:t xml:space="preserve"> схеми, напр. здраве</w:t>
      </w:r>
      <w:r w:rsidR="00C312A9">
        <w:t>опазване</w:t>
      </w:r>
      <w:r w:rsidRPr="00C83180">
        <w:t xml:space="preserve">; взаимодействие с други схеми като регулиране на продуктите или </w:t>
      </w:r>
      <w:r w:rsidR="00C312A9" w:rsidRPr="00C312A9">
        <w:t>RED</w:t>
      </w:r>
      <w:r w:rsidRPr="00C83180">
        <w:t xml:space="preserve">; OASIS посочи, че </w:t>
      </w:r>
      <w:r w:rsidR="00C312A9">
        <w:t>те</w:t>
      </w:r>
      <w:r w:rsidRPr="00C83180">
        <w:t xml:space="preserve"> обикновено не участват в сертифицирането на предприятията, </w:t>
      </w:r>
      <w:r w:rsidR="00C312A9">
        <w:t xml:space="preserve">а </w:t>
      </w:r>
      <w:r w:rsidRPr="00C83180">
        <w:t>са в процес</w:t>
      </w:r>
      <w:r w:rsidR="00C312A9">
        <w:t>а</w:t>
      </w:r>
      <w:r w:rsidRPr="00C83180">
        <w:t xml:space="preserve"> на разработване на схеми за оценяване на </w:t>
      </w:r>
      <w:proofErr w:type="spellStart"/>
      <w:r w:rsidRPr="00C83180">
        <w:t>киберсигурността</w:t>
      </w:r>
      <w:proofErr w:type="spellEnd"/>
      <w:r w:rsidRPr="00C83180">
        <w:t>; UN/CEFACT по</w:t>
      </w:r>
      <w:r w:rsidR="00C312A9">
        <w:t>сочи, че</w:t>
      </w:r>
      <w:r w:rsidRPr="00C83180">
        <w:t xml:space="preserve"> Системата за бързо предупреждение за храни и фуражи (RASFED), разработена с ГД „Здравеопазване и потребители“, мо</w:t>
      </w:r>
      <w:r w:rsidR="00C312A9">
        <w:t>же</w:t>
      </w:r>
      <w:r w:rsidRPr="00C83180">
        <w:t xml:space="preserve"> да се</w:t>
      </w:r>
      <w:r w:rsidR="00C312A9">
        <w:t xml:space="preserve"> счита</w:t>
      </w:r>
      <w:r w:rsidRPr="00C83180">
        <w:t xml:space="preserve"> за инструмент за сравнителен анализ; някои членове зададоха въпроса дали би имало акредитация/механизъм за сертифициране на сертифициращите органи; важно </w:t>
      </w:r>
      <w:r w:rsidR="00C312A9" w:rsidRPr="00C83180">
        <w:t xml:space="preserve">е </w:t>
      </w:r>
      <w:r w:rsidRPr="00C83180">
        <w:t xml:space="preserve">да се обърне внимание на риска от това дружества </w:t>
      </w:r>
      <w:r w:rsidR="00C312A9">
        <w:t xml:space="preserve">да </w:t>
      </w:r>
      <w:r w:rsidRPr="00C83180">
        <w:t xml:space="preserve">получават сертификати и </w:t>
      </w:r>
      <w:r w:rsidR="00C312A9">
        <w:t xml:space="preserve">да </w:t>
      </w:r>
      <w:r w:rsidRPr="00C83180">
        <w:t xml:space="preserve">не се грижат повече за актуализирането им; ETSI посочи, че те извършват няколко дейности, свързани с </w:t>
      </w:r>
      <w:r w:rsidR="00C312A9" w:rsidRPr="00C83180">
        <w:t>представени</w:t>
      </w:r>
      <w:r w:rsidR="00C312A9">
        <w:t>те</w:t>
      </w:r>
      <w:r w:rsidR="00C312A9" w:rsidRPr="00C83180">
        <w:t xml:space="preserve"> </w:t>
      </w:r>
      <w:r w:rsidR="00C312A9">
        <w:t>въпроси,</w:t>
      </w:r>
      <w:r w:rsidRPr="00C83180">
        <w:t xml:space="preserve"> а именно чрез TC CYBER; трябва да се изясни дали сертифициращ</w:t>
      </w:r>
      <w:r w:rsidR="00C312A9">
        <w:t>ата</w:t>
      </w:r>
      <w:r w:rsidRPr="00C83180">
        <w:t xml:space="preserve"> рамка ще бъде доброволн</w:t>
      </w:r>
      <w:r w:rsidR="00C312A9">
        <w:t>а</w:t>
      </w:r>
      <w:r w:rsidRPr="00C83180">
        <w:t xml:space="preserve"> или задължителн</w:t>
      </w:r>
      <w:r w:rsidR="00C312A9">
        <w:t>а</w:t>
      </w:r>
      <w:r w:rsidRPr="00C83180">
        <w:t xml:space="preserve"> (фактически </w:t>
      </w:r>
      <w:r w:rsidR="00C312A9">
        <w:t>е</w:t>
      </w:r>
      <w:r w:rsidRPr="00C83180">
        <w:t xml:space="preserve"> по-добре последното,); необходимо е също разяснение за връзките между целите на политиката, изискванията на политиката, ролята на стандартизацията, и ролята на схемата за сертифициране; някои членове се застъпи</w:t>
      </w:r>
      <w:r w:rsidR="00C312A9">
        <w:t>ха</w:t>
      </w:r>
      <w:r w:rsidRPr="00C83180">
        <w:t xml:space="preserve"> </w:t>
      </w:r>
      <w:r w:rsidRPr="00C83180">
        <w:lastRenderedPageBreak/>
        <w:t>за „новия подход“, а не на хибридни, въпреки че ще бъде важно да се определи кой ще бъде в състояние да удостовер</w:t>
      </w:r>
      <w:r w:rsidR="00C312A9">
        <w:t>ява</w:t>
      </w:r>
      <w:r w:rsidRPr="00C83180">
        <w:t xml:space="preserve">, а други поискаха да </w:t>
      </w:r>
      <w:r w:rsidR="00C312A9">
        <w:t xml:space="preserve">се </w:t>
      </w:r>
      <w:r w:rsidRPr="00C83180">
        <w:t>обмисл</w:t>
      </w:r>
      <w:r w:rsidR="00C312A9">
        <w:t>и</w:t>
      </w:r>
      <w:r w:rsidRPr="00C83180">
        <w:t xml:space="preserve"> удобството от ползването на новия подход </w:t>
      </w:r>
      <w:r w:rsidR="00C312A9">
        <w:t xml:space="preserve">в </w:t>
      </w:r>
      <w:r w:rsidRPr="00C83180">
        <w:t>схеми в тези стратегически области; ролята на частните схеми, и как те се вписват в цялостна рамка следва също да бъд</w:t>
      </w:r>
      <w:r w:rsidR="00C312A9">
        <w:t>е</w:t>
      </w:r>
      <w:r w:rsidRPr="00C83180">
        <w:t xml:space="preserve"> изяснен</w:t>
      </w:r>
      <w:r w:rsidR="00C312A9">
        <w:t>а</w:t>
      </w:r>
      <w:r w:rsidRPr="00C83180">
        <w:t>; обхват</w:t>
      </w:r>
      <w:r w:rsidR="00C312A9">
        <w:t>ът</w:t>
      </w:r>
      <w:r w:rsidRPr="00C83180">
        <w:t xml:space="preserve"> и управление</w:t>
      </w:r>
      <w:r w:rsidR="00C312A9">
        <w:t>то</w:t>
      </w:r>
      <w:r w:rsidRPr="00C83180">
        <w:t xml:space="preserve"> следва да бъдат добре определени</w:t>
      </w:r>
      <w:r w:rsidR="00C312A9">
        <w:t>,</w:t>
      </w:r>
      <w:r w:rsidRPr="00C83180">
        <w:t xml:space="preserve"> несигурност</w:t>
      </w:r>
      <w:r w:rsidR="00C312A9">
        <w:t>та</w:t>
      </w:r>
      <w:r w:rsidRPr="00C83180">
        <w:t xml:space="preserve"> може да попречи на промишлеността; роля</w:t>
      </w:r>
      <w:r w:rsidR="00C312A9">
        <w:t>та</w:t>
      </w:r>
      <w:r w:rsidRPr="00C83180">
        <w:t xml:space="preserve"> и връзка</w:t>
      </w:r>
      <w:r w:rsidR="00C312A9">
        <w:t>та</w:t>
      </w:r>
      <w:r w:rsidRPr="00C83180">
        <w:t xml:space="preserve"> с международната стандартизация трябва да бъдат разгледани; важно </w:t>
      </w:r>
      <w:r w:rsidR="00C312A9">
        <w:t xml:space="preserve">е </w:t>
      </w:r>
      <w:r w:rsidRPr="00C83180">
        <w:t xml:space="preserve">да се гарантира, че </w:t>
      </w:r>
      <w:r w:rsidR="00C312A9">
        <w:t xml:space="preserve">в </w:t>
      </w:r>
      <w:r w:rsidRPr="00C83180">
        <w:t>ENISA е взето под внимание становището на всички заинтересовани участници, включително потребителите и малките и средни предприятия.</w:t>
      </w:r>
    </w:p>
    <w:p w:rsidR="005B287D" w:rsidRPr="00C83180" w:rsidRDefault="00C312A9" w:rsidP="00C55AA5">
      <w:pPr>
        <w:spacing w:after="0"/>
        <w:ind w:firstLine="635"/>
      </w:pPr>
      <w:r>
        <w:rPr>
          <w:i/>
        </w:rPr>
        <w:t xml:space="preserve">А. </w:t>
      </w:r>
      <w:proofErr w:type="spellStart"/>
      <w:r w:rsidR="00EC4333" w:rsidRPr="00C83180">
        <w:rPr>
          <w:i/>
        </w:rPr>
        <w:t>Tzafalias</w:t>
      </w:r>
      <w:proofErr w:type="spellEnd"/>
      <w:r w:rsidR="00EC4333" w:rsidRPr="00C83180">
        <w:rPr>
          <w:i/>
        </w:rPr>
        <w:t xml:space="preserve"> </w:t>
      </w:r>
      <w:r w:rsidR="00EC4333" w:rsidRPr="00C312A9">
        <w:t xml:space="preserve">обясни, че това не е нов подход за регулиране, не се счита за регулиране на </w:t>
      </w:r>
      <w:proofErr w:type="spellStart"/>
      <w:r w:rsidR="00EC4333" w:rsidRPr="00C312A9">
        <w:t>киберсигурността</w:t>
      </w:r>
      <w:proofErr w:type="spellEnd"/>
      <w:r w:rsidR="00EC4333" w:rsidRPr="00C312A9">
        <w:t xml:space="preserve"> за продукти и услуги или включване на изискванията за </w:t>
      </w:r>
      <w:proofErr w:type="spellStart"/>
      <w:r w:rsidR="00EC4333" w:rsidRPr="00C312A9">
        <w:t>киберсигурност</w:t>
      </w:r>
      <w:proofErr w:type="spellEnd"/>
      <w:r w:rsidR="00EC4333" w:rsidRPr="00C312A9">
        <w:t xml:space="preserve"> като условие, за да ги предоставят на разположение на пазара. </w:t>
      </w:r>
      <w:r w:rsidR="00EC4333" w:rsidRPr="00C83180">
        <w:t xml:space="preserve">Налице са обаче много оценки на съответствието или схеми за съответствие, когато заинтересованите страни се споразумеят за някои определени процедури за оценка на съответствието за някои продукти, които биха могли да бъдат изложени на рискове. Това ще бъде от полза за </w:t>
      </w:r>
      <w:r w:rsidRPr="00C83180">
        <w:t>схеми</w:t>
      </w:r>
      <w:r>
        <w:t>те в</w:t>
      </w:r>
      <w:r w:rsidRPr="00C83180">
        <w:t xml:space="preserve"> </w:t>
      </w:r>
      <w:r w:rsidR="00EC4333" w:rsidRPr="00C83180">
        <w:t>целия ЕС, особено за МСП. Комисията ще предложи да бъд</w:t>
      </w:r>
      <w:r>
        <w:t>е</w:t>
      </w:r>
      <w:r w:rsidR="00EC4333" w:rsidRPr="00C83180">
        <w:t xml:space="preserve"> разработен</w:t>
      </w:r>
      <w:r>
        <w:t>а</w:t>
      </w:r>
      <w:r w:rsidRPr="00C312A9">
        <w:t xml:space="preserve"> </w:t>
      </w:r>
      <w:r w:rsidRPr="00C83180">
        <w:t>рамка</w:t>
      </w:r>
      <w:r>
        <w:t>, но не възнамерява</w:t>
      </w:r>
      <w:r w:rsidR="00EC4333" w:rsidRPr="00C83180">
        <w:t xml:space="preserve"> да възлож</w:t>
      </w:r>
      <w:r>
        <w:t>и</w:t>
      </w:r>
      <w:r w:rsidR="00EC4333" w:rsidRPr="00C83180">
        <w:t xml:space="preserve"> конкретна схема. Комисията ще </w:t>
      </w:r>
      <w:r>
        <w:t>бъде</w:t>
      </w:r>
      <w:r w:rsidR="00EC4333" w:rsidRPr="00C83180">
        <w:t xml:space="preserve"> признателн</w:t>
      </w:r>
      <w:r>
        <w:t>а ако получи</w:t>
      </w:r>
      <w:r w:rsidR="00EC4333" w:rsidRPr="00C83180">
        <w:t xml:space="preserve"> всякаква информация във връзка с тези евентуални схеми от </w:t>
      </w:r>
      <w:proofErr w:type="spellStart"/>
      <w:r>
        <w:t>стандартизационните</w:t>
      </w:r>
      <w:proofErr w:type="spellEnd"/>
      <w:r>
        <w:t xml:space="preserve"> организации</w:t>
      </w:r>
      <w:r w:rsidR="00EC4333" w:rsidRPr="00C83180">
        <w:t>. Сертифициращите органи ще бъдат по принцип органите за оценка на съответствието (ООС), съответстващ</w:t>
      </w:r>
      <w:r>
        <w:t>и</w:t>
      </w:r>
      <w:r w:rsidR="00EC4333" w:rsidRPr="00C83180">
        <w:t xml:space="preserve"> на изискванията на ISO 17065 (може да има и някои </w:t>
      </w:r>
      <w:proofErr w:type="spellStart"/>
      <w:r w:rsidR="00EC4333" w:rsidRPr="00C83180">
        <w:t>дерогации</w:t>
      </w:r>
      <w:proofErr w:type="spellEnd"/>
      <w:r w:rsidR="00EC4333" w:rsidRPr="00C83180">
        <w:t xml:space="preserve">) с определени процедури за акредитация и сертифициране. Ролята на стандартизацията, сертифицирането, оценката е ясна и рамката следва да бъде в съответствие с </w:t>
      </w:r>
      <w:r w:rsidR="00006F82" w:rsidRPr="00C83180">
        <w:t>практики</w:t>
      </w:r>
      <w:r w:rsidR="00006F82">
        <w:t>те на</w:t>
      </w:r>
      <w:r w:rsidR="00006F82" w:rsidRPr="00C83180">
        <w:t xml:space="preserve"> </w:t>
      </w:r>
      <w:r w:rsidR="00EC4333" w:rsidRPr="00C83180">
        <w:t>ISO и СТО. Стандартите биха могли да бъдат международн</w:t>
      </w:r>
      <w:r w:rsidR="00006F82">
        <w:t>и</w:t>
      </w:r>
      <w:r w:rsidR="00EC4333" w:rsidRPr="00C83180">
        <w:t>, глобалн</w:t>
      </w:r>
      <w:r w:rsidR="00006F82">
        <w:t>и</w:t>
      </w:r>
      <w:r w:rsidR="00EC4333" w:rsidRPr="00C83180">
        <w:t xml:space="preserve"> или тези на ЕС, доколкото те отразяват изискванията на държавите членки.</w:t>
      </w:r>
    </w:p>
    <w:p w:rsidR="005B287D" w:rsidRDefault="00EC4333" w:rsidP="00C55AA5">
      <w:pPr>
        <w:spacing w:after="0"/>
        <w:ind w:firstLine="635"/>
      </w:pPr>
      <w:r w:rsidRPr="00C83180">
        <w:t>Участниците също така прикан</w:t>
      </w:r>
      <w:r w:rsidR="00006F82">
        <w:t>иха</w:t>
      </w:r>
      <w:r w:rsidRPr="00C83180">
        <w:t xml:space="preserve"> Комисията </w:t>
      </w:r>
      <w:r w:rsidR="00006F82" w:rsidRPr="00C83180">
        <w:t xml:space="preserve">за разрешаването на възникващи проблеми най-напред </w:t>
      </w:r>
      <w:r w:rsidRPr="00C83180">
        <w:t>да се разчита на пазарни решения. Силно регулирана среда следва да бъде само резервно решение, вместо на първа линия, която да се следва.</w:t>
      </w:r>
    </w:p>
    <w:p w:rsidR="00006F82" w:rsidRPr="00C83180" w:rsidRDefault="00006F82" w:rsidP="00C83180">
      <w:pPr>
        <w:spacing w:after="0"/>
      </w:pPr>
    </w:p>
    <w:p w:rsidR="005B287D" w:rsidRPr="00C83180" w:rsidRDefault="00A55745" w:rsidP="00C83180">
      <w:pPr>
        <w:pStyle w:val="Heading2"/>
        <w:spacing w:before="0" w:after="0"/>
        <w:rPr>
          <w:sz w:val="26"/>
          <w:szCs w:val="26"/>
          <w:u w:val="single"/>
        </w:rPr>
      </w:pPr>
      <w:r>
        <w:rPr>
          <w:sz w:val="26"/>
          <w:szCs w:val="26"/>
          <w:u w:val="single"/>
        </w:rPr>
        <w:t>Текущо актуализиран</w:t>
      </w:r>
      <w:r w:rsidR="00EC4333" w:rsidRPr="00C83180">
        <w:rPr>
          <w:sz w:val="26"/>
          <w:szCs w:val="26"/>
          <w:u w:val="single"/>
        </w:rPr>
        <w:t xml:space="preserve"> план за периода до 2018 г.</w:t>
      </w:r>
    </w:p>
    <w:p w:rsidR="005B287D" w:rsidRPr="00C83180" w:rsidRDefault="00A55745" w:rsidP="00C83180">
      <w:pPr>
        <w:numPr>
          <w:ilvl w:val="0"/>
          <w:numId w:val="2"/>
        </w:numPr>
        <w:spacing w:after="0"/>
        <w:ind w:left="567"/>
        <w:rPr>
          <w:b/>
          <w:i/>
          <w:szCs w:val="24"/>
        </w:rPr>
      </w:pPr>
      <w:r>
        <w:rPr>
          <w:b/>
          <w:i/>
          <w:szCs w:val="24"/>
        </w:rPr>
        <w:t>Текущо актуализиран</w:t>
      </w:r>
      <w:r w:rsidR="00EC4333" w:rsidRPr="00C83180">
        <w:rPr>
          <w:b/>
          <w:i/>
          <w:szCs w:val="24"/>
        </w:rPr>
        <w:t xml:space="preserve"> план за 2018 г. — окончателен текст</w:t>
      </w:r>
    </w:p>
    <w:p w:rsidR="005B287D" w:rsidRPr="00C83180" w:rsidRDefault="00EC4333" w:rsidP="00C55AA5">
      <w:pPr>
        <w:spacing w:after="0"/>
        <w:ind w:firstLine="567"/>
      </w:pPr>
      <w:proofErr w:type="spellStart"/>
      <w:r w:rsidRPr="00C55AA5">
        <w:rPr>
          <w:i/>
          <w:szCs w:val="24"/>
        </w:rPr>
        <w:t>Szabolcs</w:t>
      </w:r>
      <w:proofErr w:type="spellEnd"/>
      <w:r w:rsidRPr="00C55AA5">
        <w:rPr>
          <w:i/>
          <w:szCs w:val="24"/>
        </w:rPr>
        <w:t xml:space="preserve"> </w:t>
      </w:r>
      <w:proofErr w:type="spellStart"/>
      <w:r w:rsidRPr="00C55AA5">
        <w:rPr>
          <w:i/>
          <w:szCs w:val="24"/>
        </w:rPr>
        <w:t>Szekacs</w:t>
      </w:r>
      <w:proofErr w:type="spellEnd"/>
      <w:r w:rsidRPr="00C83180">
        <w:rPr>
          <w:i/>
          <w:szCs w:val="24"/>
        </w:rPr>
        <w:t xml:space="preserve"> (ГД „Вътрешен пазар, промишленост</w:t>
      </w:r>
      <w:r w:rsidR="00A55745">
        <w:rPr>
          <w:i/>
          <w:szCs w:val="24"/>
        </w:rPr>
        <w:t>,</w:t>
      </w:r>
      <w:r w:rsidR="00A55745" w:rsidRPr="00A55745">
        <w:t xml:space="preserve"> </w:t>
      </w:r>
      <w:r w:rsidR="00A55745" w:rsidRPr="00A55745">
        <w:rPr>
          <w:i/>
          <w:szCs w:val="24"/>
        </w:rPr>
        <w:t>предприемачество</w:t>
      </w:r>
      <w:r w:rsidR="00006F82">
        <w:rPr>
          <w:i/>
          <w:szCs w:val="24"/>
        </w:rPr>
        <w:t>“</w:t>
      </w:r>
      <w:r w:rsidRPr="00C83180">
        <w:rPr>
          <w:i/>
          <w:szCs w:val="24"/>
        </w:rPr>
        <w:t xml:space="preserve">, F3) </w:t>
      </w:r>
      <w:r w:rsidRPr="00A55745">
        <w:rPr>
          <w:szCs w:val="24"/>
        </w:rPr>
        <w:t xml:space="preserve">представи окончателния вариант на актуализирания план 2018 ICT/MSP(2017)548v2, </w:t>
      </w:r>
      <w:r w:rsidR="00A55745" w:rsidRPr="00A55745">
        <w:rPr>
          <w:szCs w:val="24"/>
        </w:rPr>
        <w:t xml:space="preserve">за одобрение </w:t>
      </w:r>
      <w:r w:rsidR="00A55745">
        <w:rPr>
          <w:szCs w:val="24"/>
        </w:rPr>
        <w:t>от Платформата</w:t>
      </w:r>
      <w:r w:rsidRPr="00A55745">
        <w:rPr>
          <w:szCs w:val="24"/>
        </w:rPr>
        <w:t>.</w:t>
      </w:r>
      <w:hyperlink r:id="rId16">
        <w:r w:rsidRPr="00A55745">
          <w:rPr>
            <w:szCs w:val="24"/>
          </w:rPr>
          <w:t xml:space="preserve"> Той благодари на </w:t>
        </w:r>
        <w:r w:rsidR="00A55745" w:rsidRPr="00A55745">
          <w:rPr>
            <w:szCs w:val="24"/>
          </w:rPr>
          <w:t xml:space="preserve">MSP </w:t>
        </w:r>
        <w:r w:rsidRPr="00A55745">
          <w:rPr>
            <w:szCs w:val="24"/>
          </w:rPr>
          <w:t>и особено на Работна</w:t>
        </w:r>
        <w:r w:rsidR="00A55745">
          <w:rPr>
            <w:szCs w:val="24"/>
          </w:rPr>
          <w:t>та</w:t>
        </w:r>
        <w:r w:rsidRPr="00A55745">
          <w:rPr>
            <w:szCs w:val="24"/>
          </w:rPr>
          <w:t xml:space="preserve"> група „Текущо актуализиран</w:t>
        </w:r>
        <w:r w:rsidR="00A55745">
          <w:rPr>
            <w:szCs w:val="24"/>
          </w:rPr>
          <w:t>е на</w:t>
        </w:r>
        <w:r w:rsidRPr="00A55745">
          <w:rPr>
            <w:szCs w:val="24"/>
          </w:rPr>
          <w:t xml:space="preserve"> план</w:t>
        </w:r>
        <w:r w:rsidR="00A55745">
          <w:rPr>
            <w:szCs w:val="24"/>
          </w:rPr>
          <w:t>а“</w:t>
        </w:r>
        <w:r w:rsidRPr="00A55745">
          <w:rPr>
            <w:szCs w:val="24"/>
          </w:rPr>
          <w:t xml:space="preserve"> (TFRP) за добре свършената работа.</w:t>
        </w:r>
      </w:hyperlink>
    </w:p>
    <w:p w:rsidR="005B287D" w:rsidRPr="00C83180" w:rsidRDefault="00EC4333" w:rsidP="00C55AA5">
      <w:pPr>
        <w:spacing w:after="0"/>
        <w:ind w:firstLine="567"/>
      </w:pPr>
      <w:proofErr w:type="spellStart"/>
      <w:r w:rsidRPr="00C83180">
        <w:rPr>
          <w:i/>
          <w:szCs w:val="24"/>
        </w:rPr>
        <w:t>Йохен</w:t>
      </w:r>
      <w:proofErr w:type="spellEnd"/>
      <w:r w:rsidRPr="00C83180">
        <w:rPr>
          <w:i/>
          <w:szCs w:val="24"/>
        </w:rPr>
        <w:t xml:space="preserve"> Фридрих (председател на TFRP) </w:t>
      </w:r>
      <w:r w:rsidRPr="00A55745">
        <w:rPr>
          <w:szCs w:val="24"/>
        </w:rPr>
        <w:t>представи документ ИКТ/</w:t>
      </w:r>
      <w:r w:rsidR="00A55745" w:rsidRPr="00A55745">
        <w:t xml:space="preserve"> </w:t>
      </w:r>
      <w:r w:rsidR="00A55745" w:rsidRPr="00A55745">
        <w:rPr>
          <w:szCs w:val="24"/>
        </w:rPr>
        <w:t>MSP</w:t>
      </w:r>
      <w:r w:rsidRPr="00A55745">
        <w:rPr>
          <w:szCs w:val="24"/>
        </w:rPr>
        <w:t xml:space="preserve"> (2017)567</w:t>
      </w:r>
      <w:r w:rsidR="00A55745" w:rsidRPr="00A55745">
        <w:rPr>
          <w:szCs w:val="24"/>
        </w:rPr>
        <w:t>,</w:t>
      </w:r>
      <w:r w:rsidRPr="00A55745">
        <w:rPr>
          <w:szCs w:val="24"/>
        </w:rPr>
        <w:t xml:space="preserve"> припомн</w:t>
      </w:r>
      <w:r w:rsidR="00A55745" w:rsidRPr="00A55745">
        <w:rPr>
          <w:szCs w:val="24"/>
        </w:rPr>
        <w:t>ящ</w:t>
      </w:r>
      <w:r w:rsidRPr="00A55745">
        <w:rPr>
          <w:szCs w:val="24"/>
        </w:rPr>
        <w:t xml:space="preserve"> процеса на преглед и новите елементи, въведени през тази година.</w:t>
      </w:r>
      <w:hyperlink r:id="rId17">
        <w:r w:rsidRPr="00A55745">
          <w:rPr>
            <w:szCs w:val="24"/>
          </w:rPr>
          <w:t xml:space="preserve"> Пр</w:t>
        </w:r>
        <w:r w:rsidR="00A55745">
          <w:rPr>
            <w:szCs w:val="24"/>
          </w:rPr>
          <w:t>омените</w:t>
        </w:r>
        <w:r w:rsidRPr="00A55745">
          <w:rPr>
            <w:szCs w:val="24"/>
          </w:rPr>
          <w:t xml:space="preserve"> от 2018 г. </w:t>
        </w:r>
        <w:r w:rsidR="00A55745">
          <w:rPr>
            <w:szCs w:val="24"/>
          </w:rPr>
          <w:t>са</w:t>
        </w:r>
        <w:r w:rsidRPr="00A55745">
          <w:rPr>
            <w:szCs w:val="24"/>
          </w:rPr>
          <w:t xml:space="preserve"> на разположение онлайн в </w:t>
        </w:r>
        <w:proofErr w:type="spellStart"/>
        <w:r w:rsidRPr="00A55745">
          <w:rPr>
            <w:szCs w:val="24"/>
          </w:rPr>
          <w:t>уики</w:t>
        </w:r>
        <w:proofErr w:type="spellEnd"/>
        <w:r w:rsidRPr="00A55745">
          <w:rPr>
            <w:szCs w:val="24"/>
          </w:rPr>
          <w:t>, който е централното хранилище за всички документи, свързани с годишните преразглеждания.</w:t>
        </w:r>
      </w:hyperlink>
      <w:r w:rsidRPr="00C83180">
        <w:rPr>
          <w:rStyle w:val="FootnoteAnchor"/>
          <w:szCs w:val="24"/>
        </w:rPr>
        <w:footnoteReference w:id="3"/>
      </w:r>
      <w:r w:rsidRPr="00C83180">
        <w:rPr>
          <w:szCs w:val="24"/>
        </w:rPr>
        <w:t xml:space="preserve"> Той спомена необходимостта от някои поправки на </w:t>
      </w:r>
      <w:r w:rsidR="00A55745">
        <w:rPr>
          <w:szCs w:val="24"/>
        </w:rPr>
        <w:t>основни точки, и представи</w:t>
      </w:r>
      <w:r w:rsidRPr="00C83180">
        <w:rPr>
          <w:szCs w:val="24"/>
        </w:rPr>
        <w:t xml:space="preserve"> установения график за процеса на преразглеждане през 2019 г. </w:t>
      </w:r>
      <w:r w:rsidR="00A55745">
        <w:rPr>
          <w:i/>
          <w:szCs w:val="24"/>
        </w:rPr>
        <w:t>Й</w:t>
      </w:r>
      <w:r w:rsidRPr="00C83180">
        <w:rPr>
          <w:i/>
          <w:szCs w:val="24"/>
        </w:rPr>
        <w:t xml:space="preserve">. Фридрих </w:t>
      </w:r>
      <w:r w:rsidRPr="00A55745">
        <w:rPr>
          <w:szCs w:val="24"/>
        </w:rPr>
        <w:t>напомн</w:t>
      </w:r>
      <w:r w:rsidR="00A55745" w:rsidRPr="00A55745">
        <w:rPr>
          <w:szCs w:val="24"/>
        </w:rPr>
        <w:t>и</w:t>
      </w:r>
      <w:r w:rsidRPr="00A55745">
        <w:rPr>
          <w:szCs w:val="24"/>
        </w:rPr>
        <w:t xml:space="preserve"> също, че </w:t>
      </w:r>
      <w:r w:rsidR="00A55745">
        <w:rPr>
          <w:szCs w:val="24"/>
        </w:rPr>
        <w:t>план графикът</w:t>
      </w:r>
      <w:r w:rsidRPr="00A55745">
        <w:rPr>
          <w:szCs w:val="24"/>
        </w:rPr>
        <w:t xml:space="preserve"> е налич</w:t>
      </w:r>
      <w:r w:rsidR="00A55745">
        <w:rPr>
          <w:szCs w:val="24"/>
        </w:rPr>
        <w:t>ен</w:t>
      </w:r>
      <w:r w:rsidRPr="00A55745">
        <w:rPr>
          <w:szCs w:val="24"/>
        </w:rPr>
        <w:t xml:space="preserve"> в </w:t>
      </w:r>
      <w:proofErr w:type="spellStart"/>
      <w:r w:rsidRPr="00A55745">
        <w:rPr>
          <w:szCs w:val="24"/>
        </w:rPr>
        <w:t>wiki</w:t>
      </w:r>
      <w:proofErr w:type="spellEnd"/>
      <w:r w:rsidR="00A55745">
        <w:rPr>
          <w:szCs w:val="24"/>
        </w:rPr>
        <w:t xml:space="preserve"> за</w:t>
      </w:r>
      <w:r w:rsidRPr="00A55745">
        <w:rPr>
          <w:szCs w:val="24"/>
        </w:rPr>
        <w:t xml:space="preserve"> консултация. </w:t>
      </w:r>
      <w:r w:rsidRPr="00C83180">
        <w:rPr>
          <w:szCs w:val="24"/>
        </w:rPr>
        <w:t xml:space="preserve">В заключение той благодари на </w:t>
      </w:r>
      <w:r w:rsidR="00A55745" w:rsidRPr="00C83180">
        <w:rPr>
          <w:szCs w:val="24"/>
        </w:rPr>
        <w:t>членовете</w:t>
      </w:r>
      <w:r w:rsidR="00A55745" w:rsidRPr="00A55745">
        <w:rPr>
          <w:szCs w:val="24"/>
        </w:rPr>
        <w:t xml:space="preserve"> </w:t>
      </w:r>
      <w:r w:rsidR="00A55745">
        <w:rPr>
          <w:szCs w:val="24"/>
        </w:rPr>
        <w:t xml:space="preserve">на </w:t>
      </w:r>
      <w:r w:rsidR="00A55745" w:rsidRPr="00A55745">
        <w:rPr>
          <w:szCs w:val="24"/>
        </w:rPr>
        <w:t>MSP</w:t>
      </w:r>
      <w:r w:rsidRPr="00C83180">
        <w:rPr>
          <w:szCs w:val="24"/>
        </w:rPr>
        <w:t>, TFRP и персонала на Комисията за забележителната им подкрепа.</w:t>
      </w:r>
    </w:p>
    <w:p w:rsidR="005B287D" w:rsidRDefault="00A55745" w:rsidP="00C55AA5">
      <w:pPr>
        <w:spacing w:after="0"/>
        <w:ind w:firstLine="567"/>
        <w:rPr>
          <w:szCs w:val="24"/>
        </w:rPr>
      </w:pPr>
      <w:r w:rsidRPr="00A55745">
        <w:rPr>
          <w:szCs w:val="24"/>
        </w:rPr>
        <w:t xml:space="preserve">MSP </w:t>
      </w:r>
      <w:r w:rsidR="00EC4333" w:rsidRPr="00C83180">
        <w:rPr>
          <w:szCs w:val="24"/>
        </w:rPr>
        <w:t xml:space="preserve">одобри преразглеждането през 2018 г. на актуализирания план. </w:t>
      </w:r>
    </w:p>
    <w:p w:rsidR="00A55745" w:rsidRPr="00C83180" w:rsidRDefault="00A55745" w:rsidP="00C83180">
      <w:pPr>
        <w:spacing w:after="0"/>
        <w:rPr>
          <w:szCs w:val="24"/>
        </w:rPr>
      </w:pPr>
    </w:p>
    <w:p w:rsidR="005B287D" w:rsidRPr="00C83180" w:rsidRDefault="00EC4333" w:rsidP="00C83180">
      <w:pPr>
        <w:pStyle w:val="Heading2"/>
        <w:spacing w:before="0" w:after="0"/>
        <w:rPr>
          <w:sz w:val="26"/>
          <w:szCs w:val="26"/>
          <w:u w:val="single"/>
        </w:rPr>
      </w:pPr>
      <w:r w:rsidRPr="00C83180">
        <w:rPr>
          <w:sz w:val="26"/>
          <w:szCs w:val="26"/>
          <w:u w:val="single"/>
        </w:rPr>
        <w:t xml:space="preserve">Предстоящата </w:t>
      </w:r>
      <w:proofErr w:type="spellStart"/>
      <w:r w:rsidRPr="00C83180">
        <w:rPr>
          <w:sz w:val="26"/>
          <w:szCs w:val="26"/>
          <w:u w:val="single"/>
        </w:rPr>
        <w:t>стандартизационна</w:t>
      </w:r>
      <w:proofErr w:type="spellEnd"/>
      <w:r w:rsidRPr="00C83180">
        <w:rPr>
          <w:sz w:val="26"/>
          <w:szCs w:val="26"/>
          <w:u w:val="single"/>
        </w:rPr>
        <w:t xml:space="preserve"> дейност</w:t>
      </w:r>
    </w:p>
    <w:p w:rsidR="005B287D" w:rsidRPr="00C83180" w:rsidRDefault="00EC4333" w:rsidP="00C83180">
      <w:pPr>
        <w:pStyle w:val="ListParagraph"/>
        <w:numPr>
          <w:ilvl w:val="0"/>
          <w:numId w:val="2"/>
        </w:numPr>
        <w:ind w:left="567"/>
        <w:rPr>
          <w:b/>
          <w:i/>
          <w:szCs w:val="20"/>
          <w:lang w:eastAsia="en-US"/>
        </w:rPr>
      </w:pPr>
      <w:r w:rsidRPr="00C83180">
        <w:rPr>
          <w:b/>
          <w:i/>
        </w:rPr>
        <w:t xml:space="preserve">Семинар за стандартизация в подкрепа на цифровизацията на европейската промишленост (DEI) и срещата на високо </w:t>
      </w:r>
      <w:r w:rsidR="00A55745">
        <w:rPr>
          <w:b/>
          <w:i/>
        </w:rPr>
        <w:t xml:space="preserve">управленско </w:t>
      </w:r>
      <w:r w:rsidRPr="00C83180">
        <w:rPr>
          <w:b/>
          <w:i/>
        </w:rPr>
        <w:t xml:space="preserve">равнище </w:t>
      </w:r>
    </w:p>
    <w:p w:rsidR="005B287D" w:rsidRPr="00C83180" w:rsidRDefault="00EC4333" w:rsidP="00C55AA5">
      <w:pPr>
        <w:spacing w:after="0"/>
        <w:ind w:firstLine="567"/>
        <w:rPr>
          <w:i/>
        </w:rPr>
      </w:pPr>
      <w:proofErr w:type="spellStart"/>
      <w:r w:rsidRPr="00C83180">
        <w:rPr>
          <w:i/>
        </w:rPr>
        <w:t>Antonio</w:t>
      </w:r>
      <w:proofErr w:type="spellEnd"/>
      <w:r w:rsidRPr="00C83180">
        <w:rPr>
          <w:i/>
        </w:rPr>
        <w:t xml:space="preserve"> </w:t>
      </w:r>
      <w:proofErr w:type="spellStart"/>
      <w:r w:rsidRPr="00C83180">
        <w:rPr>
          <w:i/>
        </w:rPr>
        <w:t>Conte</w:t>
      </w:r>
      <w:proofErr w:type="spellEnd"/>
      <w:r w:rsidRPr="00C83180">
        <w:rPr>
          <w:i/>
        </w:rPr>
        <w:t xml:space="preserve"> (ГД „Вътрешен пазар, </w:t>
      </w:r>
      <w:r w:rsidR="00A55745">
        <w:rPr>
          <w:i/>
        </w:rPr>
        <w:t>промишленост, предприемачество,</w:t>
      </w:r>
      <w:r w:rsidRPr="00C83180">
        <w:rPr>
          <w:i/>
        </w:rPr>
        <w:t xml:space="preserve"> F3) </w:t>
      </w:r>
      <w:r w:rsidRPr="00A55745">
        <w:t>представи документ ИКТ/</w:t>
      </w:r>
      <w:r w:rsidR="00A55745" w:rsidRPr="00A55745">
        <w:t xml:space="preserve"> MSP</w:t>
      </w:r>
      <w:r w:rsidR="00A55745">
        <w:t xml:space="preserve"> (2017)557) и информира</w:t>
      </w:r>
      <w:r w:rsidRPr="00A55745">
        <w:t xml:space="preserve"> за семинар за стандартизация в подкрепа на цифровизацията на европей</w:t>
      </w:r>
      <w:r w:rsidR="00A55745">
        <w:t>ската промишленост, организиран</w:t>
      </w:r>
      <w:r w:rsidRPr="00A55745">
        <w:t xml:space="preserve"> съвместно от ГД „Съобщителни мрежи, съдържание и технологии и „Вътрешен пазар</w:t>
      </w:r>
      <w:r w:rsidR="00A55745">
        <w:t>“</w:t>
      </w:r>
      <w:r w:rsidRPr="00A55745">
        <w:t xml:space="preserve"> на 17 октомври 2017 г. Основните заключения </w:t>
      </w:r>
      <w:r w:rsidR="00A55745">
        <w:t>са</w:t>
      </w:r>
      <w:r w:rsidRPr="00A55745">
        <w:t xml:space="preserve"> необходимостта от координация между отделните </w:t>
      </w:r>
      <w:r w:rsidRPr="00A55745">
        <w:lastRenderedPageBreak/>
        <w:t>дейности (да се даде възможност от ЕК) и значението на изпитвателни</w:t>
      </w:r>
      <w:r w:rsidR="00A55745">
        <w:t>те</w:t>
      </w:r>
      <w:r w:rsidRPr="00A55745">
        <w:t xml:space="preserve"> лаборатории или лаборатории</w:t>
      </w:r>
      <w:r w:rsidR="00A55745">
        <w:t>те</w:t>
      </w:r>
      <w:r w:rsidRPr="00A55745">
        <w:t>, които са ключов елемент за увеличаване на стандартизацията</w:t>
      </w:r>
      <w:r w:rsidR="00A55745">
        <w:t>,</w:t>
      </w:r>
      <w:r w:rsidRPr="00A55745">
        <w:t xml:space="preserve"> </w:t>
      </w:r>
      <w:r w:rsidR="00A55745">
        <w:t>защото</w:t>
      </w:r>
      <w:r w:rsidRPr="00A55745">
        <w:t xml:space="preserve"> те могат да се използват за изпитване и валидиране на нови стандарти по цялата верига за създаване на стойност, и </w:t>
      </w:r>
      <w:r w:rsidR="00A55745">
        <w:t xml:space="preserve">същевременно </w:t>
      </w:r>
      <w:r w:rsidRPr="00A55745">
        <w:t xml:space="preserve">да предоставят подкрепа за </w:t>
      </w:r>
      <w:r w:rsidR="00A55745" w:rsidRPr="00A55745">
        <w:t>MSP</w:t>
      </w:r>
      <w:r w:rsidRPr="00A55745">
        <w:t>.</w:t>
      </w:r>
      <w:hyperlink r:id="rId18">
        <w:r w:rsidRPr="00A55745">
          <w:rPr>
            <w:szCs w:val="24"/>
          </w:rPr>
          <w:t xml:space="preserve"> </w:t>
        </w:r>
      </w:hyperlink>
      <w:hyperlink r:id="rId19">
        <w:r w:rsidRPr="00A55745">
          <w:t xml:space="preserve">A. </w:t>
        </w:r>
        <w:proofErr w:type="spellStart"/>
        <w:r w:rsidRPr="00A55745">
          <w:t>Conte</w:t>
        </w:r>
        <w:proofErr w:type="spellEnd"/>
        <w:r w:rsidRPr="00A55745">
          <w:t xml:space="preserve"> обясни, че в допълнение към някои допълнителн</w:t>
        </w:r>
        <w:r w:rsidR="00A55745">
          <w:t>о</w:t>
        </w:r>
        <w:r w:rsidRPr="00A55745">
          <w:t xml:space="preserve"> </w:t>
        </w:r>
        <w:r w:rsidR="00A55745" w:rsidRPr="00A55745">
          <w:t xml:space="preserve">предложени </w:t>
        </w:r>
        <w:r w:rsidRPr="00A55745">
          <w:t>действия (вж. документ ИКТ/</w:t>
        </w:r>
        <w:r w:rsidR="00A55745" w:rsidRPr="00A55745">
          <w:t xml:space="preserve"> MSP</w:t>
        </w:r>
        <w:r w:rsidRPr="00A55745">
          <w:t xml:space="preserve"> (2017)557), семинарът предложи </w:t>
        </w:r>
        <w:r w:rsidR="00A55745">
          <w:t xml:space="preserve">и </w:t>
        </w:r>
        <w:r w:rsidRPr="00A55745">
          <w:t>създаването на европейска група въз основа на съществуваща инфраструктура, ко</w:t>
        </w:r>
        <w:r w:rsidR="00A55745">
          <w:t>я</w:t>
        </w:r>
        <w:r w:rsidRPr="00A55745">
          <w:t xml:space="preserve">то може да </w:t>
        </w:r>
        <w:r w:rsidR="00A55745">
          <w:t>бъде</w:t>
        </w:r>
        <w:r w:rsidRPr="00A55745">
          <w:t xml:space="preserve"> </w:t>
        </w:r>
        <w:r w:rsidR="00A55745" w:rsidRPr="00A55745">
          <w:t>MSP</w:t>
        </w:r>
        <w:r w:rsidRPr="00A55745">
          <w:t>, тъй като обединява съответните участници за стандартизация в областта на ИКТ.</w:t>
        </w:r>
      </w:hyperlink>
    </w:p>
    <w:p w:rsidR="005B287D" w:rsidRPr="00C83180" w:rsidRDefault="00EC4333" w:rsidP="00C55AA5">
      <w:pPr>
        <w:spacing w:after="0"/>
        <w:ind w:firstLine="567"/>
      </w:pPr>
      <w:proofErr w:type="spellStart"/>
      <w:r w:rsidRPr="00C83180">
        <w:rPr>
          <w:i/>
        </w:rPr>
        <w:t>Max</w:t>
      </w:r>
      <w:proofErr w:type="spellEnd"/>
      <w:r w:rsidRPr="00C83180">
        <w:rPr>
          <w:i/>
        </w:rPr>
        <w:t xml:space="preserve"> </w:t>
      </w:r>
      <w:proofErr w:type="spellStart"/>
      <w:r w:rsidRPr="00C83180">
        <w:rPr>
          <w:i/>
        </w:rPr>
        <w:t>Lemke</w:t>
      </w:r>
      <w:proofErr w:type="spellEnd"/>
      <w:r w:rsidRPr="00C83180">
        <w:rPr>
          <w:i/>
        </w:rPr>
        <w:t xml:space="preserve"> (ГД „CNECT</w:t>
      </w:r>
      <w:r w:rsidR="00A55745">
        <w:rPr>
          <w:i/>
        </w:rPr>
        <w:t xml:space="preserve">, A2) </w:t>
      </w:r>
      <w:r w:rsidR="00A55745" w:rsidRPr="00A55745">
        <w:t>информира</w:t>
      </w:r>
      <w:r w:rsidRPr="00A55745">
        <w:t xml:space="preserve"> накратко за </w:t>
      </w:r>
      <w:r w:rsidR="00A55745" w:rsidRPr="00A55745">
        <w:t>среща</w:t>
      </w:r>
      <w:r w:rsidR="00A55745">
        <w:t>та</w:t>
      </w:r>
      <w:r w:rsidR="00A55745" w:rsidRPr="00A55745">
        <w:t xml:space="preserve"> </w:t>
      </w:r>
      <w:r w:rsidRPr="00A55745">
        <w:t xml:space="preserve">на високо </w:t>
      </w:r>
      <w:r w:rsidR="00A55745">
        <w:t xml:space="preserve">управленско </w:t>
      </w:r>
      <w:r w:rsidRPr="00A55745">
        <w:t>равнище на Европейската платформа на националните инициативи за цифровизиране на индустрията, организирана на 21 ноември в рамките на стратегията за цифровизиране на европейската промишленост (DEI).</w:t>
      </w:r>
      <w:r w:rsidRPr="00C83180">
        <w:t xml:space="preserve"> Той припомни, че DEI е един от основните стълбове на единния цифров пазар и включва една глава за стандартизацията, която е основно за промишлени</w:t>
      </w:r>
      <w:r w:rsidR="004B6361">
        <w:t>я</w:t>
      </w:r>
      <w:r w:rsidRPr="00C83180">
        <w:t xml:space="preserve"> бизнес. Подкрепен</w:t>
      </w:r>
      <w:r w:rsidR="004B6361">
        <w:t>и</w:t>
      </w:r>
      <w:r w:rsidRPr="00C83180">
        <w:t xml:space="preserve"> от 15 различни национални инициативи, действия</w:t>
      </w:r>
      <w:r w:rsidR="004B6361">
        <w:t>та</w:t>
      </w:r>
      <w:r w:rsidRPr="00C83180">
        <w:t xml:space="preserve"> на Е</w:t>
      </w:r>
      <w:r w:rsidR="004B6361">
        <w:t>К</w:t>
      </w:r>
      <w:r w:rsidRPr="00C83180">
        <w:t xml:space="preserve"> помага</w:t>
      </w:r>
      <w:r w:rsidR="004B6361">
        <w:t>т</w:t>
      </w:r>
      <w:r w:rsidRPr="00C83180">
        <w:t xml:space="preserve"> да се координират по-конкретно до (1) синхронизация на равнището на ЕС и (2) инвестиране </w:t>
      </w:r>
      <w:r w:rsidR="004B6361">
        <w:t>на</w:t>
      </w:r>
      <w:r w:rsidRPr="00C83180">
        <w:t xml:space="preserve"> 1</w:t>
      </w:r>
      <w:r w:rsidR="004B6361">
        <w:t xml:space="preserve"> </w:t>
      </w:r>
      <w:r w:rsidRPr="00C83180">
        <w:t>b</w:t>
      </w:r>
      <w:r w:rsidR="004B6361">
        <w:t xml:space="preserve"> </w:t>
      </w:r>
      <w:r w:rsidRPr="00C83180">
        <w:t xml:space="preserve">EUR </w:t>
      </w:r>
      <w:r w:rsidR="004B6361">
        <w:t xml:space="preserve">в </w:t>
      </w:r>
      <w:r w:rsidRPr="00C83180">
        <w:t xml:space="preserve">промишлени платформи и пилотни проекти. И двете действия могат да бъдат в подкрепа на стандартизацията. Участниците в </w:t>
      </w:r>
      <w:r w:rsidR="004B6361">
        <w:t xml:space="preserve">срещата на високо управленско </w:t>
      </w:r>
      <w:r w:rsidRPr="00C83180">
        <w:t>равнище с генералните директори от държавите членки и на председателите на националните инициативи, изисква действия за синхронизиране на стандартизацията на равнище ЕС, включително по отношение на свързаността и семантика</w:t>
      </w:r>
      <w:r w:rsidR="004B6361">
        <w:t>та</w:t>
      </w:r>
      <w:r w:rsidRPr="00C83180">
        <w:t>. Те предложи</w:t>
      </w:r>
      <w:r w:rsidR="004B6361">
        <w:t>ха и</w:t>
      </w:r>
      <w:r w:rsidRPr="00C83180">
        <w:t xml:space="preserve"> създаването на работна група, която да ръководи тези действия. Вместо създаването на нова работна група, M. </w:t>
      </w:r>
      <w:proofErr w:type="spellStart"/>
      <w:r w:rsidRPr="00C83180">
        <w:t>Lemke</w:t>
      </w:r>
      <w:proofErr w:type="spellEnd"/>
      <w:r w:rsidRPr="00C83180">
        <w:t xml:space="preserve"> предложи </w:t>
      </w:r>
      <w:r w:rsidR="004B6361">
        <w:t>П</w:t>
      </w:r>
      <w:r w:rsidRPr="00C83180">
        <w:t xml:space="preserve">латформата да разгледа възможността за създаването на специална работна група, която може да докладва </w:t>
      </w:r>
      <w:r w:rsidR="004B6361">
        <w:t xml:space="preserve">както </w:t>
      </w:r>
      <w:r w:rsidRPr="00C83180">
        <w:t xml:space="preserve">на DEI, така и </w:t>
      </w:r>
      <w:r w:rsidR="004B6361">
        <w:t xml:space="preserve">на </w:t>
      </w:r>
      <w:r w:rsidR="004B6361" w:rsidRPr="004B6361">
        <w:t>MSP</w:t>
      </w:r>
      <w:r w:rsidRPr="00C83180">
        <w:t xml:space="preserve">. </w:t>
      </w:r>
      <w:r w:rsidR="004B6361">
        <w:t>О</w:t>
      </w:r>
      <w:r w:rsidR="004B6361" w:rsidRPr="00C83180">
        <w:t xml:space="preserve">т гледна точка на </w:t>
      </w:r>
      <w:r w:rsidR="004B6361">
        <w:t xml:space="preserve">перспективата на </w:t>
      </w:r>
      <w:r w:rsidRPr="00C83180">
        <w:t>DEI</w:t>
      </w:r>
      <w:r w:rsidR="004B6361">
        <w:t>,</w:t>
      </w:r>
      <w:r w:rsidRPr="00C83180">
        <w:t xml:space="preserve"> първоначалния обхват може да се съсредоточи върху производството като цяло (непрекъснато и дискретн</w:t>
      </w:r>
      <w:r w:rsidR="004B6361">
        <w:t>о</w:t>
      </w:r>
      <w:r w:rsidRPr="00C83180">
        <w:t xml:space="preserve"> производство) и селскостопанския сектор. Някои от експертите </w:t>
      </w:r>
      <w:r w:rsidR="004B6361">
        <w:t>в</w:t>
      </w:r>
      <w:r w:rsidRPr="00C83180">
        <w:t xml:space="preserve"> тези области могат да дойдат от германск</w:t>
      </w:r>
      <w:r w:rsidR="004B6361">
        <w:t>ия</w:t>
      </w:r>
      <w:r w:rsidRPr="00C83180">
        <w:t xml:space="preserve"> </w:t>
      </w:r>
      <w:r w:rsidR="004B6361">
        <w:t>Съвет</w:t>
      </w:r>
      <w:r w:rsidR="004B6361" w:rsidRPr="00C83180">
        <w:t xml:space="preserve"> по стандартизация</w:t>
      </w:r>
      <w:r w:rsidR="004B6361">
        <w:t>,</w:t>
      </w:r>
      <w:r w:rsidR="004B6361" w:rsidRPr="00C83180">
        <w:t xml:space="preserve"> </w:t>
      </w:r>
      <w:r w:rsidR="004B6361">
        <w:t>„</w:t>
      </w:r>
      <w:proofErr w:type="spellStart"/>
      <w:r w:rsidR="004B6361">
        <w:t>Industrie</w:t>
      </w:r>
      <w:proofErr w:type="spellEnd"/>
      <w:r w:rsidR="004B6361">
        <w:t xml:space="preserve"> 4.0“</w:t>
      </w:r>
      <w:r w:rsidRPr="00C83180">
        <w:t xml:space="preserve"> или тристранното сътрудничество FR-IT-DE. И днес вече съществуват редица стандарти в тази област, следователно е необходимо синхронизиране. </w:t>
      </w:r>
      <w:r w:rsidR="004B6361">
        <w:t>М</w:t>
      </w:r>
      <w:r w:rsidR="004B6361" w:rsidRPr="00C83180">
        <w:t>оже да е необходим</w:t>
      </w:r>
      <w:r w:rsidR="004B6361">
        <w:t>а</w:t>
      </w:r>
      <w:r w:rsidR="004B6361" w:rsidRPr="00C83180">
        <w:t xml:space="preserve"> </w:t>
      </w:r>
      <w:r w:rsidR="004B6361">
        <w:t>допълнителна работа</w:t>
      </w:r>
      <w:r w:rsidRPr="00C83180">
        <w:t xml:space="preserve"> по случаи</w:t>
      </w:r>
      <w:r w:rsidR="004B6361">
        <w:t>те</w:t>
      </w:r>
      <w:r w:rsidRPr="00C83180">
        <w:t xml:space="preserve"> на уп</w:t>
      </w:r>
      <w:r w:rsidR="004B6361">
        <w:t>отреба и анализа на пропуските</w:t>
      </w:r>
      <w:r w:rsidRPr="00C83180">
        <w:t xml:space="preserve">. </w:t>
      </w:r>
      <w:r w:rsidR="004B6361">
        <w:t>В</w:t>
      </w:r>
      <w:r w:rsidRPr="00C83180">
        <w:t>ъпрос може да бъде как да се насърч</w:t>
      </w:r>
      <w:r w:rsidR="004B6361">
        <w:t>ат</w:t>
      </w:r>
      <w:r w:rsidRPr="00C83180">
        <w:t xml:space="preserve"> дружествата, по-специално МСП, да използват тези стандарти. </w:t>
      </w:r>
      <w:r w:rsidR="004B6361">
        <w:t>В</w:t>
      </w:r>
      <w:r w:rsidR="004B6361" w:rsidRPr="00C83180">
        <w:t xml:space="preserve">ече </w:t>
      </w:r>
      <w:r w:rsidR="004B6361">
        <w:t xml:space="preserve">се </w:t>
      </w:r>
      <w:r w:rsidR="004B6361" w:rsidRPr="00C83180">
        <w:t>работ</w:t>
      </w:r>
      <w:r w:rsidR="004B6361">
        <w:t>и за</w:t>
      </w:r>
      <w:r w:rsidR="004B6361" w:rsidRPr="00C83180">
        <w:t xml:space="preserve"> </w:t>
      </w:r>
      <w:r w:rsidR="004B6361">
        <w:t>връзка с AIOTI</w:t>
      </w:r>
      <w:r w:rsidRPr="00C83180">
        <w:t xml:space="preserve"> в тази област, </w:t>
      </w:r>
      <w:r w:rsidR="004B6361">
        <w:t xml:space="preserve">която </w:t>
      </w:r>
      <w:r w:rsidRPr="00C83180">
        <w:t>следва да бъд</w:t>
      </w:r>
      <w:r w:rsidR="004B6361">
        <w:t>е</w:t>
      </w:r>
      <w:r w:rsidRPr="00C83180">
        <w:t xml:space="preserve"> гарантиран</w:t>
      </w:r>
      <w:r w:rsidR="004B6361">
        <w:t>а</w:t>
      </w:r>
      <w:r w:rsidRPr="00C83180">
        <w:t>.</w:t>
      </w:r>
    </w:p>
    <w:p w:rsidR="005B287D" w:rsidRPr="00C83180" w:rsidRDefault="00EC4333" w:rsidP="00C55AA5">
      <w:pPr>
        <w:spacing w:after="0"/>
        <w:ind w:firstLine="567"/>
      </w:pPr>
      <w:r w:rsidRPr="00C83180">
        <w:t xml:space="preserve">Поради това председателят покани </w:t>
      </w:r>
      <w:r w:rsidR="004B6361" w:rsidRPr="004B6361">
        <w:t>MSP</w:t>
      </w:r>
      <w:r w:rsidRPr="00C83180">
        <w:t xml:space="preserve"> да създаде </w:t>
      </w:r>
      <w:r w:rsidR="004B6361">
        <w:t xml:space="preserve">целева </w:t>
      </w:r>
      <w:r w:rsidRPr="00C83180">
        <w:t xml:space="preserve">работна група/работната група </w:t>
      </w:r>
      <w:r w:rsidR="004B6361">
        <w:t>(</w:t>
      </w:r>
      <w:proofErr w:type="spellStart"/>
      <w:r w:rsidR="004B6361" w:rsidRPr="004B6361">
        <w:t>Task</w:t>
      </w:r>
      <w:proofErr w:type="spellEnd"/>
      <w:r w:rsidR="004B6361" w:rsidRPr="004B6361">
        <w:t xml:space="preserve"> </w:t>
      </w:r>
      <w:proofErr w:type="spellStart"/>
      <w:r w:rsidR="004B6361" w:rsidRPr="004B6361">
        <w:t>Force</w:t>
      </w:r>
      <w:proofErr w:type="spellEnd"/>
      <w:r w:rsidR="004B6361" w:rsidRPr="004B6361">
        <w:t>/</w:t>
      </w:r>
      <w:proofErr w:type="spellStart"/>
      <w:r w:rsidR="004B6361" w:rsidRPr="004B6361">
        <w:t>Working</w:t>
      </w:r>
      <w:proofErr w:type="spellEnd"/>
      <w:r w:rsidR="004B6361" w:rsidRPr="004B6361">
        <w:t xml:space="preserve"> Group </w:t>
      </w:r>
      <w:r w:rsidR="004B6361">
        <w:t>(</w:t>
      </w:r>
      <w:r w:rsidR="004B6361" w:rsidRPr="00C83180">
        <w:t>TF/</w:t>
      </w:r>
      <w:r w:rsidR="004B6361" w:rsidRPr="004B6361">
        <w:t>WG</w:t>
      </w:r>
      <w:r w:rsidR="004B6361">
        <w:t>))</w:t>
      </w:r>
      <w:r w:rsidR="004B6361" w:rsidRPr="00C83180">
        <w:t xml:space="preserve"> </w:t>
      </w:r>
      <w:r w:rsidRPr="00C83180">
        <w:t xml:space="preserve">да разгледа нерешените въпроси в областта на стандартизация в подкрепа на цифровизацията на европейската промишленост. Председателят обясни, че продължителността на </w:t>
      </w:r>
      <w:r w:rsidR="004B6361" w:rsidRPr="00C83180">
        <w:t>TF/</w:t>
      </w:r>
      <w:r w:rsidR="004B6361" w:rsidRPr="004B6361">
        <w:t>WG</w:t>
      </w:r>
      <w:r w:rsidR="004B6361">
        <w:t xml:space="preserve"> </w:t>
      </w:r>
      <w:r w:rsidRPr="00C83180">
        <w:t>ще бъде около една година, а броят на участниците е ограничен, за да бъде изпълним</w:t>
      </w:r>
      <w:r w:rsidR="004B6361">
        <w:t>а целта</w:t>
      </w:r>
      <w:r w:rsidRPr="00C83180">
        <w:t xml:space="preserve">. Тя добави, че поради спецификата на съдържанието, </w:t>
      </w:r>
      <w:r w:rsidR="004B6361" w:rsidRPr="00C83180">
        <w:t>TF/</w:t>
      </w:r>
      <w:r w:rsidR="004B6361" w:rsidRPr="004B6361">
        <w:t>WG</w:t>
      </w:r>
      <w:r w:rsidR="004B6361">
        <w:t xml:space="preserve"> </w:t>
      </w:r>
      <w:r w:rsidRPr="00C83180">
        <w:t xml:space="preserve">биха могли да бъдат съставени от специалисти, различни от онези, които участват понастоящем в срещи, посочени от членовете на </w:t>
      </w:r>
      <w:r w:rsidR="004B6361">
        <w:t>П</w:t>
      </w:r>
      <w:r w:rsidRPr="00C83180">
        <w:t>латформата.</w:t>
      </w:r>
    </w:p>
    <w:p w:rsidR="005B287D" w:rsidRDefault="00EC4333" w:rsidP="00C55AA5">
      <w:pPr>
        <w:spacing w:after="0"/>
        <w:ind w:firstLine="480"/>
      </w:pPr>
      <w:r w:rsidRPr="00C83180">
        <w:t xml:space="preserve">След обсъждане </w:t>
      </w:r>
      <w:r w:rsidR="004B6361">
        <w:t xml:space="preserve">членовете </w:t>
      </w:r>
      <w:r w:rsidRPr="00C83180">
        <w:t xml:space="preserve">на </w:t>
      </w:r>
      <w:r w:rsidR="004B6361" w:rsidRPr="004B6361">
        <w:t>MSP</w:t>
      </w:r>
      <w:r w:rsidRPr="00C83180">
        <w:t xml:space="preserve"> се споразумяха да създадат </w:t>
      </w:r>
      <w:r w:rsidR="00095688" w:rsidRPr="00C83180">
        <w:t>TF/</w:t>
      </w:r>
      <w:r w:rsidR="00095688" w:rsidRPr="004B6361">
        <w:t>WG</w:t>
      </w:r>
      <w:r w:rsidR="00095688">
        <w:t xml:space="preserve"> </w:t>
      </w:r>
      <w:r w:rsidRPr="00C83180">
        <w:t>относно DEI. Секретариат</w:t>
      </w:r>
      <w:r w:rsidR="00095688">
        <w:t>ът</w:t>
      </w:r>
      <w:r w:rsidRPr="00C83180">
        <w:t xml:space="preserve"> на </w:t>
      </w:r>
      <w:r w:rsidR="00095688">
        <w:t>П</w:t>
      </w:r>
      <w:r w:rsidRPr="00C83180">
        <w:t>латформата ще предложи списък с точки за техническо задание (ТЗ), ко</w:t>
      </w:r>
      <w:r w:rsidR="00095688">
        <w:t>е</w:t>
      </w:r>
      <w:r w:rsidRPr="00C83180">
        <w:t>то ще бъде разпределен</w:t>
      </w:r>
      <w:r w:rsidR="00095688">
        <w:t>о</w:t>
      </w:r>
      <w:r w:rsidRPr="00C83180">
        <w:t xml:space="preserve"> на </w:t>
      </w:r>
      <w:r w:rsidR="00095688" w:rsidRPr="00095688">
        <w:t xml:space="preserve">MSP </w:t>
      </w:r>
      <w:r w:rsidRPr="00C83180">
        <w:t xml:space="preserve">преди края на годината. </w:t>
      </w:r>
      <w:r w:rsidR="00095688" w:rsidRPr="00095688">
        <w:t>MSP</w:t>
      </w:r>
      <w:r w:rsidRPr="00C83180">
        <w:t xml:space="preserve"> членовете бяха приканени да изпратят коментарите си по ТЗ и </w:t>
      </w:r>
      <w:r w:rsidR="00095688">
        <w:t xml:space="preserve">да </w:t>
      </w:r>
      <w:r w:rsidRPr="00C83180">
        <w:t>израз</w:t>
      </w:r>
      <w:r w:rsidR="00095688">
        <w:t>ят</w:t>
      </w:r>
      <w:r w:rsidRPr="00C83180">
        <w:t xml:space="preserve"> своя интерес да бъдат членове на </w:t>
      </w:r>
      <w:r w:rsidR="00095688" w:rsidRPr="00C83180">
        <w:t>TF/</w:t>
      </w:r>
      <w:r w:rsidR="00095688" w:rsidRPr="004B6361">
        <w:t>WG</w:t>
      </w:r>
      <w:r w:rsidR="00095688">
        <w:t xml:space="preserve"> до</w:t>
      </w:r>
      <w:r w:rsidRPr="00C83180">
        <w:t xml:space="preserve"> 15/1/2017. Някои членове вече са изразили интерес към участие в тази група/работна група, по-специално „Цифрова Европа“, W3C, UN/CEFACT, OFE SBS, IEEE и ETSI.</w:t>
      </w:r>
    </w:p>
    <w:p w:rsidR="004B6361" w:rsidRPr="00C83180" w:rsidRDefault="004B6361" w:rsidP="00C83180">
      <w:pPr>
        <w:spacing w:after="0"/>
      </w:pPr>
    </w:p>
    <w:p w:rsidR="005B287D" w:rsidRPr="00C83180" w:rsidRDefault="00EC4333" w:rsidP="00C83180">
      <w:pPr>
        <w:pStyle w:val="Heading1"/>
        <w:numPr>
          <w:ilvl w:val="0"/>
          <w:numId w:val="0"/>
        </w:numPr>
        <w:pBdr>
          <w:bottom w:val="single" w:sz="4" w:space="1" w:color="00000A"/>
        </w:pBdr>
        <w:spacing w:before="0" w:after="0"/>
        <w:ind w:left="480" w:hanging="480"/>
      </w:pPr>
      <w:r w:rsidRPr="00C83180">
        <w:t>Идентифициране на ИКТ спецификации</w:t>
      </w:r>
    </w:p>
    <w:p w:rsidR="005B287D" w:rsidRPr="00C83180" w:rsidRDefault="00EC4333" w:rsidP="00C83180">
      <w:pPr>
        <w:pStyle w:val="Heading2"/>
        <w:spacing w:before="0" w:after="0"/>
        <w:rPr>
          <w:sz w:val="26"/>
          <w:szCs w:val="26"/>
          <w:u w:val="single"/>
        </w:rPr>
      </w:pPr>
      <w:r w:rsidRPr="00C83180">
        <w:rPr>
          <w:sz w:val="26"/>
          <w:szCs w:val="26"/>
          <w:u w:val="single"/>
        </w:rPr>
        <w:t xml:space="preserve">Доклади от работни групи </w:t>
      </w:r>
      <w:r w:rsidR="00095688">
        <w:rPr>
          <w:sz w:val="26"/>
          <w:szCs w:val="26"/>
          <w:u w:val="single"/>
        </w:rPr>
        <w:t>з</w:t>
      </w:r>
      <w:r w:rsidR="00095688" w:rsidRPr="00C83180">
        <w:rPr>
          <w:sz w:val="26"/>
          <w:szCs w:val="26"/>
          <w:u w:val="single"/>
        </w:rPr>
        <w:t xml:space="preserve">а оценка </w:t>
      </w:r>
      <w:r w:rsidRPr="00C83180">
        <w:rPr>
          <w:sz w:val="26"/>
          <w:szCs w:val="26"/>
          <w:u w:val="single"/>
        </w:rPr>
        <w:t>(РГ</w:t>
      </w:r>
      <w:r w:rsidR="00095688">
        <w:rPr>
          <w:sz w:val="26"/>
          <w:szCs w:val="26"/>
          <w:u w:val="single"/>
        </w:rPr>
        <w:t>О</w:t>
      </w:r>
      <w:r w:rsidRPr="00C83180">
        <w:rPr>
          <w:sz w:val="26"/>
          <w:szCs w:val="26"/>
          <w:u w:val="single"/>
        </w:rPr>
        <w:t>)</w:t>
      </w:r>
    </w:p>
    <w:p w:rsidR="005B287D" w:rsidRPr="00C83180" w:rsidRDefault="00095688" w:rsidP="00C83180">
      <w:pPr>
        <w:pStyle w:val="ListParagraph"/>
        <w:numPr>
          <w:ilvl w:val="0"/>
          <w:numId w:val="2"/>
        </w:numPr>
        <w:ind w:left="567"/>
        <w:rPr>
          <w:b/>
          <w:i/>
          <w:szCs w:val="20"/>
          <w:lang w:eastAsia="en-US"/>
        </w:rPr>
      </w:pPr>
      <w:r w:rsidRPr="005E4CED">
        <w:rPr>
          <w:b/>
          <w:i/>
          <w:szCs w:val="20"/>
          <w:lang w:eastAsia="en-US"/>
        </w:rPr>
        <w:t>RDA</w:t>
      </w:r>
      <w:r w:rsidR="00EC4333" w:rsidRPr="00C83180">
        <w:rPr>
          <w:b/>
          <w:i/>
          <w:szCs w:val="20"/>
          <w:lang w:eastAsia="en-US"/>
        </w:rPr>
        <w:t xml:space="preserve"> технически спецификации (</w:t>
      </w:r>
      <w:r>
        <w:rPr>
          <w:b/>
          <w:i/>
          <w:szCs w:val="20"/>
          <w:lang w:eastAsia="en-US"/>
        </w:rPr>
        <w:t xml:space="preserve">за </w:t>
      </w:r>
      <w:r w:rsidR="00EC4333" w:rsidRPr="00C83180">
        <w:rPr>
          <w:b/>
          <w:i/>
          <w:szCs w:val="20"/>
          <w:lang w:eastAsia="en-US"/>
        </w:rPr>
        <w:t>консултации)</w:t>
      </w:r>
    </w:p>
    <w:p w:rsidR="005B287D" w:rsidRPr="00C83180" w:rsidRDefault="00EC4333" w:rsidP="00C55AA5">
      <w:pPr>
        <w:pStyle w:val="Heading3"/>
        <w:numPr>
          <w:ilvl w:val="0"/>
          <w:numId w:val="0"/>
        </w:numPr>
        <w:spacing w:before="0" w:after="0"/>
        <w:ind w:firstLine="567"/>
      </w:pPr>
      <w:proofErr w:type="spellStart"/>
      <w:r w:rsidRPr="00C83180">
        <w:rPr>
          <w:b w:val="0"/>
        </w:rPr>
        <w:t>Hans</w:t>
      </w:r>
      <w:proofErr w:type="spellEnd"/>
      <w:r w:rsidRPr="00C83180">
        <w:rPr>
          <w:b w:val="0"/>
        </w:rPr>
        <w:t xml:space="preserve"> </w:t>
      </w:r>
      <w:proofErr w:type="spellStart"/>
      <w:r w:rsidRPr="00C83180">
        <w:rPr>
          <w:b w:val="0"/>
        </w:rPr>
        <w:t>Jan</w:t>
      </w:r>
      <w:proofErr w:type="spellEnd"/>
      <w:r w:rsidRPr="00C83180">
        <w:rPr>
          <w:b w:val="0"/>
        </w:rPr>
        <w:t xml:space="preserve"> Van </w:t>
      </w:r>
      <w:proofErr w:type="spellStart"/>
      <w:r w:rsidRPr="00C83180">
        <w:rPr>
          <w:b w:val="0"/>
        </w:rPr>
        <w:t>Burg</w:t>
      </w:r>
      <w:proofErr w:type="spellEnd"/>
      <w:r w:rsidRPr="00C83180">
        <w:rPr>
          <w:b w:val="0"/>
        </w:rPr>
        <w:t xml:space="preserve"> (председател на РГ RDA2) </w:t>
      </w:r>
      <w:r w:rsidRPr="00095688">
        <w:rPr>
          <w:b w:val="0"/>
          <w:i w:val="0"/>
        </w:rPr>
        <w:t>представи преработен доклад за оценката, документ ИКТ/</w:t>
      </w:r>
      <w:r w:rsidR="00095688" w:rsidRPr="00095688">
        <w:t xml:space="preserve"> </w:t>
      </w:r>
      <w:r w:rsidR="00095688" w:rsidRPr="00095688">
        <w:rPr>
          <w:b w:val="0"/>
          <w:i w:val="0"/>
        </w:rPr>
        <w:t>MSP</w:t>
      </w:r>
      <w:r w:rsidRPr="00095688">
        <w:rPr>
          <w:b w:val="0"/>
          <w:i w:val="0"/>
        </w:rPr>
        <w:t xml:space="preserve"> (2017) 529 rev1. </w:t>
      </w:r>
      <w:r w:rsidR="00095688">
        <w:rPr>
          <w:b w:val="0"/>
          <w:i w:val="0"/>
        </w:rPr>
        <w:t>Р</w:t>
      </w:r>
      <w:r w:rsidRPr="00095688">
        <w:rPr>
          <w:b w:val="0"/>
          <w:i w:val="0"/>
        </w:rPr>
        <w:t xml:space="preserve">аботната група </w:t>
      </w:r>
      <w:r w:rsidR="00095688">
        <w:rPr>
          <w:b w:val="0"/>
          <w:i w:val="0"/>
        </w:rPr>
        <w:t xml:space="preserve">е </w:t>
      </w:r>
      <w:r w:rsidRPr="00095688">
        <w:rPr>
          <w:b w:val="0"/>
          <w:i w:val="0"/>
        </w:rPr>
        <w:t>разгледа</w:t>
      </w:r>
      <w:r w:rsidR="00095688">
        <w:rPr>
          <w:b w:val="0"/>
          <w:i w:val="0"/>
        </w:rPr>
        <w:t>ла</w:t>
      </w:r>
      <w:r w:rsidRPr="00095688">
        <w:rPr>
          <w:b w:val="0"/>
          <w:i w:val="0"/>
        </w:rPr>
        <w:t xml:space="preserve"> опасенията, изразени в предишното заседание на </w:t>
      </w:r>
      <w:r w:rsidR="00095688" w:rsidRPr="00095688">
        <w:rPr>
          <w:b w:val="0"/>
          <w:i w:val="0"/>
        </w:rPr>
        <w:t>MSP</w:t>
      </w:r>
      <w:r w:rsidRPr="00095688">
        <w:rPr>
          <w:b w:val="0"/>
          <w:i w:val="0"/>
        </w:rPr>
        <w:t xml:space="preserve"> и </w:t>
      </w:r>
      <w:r w:rsidR="00095688">
        <w:rPr>
          <w:b w:val="0"/>
          <w:i w:val="0"/>
        </w:rPr>
        <w:t xml:space="preserve">е </w:t>
      </w:r>
      <w:r w:rsidRPr="00095688">
        <w:rPr>
          <w:b w:val="0"/>
          <w:i w:val="0"/>
        </w:rPr>
        <w:t>заключи</w:t>
      </w:r>
      <w:r w:rsidR="00095688">
        <w:rPr>
          <w:b w:val="0"/>
          <w:i w:val="0"/>
        </w:rPr>
        <w:t>ла</w:t>
      </w:r>
      <w:r w:rsidRPr="00095688">
        <w:rPr>
          <w:b w:val="0"/>
          <w:i w:val="0"/>
        </w:rPr>
        <w:t xml:space="preserve">, че техническите спецификации </w:t>
      </w:r>
      <w:r w:rsidR="005E4CED" w:rsidRPr="005E4CED">
        <w:rPr>
          <w:b w:val="0"/>
          <w:i w:val="0"/>
        </w:rPr>
        <w:t xml:space="preserve">RDA </w:t>
      </w:r>
      <w:r w:rsidRPr="00095688">
        <w:rPr>
          <w:b w:val="0"/>
          <w:i w:val="0"/>
        </w:rPr>
        <w:t>ТС5</w:t>
      </w:r>
      <w:r w:rsidR="005E4CED">
        <w:rPr>
          <w:b w:val="0"/>
          <w:i w:val="0"/>
        </w:rPr>
        <w:t>,</w:t>
      </w:r>
      <w:r w:rsidRPr="00095688">
        <w:rPr>
          <w:b w:val="0"/>
          <w:i w:val="0"/>
        </w:rPr>
        <w:t xml:space="preserve"> ТС7 и ТС8 представляват технически спецификации съгласно определението в Регламент 1025/2012, и поради това предлага </w:t>
      </w:r>
      <w:r w:rsidR="005E4CED" w:rsidRPr="005E4CED">
        <w:rPr>
          <w:b w:val="0"/>
          <w:i w:val="0"/>
        </w:rPr>
        <w:t>MSP</w:t>
      </w:r>
      <w:r w:rsidRPr="00095688">
        <w:rPr>
          <w:b w:val="0"/>
          <w:i w:val="0"/>
        </w:rPr>
        <w:t xml:space="preserve"> да издаде положително становище </w:t>
      </w:r>
      <w:r w:rsidRPr="00095688">
        <w:rPr>
          <w:b w:val="0"/>
          <w:i w:val="0"/>
        </w:rPr>
        <w:lastRenderedPageBreak/>
        <w:t>относно идентифицирането им.</w:t>
      </w:r>
      <w:hyperlink r:id="rId20">
        <w:r w:rsidRPr="00095688">
          <w:rPr>
            <w:b w:val="0"/>
            <w:i w:val="0"/>
          </w:rPr>
          <w:t xml:space="preserve"> Той обясни, че докладът за оценка </w:t>
        </w:r>
        <w:r w:rsidR="005E4CED">
          <w:rPr>
            <w:b w:val="0"/>
            <w:i w:val="0"/>
          </w:rPr>
          <w:t>е изменен</w:t>
        </w:r>
        <w:r w:rsidRPr="00095688">
          <w:rPr>
            <w:b w:val="0"/>
            <w:i w:val="0"/>
          </w:rPr>
          <w:t xml:space="preserve">, за да включи повече факти от </w:t>
        </w:r>
        <w:r w:rsidR="005E4CED" w:rsidRPr="005E4CED">
          <w:rPr>
            <w:b w:val="0"/>
            <w:i w:val="0"/>
          </w:rPr>
          <w:t>RDA</w:t>
        </w:r>
        <w:r w:rsidR="005E4CED" w:rsidRPr="00095688">
          <w:rPr>
            <w:b w:val="0"/>
            <w:i w:val="0"/>
          </w:rPr>
          <w:t xml:space="preserve"> </w:t>
        </w:r>
        <w:r w:rsidR="005E4CED">
          <w:rPr>
            <w:b w:val="0"/>
            <w:i w:val="0"/>
          </w:rPr>
          <w:t xml:space="preserve">и </w:t>
        </w:r>
        <w:r w:rsidRPr="00095688">
          <w:rPr>
            <w:b w:val="0"/>
            <w:i w:val="0"/>
          </w:rPr>
          <w:t>да да</w:t>
        </w:r>
        <w:r w:rsidR="005E4CED">
          <w:rPr>
            <w:b w:val="0"/>
            <w:i w:val="0"/>
          </w:rPr>
          <w:t>д</w:t>
        </w:r>
        <w:r w:rsidRPr="00095688">
          <w:rPr>
            <w:b w:val="0"/>
            <w:i w:val="0"/>
          </w:rPr>
          <w:t xml:space="preserve">е отговор на опасенията. Работната група </w:t>
        </w:r>
        <w:r w:rsidR="005E4CED">
          <w:rPr>
            <w:b w:val="0"/>
            <w:i w:val="0"/>
          </w:rPr>
          <w:t xml:space="preserve">е </w:t>
        </w:r>
        <w:r w:rsidRPr="00095688">
          <w:rPr>
            <w:b w:val="0"/>
            <w:i w:val="0"/>
          </w:rPr>
          <w:t>разгледа</w:t>
        </w:r>
        <w:r w:rsidR="005E4CED">
          <w:rPr>
            <w:b w:val="0"/>
            <w:i w:val="0"/>
          </w:rPr>
          <w:t>ла</w:t>
        </w:r>
        <w:r w:rsidRPr="00095688">
          <w:rPr>
            <w:b w:val="0"/>
            <w:i w:val="0"/>
          </w:rPr>
          <w:t xml:space="preserve"> и опасенията за възможно припокриване с работата на ETSI, и </w:t>
        </w:r>
        <w:r w:rsidR="005E4CED">
          <w:rPr>
            <w:b w:val="0"/>
            <w:i w:val="0"/>
          </w:rPr>
          <w:t xml:space="preserve">е </w:t>
        </w:r>
        <w:r w:rsidRPr="00095688">
          <w:rPr>
            <w:b w:val="0"/>
            <w:i w:val="0"/>
          </w:rPr>
          <w:t>стиг</w:t>
        </w:r>
        <w:r w:rsidR="005E4CED">
          <w:rPr>
            <w:b w:val="0"/>
            <w:i w:val="0"/>
          </w:rPr>
          <w:t>нала</w:t>
        </w:r>
        <w:r w:rsidRPr="00095688">
          <w:rPr>
            <w:b w:val="0"/>
            <w:i w:val="0"/>
          </w:rPr>
          <w:t xml:space="preserve"> до заключението, че няма </w:t>
        </w:r>
        <w:r w:rsidR="005E4CED">
          <w:rPr>
            <w:b w:val="0"/>
            <w:i w:val="0"/>
          </w:rPr>
          <w:t xml:space="preserve">такива </w:t>
        </w:r>
        <w:r w:rsidRPr="00095688">
          <w:rPr>
            <w:b w:val="0"/>
            <w:i w:val="0"/>
          </w:rPr>
          <w:t xml:space="preserve">данни, </w:t>
        </w:r>
        <w:r w:rsidR="005E4CED">
          <w:rPr>
            <w:b w:val="0"/>
            <w:i w:val="0"/>
          </w:rPr>
          <w:t>като</w:t>
        </w:r>
        <w:r w:rsidRPr="00095688">
          <w:rPr>
            <w:b w:val="0"/>
            <w:i w:val="0"/>
          </w:rPr>
          <w:t xml:space="preserve"> препоръча да се направи връзка между </w:t>
        </w:r>
        <w:r w:rsidR="005E4CED" w:rsidRPr="005E4CED">
          <w:rPr>
            <w:b w:val="0"/>
            <w:i w:val="0"/>
          </w:rPr>
          <w:t>RDA</w:t>
        </w:r>
        <w:r w:rsidR="005E4CED" w:rsidRPr="00095688">
          <w:rPr>
            <w:b w:val="0"/>
            <w:i w:val="0"/>
          </w:rPr>
          <w:t xml:space="preserve"> </w:t>
        </w:r>
        <w:r w:rsidRPr="00095688">
          <w:rPr>
            <w:b w:val="0"/>
            <w:i w:val="0"/>
          </w:rPr>
          <w:t xml:space="preserve">и ETSI (TC </w:t>
        </w:r>
        <w:proofErr w:type="spellStart"/>
        <w:r w:rsidRPr="00095688">
          <w:rPr>
            <w:b w:val="0"/>
            <w:i w:val="0"/>
          </w:rPr>
          <w:t>Electronic</w:t>
        </w:r>
        <w:proofErr w:type="spellEnd"/>
        <w:r w:rsidRPr="00095688">
          <w:rPr>
            <w:b w:val="0"/>
            <w:i w:val="0"/>
          </w:rPr>
          <w:t xml:space="preserve"> </w:t>
        </w:r>
        <w:proofErr w:type="spellStart"/>
        <w:r w:rsidRPr="00095688">
          <w:rPr>
            <w:b w:val="0"/>
            <w:i w:val="0"/>
          </w:rPr>
          <w:t>Signatures</w:t>
        </w:r>
        <w:proofErr w:type="spellEnd"/>
        <w:r w:rsidRPr="00095688">
          <w:rPr>
            <w:b w:val="0"/>
            <w:i w:val="0"/>
          </w:rPr>
          <w:t xml:space="preserve"> </w:t>
        </w:r>
        <w:proofErr w:type="spellStart"/>
        <w:r w:rsidRPr="00095688">
          <w:rPr>
            <w:b w:val="0"/>
            <w:i w:val="0"/>
          </w:rPr>
          <w:t>and</w:t>
        </w:r>
        <w:proofErr w:type="spellEnd"/>
        <w:r w:rsidRPr="00095688">
          <w:rPr>
            <w:b w:val="0"/>
            <w:i w:val="0"/>
          </w:rPr>
          <w:t xml:space="preserve"> </w:t>
        </w:r>
        <w:proofErr w:type="spellStart"/>
        <w:r w:rsidRPr="00095688">
          <w:rPr>
            <w:b w:val="0"/>
            <w:i w:val="0"/>
          </w:rPr>
          <w:t>Infrastructures</w:t>
        </w:r>
        <w:proofErr w:type="spellEnd"/>
        <w:r w:rsidRPr="00095688">
          <w:rPr>
            <w:b w:val="0"/>
            <w:i w:val="0"/>
          </w:rPr>
          <w:t xml:space="preserve"> (ESI).</w:t>
        </w:r>
      </w:hyperlink>
    </w:p>
    <w:p w:rsidR="005B287D" w:rsidRPr="00C83180" w:rsidRDefault="005E4CED" w:rsidP="00C55AA5">
      <w:pPr>
        <w:pStyle w:val="Heading3"/>
        <w:numPr>
          <w:ilvl w:val="0"/>
          <w:numId w:val="0"/>
        </w:numPr>
        <w:spacing w:before="0" w:after="0"/>
        <w:ind w:firstLine="567"/>
        <w:rPr>
          <w:b w:val="0"/>
          <w:i w:val="0"/>
        </w:rPr>
      </w:pPr>
      <w:r>
        <w:rPr>
          <w:b w:val="0"/>
          <w:i w:val="0"/>
        </w:rPr>
        <w:t>П</w:t>
      </w:r>
      <w:r w:rsidRPr="00C83180">
        <w:rPr>
          <w:b w:val="0"/>
          <w:i w:val="0"/>
        </w:rPr>
        <w:t>редставител</w:t>
      </w:r>
      <w:r>
        <w:rPr>
          <w:b w:val="0"/>
          <w:i w:val="0"/>
        </w:rPr>
        <w:t>ят на</w:t>
      </w:r>
      <w:r w:rsidRPr="00C83180">
        <w:rPr>
          <w:b w:val="0"/>
          <w:i w:val="0"/>
        </w:rPr>
        <w:t xml:space="preserve"> </w:t>
      </w:r>
      <w:r w:rsidR="00EC4333" w:rsidRPr="00C83180">
        <w:rPr>
          <w:b w:val="0"/>
          <w:i w:val="0"/>
        </w:rPr>
        <w:t xml:space="preserve">ETSI </w:t>
      </w:r>
      <w:r>
        <w:rPr>
          <w:b w:val="0"/>
          <w:i w:val="0"/>
        </w:rPr>
        <w:t xml:space="preserve">прочете </w:t>
      </w:r>
      <w:r w:rsidR="00EC4333" w:rsidRPr="00C83180">
        <w:rPr>
          <w:b w:val="0"/>
          <w:i w:val="0"/>
        </w:rPr>
        <w:t xml:space="preserve">изявление </w:t>
      </w:r>
      <w:r>
        <w:rPr>
          <w:b w:val="0"/>
          <w:i w:val="0"/>
        </w:rPr>
        <w:t>на председателя</w:t>
      </w:r>
      <w:r w:rsidR="00EC4333" w:rsidRPr="00C83180">
        <w:rPr>
          <w:b w:val="0"/>
          <w:i w:val="0"/>
        </w:rPr>
        <w:t xml:space="preserve"> на ТК</w:t>
      </w:r>
      <w:r>
        <w:rPr>
          <w:b w:val="0"/>
          <w:i w:val="0"/>
        </w:rPr>
        <w:t>,</w:t>
      </w:r>
      <w:r w:rsidR="00EC4333" w:rsidRPr="00C83180">
        <w:rPr>
          <w:b w:val="0"/>
          <w:i w:val="0"/>
        </w:rPr>
        <w:t xml:space="preserve"> </w:t>
      </w:r>
      <w:r>
        <w:rPr>
          <w:b w:val="0"/>
          <w:i w:val="0"/>
        </w:rPr>
        <w:t>в което обясни</w:t>
      </w:r>
      <w:r w:rsidR="00EC4333" w:rsidRPr="00C83180">
        <w:rPr>
          <w:b w:val="0"/>
          <w:i w:val="0"/>
        </w:rPr>
        <w:t>, че „на този етап няма доказателства, че има голямо припокриване с работата на TC ESI, ко</w:t>
      </w:r>
      <w:r>
        <w:rPr>
          <w:b w:val="0"/>
          <w:i w:val="0"/>
        </w:rPr>
        <w:t>е</w:t>
      </w:r>
      <w:r w:rsidR="00EC4333" w:rsidRPr="00C83180">
        <w:rPr>
          <w:b w:val="0"/>
          <w:i w:val="0"/>
        </w:rPr>
        <w:t xml:space="preserve">то може да обоснове спиране на процедурата по идентифициране, </w:t>
      </w:r>
      <w:r>
        <w:rPr>
          <w:b w:val="0"/>
          <w:i w:val="0"/>
        </w:rPr>
        <w:t>а</w:t>
      </w:r>
      <w:r w:rsidR="00EC4333" w:rsidRPr="00C83180">
        <w:rPr>
          <w:b w:val="0"/>
          <w:i w:val="0"/>
        </w:rPr>
        <w:t xml:space="preserve"> напротив, пространство</w:t>
      </w:r>
      <w:r>
        <w:rPr>
          <w:b w:val="0"/>
          <w:i w:val="0"/>
        </w:rPr>
        <w:t>то</w:t>
      </w:r>
      <w:r w:rsidR="00EC4333" w:rsidRPr="00C83180">
        <w:rPr>
          <w:b w:val="0"/>
          <w:i w:val="0"/>
        </w:rPr>
        <w:t xml:space="preserve"> за сътрудничество </w:t>
      </w:r>
      <w:r>
        <w:rPr>
          <w:b w:val="0"/>
          <w:i w:val="0"/>
        </w:rPr>
        <w:t>в</w:t>
      </w:r>
      <w:r w:rsidR="00EC4333" w:rsidRPr="00C83180">
        <w:rPr>
          <w:b w:val="0"/>
          <w:i w:val="0"/>
        </w:rPr>
        <w:t xml:space="preserve"> работата на </w:t>
      </w:r>
      <w:r w:rsidRPr="005E4CED">
        <w:rPr>
          <w:b w:val="0"/>
          <w:i w:val="0"/>
        </w:rPr>
        <w:t xml:space="preserve">RDA </w:t>
      </w:r>
      <w:r>
        <w:rPr>
          <w:b w:val="0"/>
          <w:i w:val="0"/>
        </w:rPr>
        <w:t>и ETSI може</w:t>
      </w:r>
      <w:r w:rsidR="00EC4333" w:rsidRPr="00C83180">
        <w:rPr>
          <w:b w:val="0"/>
          <w:i w:val="0"/>
        </w:rPr>
        <w:t xml:space="preserve"> да </w:t>
      </w:r>
      <w:r>
        <w:rPr>
          <w:b w:val="0"/>
          <w:i w:val="0"/>
        </w:rPr>
        <w:t>се допълва.</w:t>
      </w:r>
      <w:r w:rsidR="00EC4333" w:rsidRPr="00C83180">
        <w:rPr>
          <w:b w:val="0"/>
          <w:i w:val="0"/>
        </w:rPr>
        <w:t xml:space="preserve"> </w:t>
      </w:r>
      <w:r>
        <w:rPr>
          <w:b w:val="0"/>
          <w:i w:val="0"/>
        </w:rPr>
        <w:t>В</w:t>
      </w:r>
      <w:r w:rsidR="00EC4333" w:rsidRPr="00C83180">
        <w:rPr>
          <w:b w:val="0"/>
          <w:i w:val="0"/>
        </w:rPr>
        <w:t xml:space="preserve"> този смисъл докладът следва да включва препоръка </w:t>
      </w:r>
      <w:r>
        <w:rPr>
          <w:b w:val="0"/>
          <w:i w:val="0"/>
        </w:rPr>
        <w:t>з</w:t>
      </w:r>
      <w:r w:rsidR="00EC4333" w:rsidRPr="00C83180">
        <w:rPr>
          <w:b w:val="0"/>
          <w:i w:val="0"/>
        </w:rPr>
        <w:t xml:space="preserve">а </w:t>
      </w:r>
      <w:r w:rsidRPr="00C83180">
        <w:rPr>
          <w:b w:val="0"/>
          <w:i w:val="0"/>
        </w:rPr>
        <w:t xml:space="preserve">допълнително </w:t>
      </w:r>
      <w:r>
        <w:rPr>
          <w:b w:val="0"/>
          <w:i w:val="0"/>
        </w:rPr>
        <w:t>проучване</w:t>
      </w:r>
      <w:r w:rsidR="00EC4333" w:rsidRPr="00C83180">
        <w:rPr>
          <w:b w:val="0"/>
          <w:i w:val="0"/>
        </w:rPr>
        <w:t>“.</w:t>
      </w:r>
    </w:p>
    <w:p w:rsidR="005B287D" w:rsidRPr="00C55AA5" w:rsidRDefault="00EC4333" w:rsidP="00C55AA5">
      <w:pPr>
        <w:pStyle w:val="Heading3"/>
        <w:numPr>
          <w:ilvl w:val="0"/>
          <w:numId w:val="0"/>
        </w:numPr>
        <w:spacing w:before="0" w:after="0"/>
        <w:ind w:firstLine="567"/>
        <w:rPr>
          <w:b w:val="0"/>
          <w:i w:val="0"/>
          <w:szCs w:val="24"/>
        </w:rPr>
      </w:pPr>
      <w:r w:rsidRPr="00C55AA5">
        <w:rPr>
          <w:b w:val="0"/>
          <w:i w:val="0"/>
          <w:szCs w:val="24"/>
        </w:rPr>
        <w:t xml:space="preserve">Бе </w:t>
      </w:r>
      <w:r w:rsidR="005E4CED" w:rsidRPr="00C55AA5">
        <w:rPr>
          <w:b w:val="0"/>
          <w:i w:val="0"/>
        </w:rPr>
        <w:t>отправен</w:t>
      </w:r>
      <w:r w:rsidR="005E4CED" w:rsidRPr="00C55AA5">
        <w:rPr>
          <w:b w:val="0"/>
          <w:i w:val="0"/>
          <w:szCs w:val="24"/>
        </w:rPr>
        <w:t xml:space="preserve"> въпрос към</w:t>
      </w:r>
      <w:r w:rsidRPr="00C55AA5">
        <w:rPr>
          <w:b w:val="0"/>
          <w:i w:val="0"/>
          <w:szCs w:val="24"/>
        </w:rPr>
        <w:t xml:space="preserve"> ТС</w:t>
      </w:r>
      <w:r w:rsidR="005E4CED" w:rsidRPr="00C55AA5">
        <w:rPr>
          <w:b w:val="0"/>
          <w:i w:val="0"/>
          <w:szCs w:val="24"/>
        </w:rPr>
        <w:t xml:space="preserve"> </w:t>
      </w:r>
      <w:r w:rsidRPr="00C55AA5">
        <w:rPr>
          <w:b w:val="0"/>
          <w:i w:val="0"/>
          <w:szCs w:val="24"/>
        </w:rPr>
        <w:t xml:space="preserve">7, </w:t>
      </w:r>
      <w:r w:rsidR="005E4CED" w:rsidRPr="00C55AA5">
        <w:rPr>
          <w:b w:val="0"/>
          <w:i w:val="0"/>
          <w:szCs w:val="24"/>
        </w:rPr>
        <w:t>относно интернет адресът, даден</w:t>
      </w:r>
      <w:r w:rsidRPr="00C55AA5">
        <w:rPr>
          <w:b w:val="0"/>
          <w:i w:val="0"/>
          <w:szCs w:val="24"/>
        </w:rPr>
        <w:t xml:space="preserve"> в доклада, </w:t>
      </w:r>
      <w:r w:rsidR="005E4CED" w:rsidRPr="00C55AA5">
        <w:rPr>
          <w:b w:val="0"/>
          <w:i w:val="0"/>
          <w:szCs w:val="24"/>
        </w:rPr>
        <w:t xml:space="preserve">който </w:t>
      </w:r>
      <w:r w:rsidRPr="00C55AA5">
        <w:rPr>
          <w:b w:val="0"/>
          <w:i w:val="0"/>
          <w:szCs w:val="24"/>
        </w:rPr>
        <w:t xml:space="preserve">се отнася за група, различна от </w:t>
      </w:r>
      <w:r w:rsidR="005E4CED" w:rsidRPr="00C55AA5">
        <w:rPr>
          <w:b w:val="0"/>
          <w:i w:val="0"/>
        </w:rPr>
        <w:t>RDA</w:t>
      </w:r>
      <w:r w:rsidR="005E4CED" w:rsidRPr="00C55AA5">
        <w:rPr>
          <w:b w:val="0"/>
          <w:i w:val="0"/>
          <w:szCs w:val="24"/>
        </w:rPr>
        <w:t xml:space="preserve"> </w:t>
      </w:r>
      <w:r w:rsidRPr="00C55AA5">
        <w:rPr>
          <w:b w:val="0"/>
          <w:i w:val="0"/>
          <w:szCs w:val="24"/>
        </w:rPr>
        <w:t>(</w:t>
      </w:r>
      <w:proofErr w:type="spellStart"/>
      <w:r w:rsidRPr="00C55AA5">
        <w:rPr>
          <w:b w:val="0"/>
          <w:i w:val="0"/>
          <w:szCs w:val="24"/>
        </w:rPr>
        <w:t>CoreTrustSeal</w:t>
      </w:r>
      <w:proofErr w:type="spellEnd"/>
      <w:r w:rsidRPr="00C55AA5">
        <w:rPr>
          <w:b w:val="0"/>
          <w:i w:val="0"/>
          <w:szCs w:val="24"/>
        </w:rPr>
        <w:t xml:space="preserve">). Секретариатът </w:t>
      </w:r>
      <w:r w:rsidR="005E4CED" w:rsidRPr="00C55AA5">
        <w:rPr>
          <w:b w:val="0"/>
          <w:i w:val="0"/>
          <w:szCs w:val="24"/>
        </w:rPr>
        <w:t xml:space="preserve">на </w:t>
      </w:r>
      <w:r w:rsidR="005E4CED" w:rsidRPr="00C55AA5">
        <w:rPr>
          <w:b w:val="0"/>
          <w:i w:val="0"/>
        </w:rPr>
        <w:t>RDA</w:t>
      </w:r>
      <w:r w:rsidR="005E4CED" w:rsidRPr="00C55AA5">
        <w:rPr>
          <w:b w:val="0"/>
          <w:i w:val="0"/>
          <w:szCs w:val="24"/>
        </w:rPr>
        <w:t xml:space="preserve"> </w:t>
      </w:r>
      <w:r w:rsidRPr="00C55AA5">
        <w:rPr>
          <w:b w:val="0"/>
          <w:i w:val="0"/>
          <w:szCs w:val="24"/>
        </w:rPr>
        <w:t xml:space="preserve">обясни, че спецификацията е разработен в рамките на </w:t>
      </w:r>
      <w:r w:rsidR="005E4CED" w:rsidRPr="00C55AA5">
        <w:rPr>
          <w:b w:val="0"/>
          <w:i w:val="0"/>
        </w:rPr>
        <w:t>RDA</w:t>
      </w:r>
      <w:r w:rsidRPr="00C55AA5">
        <w:rPr>
          <w:b w:val="0"/>
          <w:i w:val="0"/>
          <w:szCs w:val="24"/>
        </w:rPr>
        <w:t xml:space="preserve">, използването на </w:t>
      </w:r>
      <w:proofErr w:type="spellStart"/>
      <w:r w:rsidRPr="00C55AA5">
        <w:rPr>
          <w:b w:val="0"/>
          <w:i w:val="0"/>
          <w:szCs w:val="24"/>
        </w:rPr>
        <w:t>CoreTrustSeal</w:t>
      </w:r>
      <w:proofErr w:type="spellEnd"/>
      <w:r w:rsidRPr="00C55AA5">
        <w:rPr>
          <w:b w:val="0"/>
          <w:i w:val="0"/>
          <w:szCs w:val="24"/>
        </w:rPr>
        <w:t xml:space="preserve"> е само въпрос на търговска марка.</w:t>
      </w:r>
    </w:p>
    <w:p w:rsidR="005B287D" w:rsidRPr="00C55AA5" w:rsidRDefault="005E4CED" w:rsidP="00C55AA5">
      <w:pPr>
        <w:pStyle w:val="Heading3"/>
        <w:numPr>
          <w:ilvl w:val="0"/>
          <w:numId w:val="0"/>
        </w:numPr>
        <w:spacing w:before="0" w:after="0"/>
        <w:ind w:firstLine="567"/>
        <w:rPr>
          <w:b w:val="0"/>
          <w:i w:val="0"/>
          <w:szCs w:val="24"/>
        </w:rPr>
      </w:pPr>
      <w:r w:rsidRPr="00C55AA5">
        <w:rPr>
          <w:b w:val="0"/>
          <w:i w:val="0"/>
          <w:szCs w:val="24"/>
        </w:rPr>
        <w:t>Докладът за оценка беше одобрен</w:t>
      </w:r>
      <w:r w:rsidR="00EC4333" w:rsidRPr="00C55AA5">
        <w:rPr>
          <w:b w:val="0"/>
          <w:i w:val="0"/>
          <w:szCs w:val="24"/>
        </w:rPr>
        <w:t xml:space="preserve"> с консенсус </w:t>
      </w:r>
      <w:r w:rsidRPr="00C55AA5">
        <w:rPr>
          <w:b w:val="0"/>
          <w:i w:val="0"/>
          <w:szCs w:val="24"/>
        </w:rPr>
        <w:t xml:space="preserve">и </w:t>
      </w:r>
      <w:r w:rsidR="00EC4333" w:rsidRPr="00C55AA5">
        <w:rPr>
          <w:b w:val="0"/>
          <w:i w:val="0"/>
          <w:szCs w:val="24"/>
        </w:rPr>
        <w:t>с „въздържал се</w:t>
      </w:r>
      <w:r w:rsidRPr="00C55AA5">
        <w:rPr>
          <w:b w:val="0"/>
          <w:i w:val="0"/>
          <w:szCs w:val="24"/>
        </w:rPr>
        <w:t xml:space="preserve">“ </w:t>
      </w:r>
      <w:r w:rsidR="00EC4333" w:rsidRPr="00C55AA5">
        <w:rPr>
          <w:b w:val="0"/>
          <w:i w:val="0"/>
          <w:szCs w:val="24"/>
        </w:rPr>
        <w:t>от CEN, CENELEC, ECIS, и „Цифрова Европа“.</w:t>
      </w:r>
    </w:p>
    <w:p w:rsidR="005B287D" w:rsidRPr="00C55AA5" w:rsidRDefault="00EC4333" w:rsidP="00C55AA5">
      <w:pPr>
        <w:pStyle w:val="Heading3"/>
        <w:numPr>
          <w:ilvl w:val="0"/>
          <w:numId w:val="0"/>
        </w:numPr>
        <w:spacing w:before="0" w:after="0"/>
        <w:ind w:firstLine="567"/>
        <w:rPr>
          <w:b w:val="0"/>
          <w:i w:val="0"/>
          <w:szCs w:val="24"/>
        </w:rPr>
      </w:pPr>
      <w:r w:rsidRPr="00C55AA5">
        <w:rPr>
          <w:b w:val="0"/>
          <w:i w:val="0"/>
          <w:szCs w:val="24"/>
        </w:rPr>
        <w:t xml:space="preserve">Председателят призова членовете на </w:t>
      </w:r>
      <w:r w:rsidR="005E4CED" w:rsidRPr="00C55AA5">
        <w:rPr>
          <w:b w:val="0"/>
          <w:i w:val="0"/>
          <w:szCs w:val="24"/>
        </w:rPr>
        <w:t>П</w:t>
      </w:r>
      <w:r w:rsidRPr="00C55AA5">
        <w:rPr>
          <w:b w:val="0"/>
          <w:i w:val="0"/>
          <w:szCs w:val="24"/>
        </w:rPr>
        <w:t xml:space="preserve">латформата да </w:t>
      </w:r>
      <w:r w:rsidR="005E4CED" w:rsidRPr="00C55AA5">
        <w:rPr>
          <w:b w:val="0"/>
          <w:i w:val="0"/>
          <w:szCs w:val="24"/>
        </w:rPr>
        <w:t>определят и съобщят имената на експерти, които</w:t>
      </w:r>
      <w:r w:rsidRPr="00C55AA5">
        <w:rPr>
          <w:b w:val="0"/>
          <w:i w:val="0"/>
          <w:szCs w:val="24"/>
        </w:rPr>
        <w:t xml:space="preserve"> да проведат консултации за оценка.</w:t>
      </w:r>
    </w:p>
    <w:p w:rsidR="004B6361" w:rsidRPr="00C83180" w:rsidRDefault="004B6361" w:rsidP="00C83180">
      <w:pPr>
        <w:pStyle w:val="Text3"/>
        <w:spacing w:after="0"/>
        <w:ind w:left="0"/>
        <w:rPr>
          <w:szCs w:val="24"/>
        </w:rPr>
      </w:pPr>
    </w:p>
    <w:p w:rsidR="005B287D" w:rsidRPr="00C83180" w:rsidRDefault="00EC4333" w:rsidP="00C83180">
      <w:pPr>
        <w:pStyle w:val="Heading2"/>
        <w:spacing w:before="0" w:after="0"/>
        <w:rPr>
          <w:sz w:val="26"/>
          <w:szCs w:val="26"/>
          <w:u w:val="single"/>
        </w:rPr>
      </w:pPr>
      <w:r w:rsidRPr="00C83180">
        <w:rPr>
          <w:sz w:val="26"/>
          <w:szCs w:val="26"/>
          <w:u w:val="single"/>
        </w:rPr>
        <w:t xml:space="preserve">Нови ИКТ </w:t>
      </w:r>
      <w:r w:rsidR="005E4CED">
        <w:rPr>
          <w:sz w:val="26"/>
          <w:szCs w:val="26"/>
          <w:u w:val="single"/>
        </w:rPr>
        <w:t>технически спецификации (</w:t>
      </w:r>
      <w:r w:rsidRPr="00C83180">
        <w:rPr>
          <w:sz w:val="26"/>
          <w:szCs w:val="26"/>
          <w:u w:val="single"/>
        </w:rPr>
        <w:t>T</w:t>
      </w:r>
      <w:r w:rsidR="005E4CED">
        <w:rPr>
          <w:sz w:val="26"/>
          <w:szCs w:val="26"/>
          <w:u w:val="single"/>
        </w:rPr>
        <w:t>С)</w:t>
      </w:r>
      <w:r w:rsidRPr="00C83180">
        <w:rPr>
          <w:sz w:val="26"/>
          <w:szCs w:val="26"/>
          <w:u w:val="single"/>
        </w:rPr>
        <w:t>, предложени за идентификация — първи стъпки към по-стратегически подход.</w:t>
      </w:r>
    </w:p>
    <w:p w:rsidR="005B287D" w:rsidRPr="00C83180" w:rsidRDefault="00463FF6" w:rsidP="00C55AA5">
      <w:pPr>
        <w:spacing w:after="0"/>
        <w:ind w:firstLine="720"/>
        <w:rPr>
          <w:i/>
          <w:szCs w:val="24"/>
        </w:rPr>
      </w:pPr>
      <w:hyperlink r:id="rId21">
        <w:proofErr w:type="spellStart"/>
        <w:r w:rsidR="00EC4333" w:rsidRPr="00C83180">
          <w:rPr>
            <w:i/>
          </w:rPr>
          <w:t>Rodolphe</w:t>
        </w:r>
        <w:proofErr w:type="spellEnd"/>
        <w:r w:rsidR="00EC4333" w:rsidRPr="00C83180">
          <w:rPr>
            <w:i/>
          </w:rPr>
          <w:t xml:space="preserve"> </w:t>
        </w:r>
        <w:proofErr w:type="spellStart"/>
        <w:r w:rsidR="00EC4333" w:rsidRPr="00C83180">
          <w:rPr>
            <w:i/>
          </w:rPr>
          <w:t>Wouters</w:t>
        </w:r>
        <w:proofErr w:type="spellEnd"/>
        <w:r w:rsidR="00EC4333" w:rsidRPr="00C83180">
          <w:rPr>
            <w:i/>
          </w:rPr>
          <w:t xml:space="preserve"> (ГД „Вътрешен пазар, промишленост, предприемачество</w:t>
        </w:r>
        <w:r w:rsidR="005E4CED">
          <w:rPr>
            <w:i/>
          </w:rPr>
          <w:t>,</w:t>
        </w:r>
        <w:r w:rsidR="00EC4333" w:rsidRPr="00C83180">
          <w:rPr>
            <w:i/>
          </w:rPr>
          <w:t xml:space="preserve"> F3) </w:t>
        </w:r>
        <w:r w:rsidR="00EC4333" w:rsidRPr="005E4CED">
          <w:t>предс</w:t>
        </w:r>
        <w:r w:rsidR="005E4CED">
          <w:t>тави документ (2017)551 ИКТ/</w:t>
        </w:r>
        <w:r w:rsidR="005E4CED" w:rsidRPr="005E4CED">
          <w:t>MSP</w:t>
        </w:r>
        <w:r w:rsidR="00EC4333" w:rsidRPr="005E4CED">
          <w:t xml:space="preserve"> </w:t>
        </w:r>
        <w:r w:rsidR="005E4CED">
          <w:t>за</w:t>
        </w:r>
        <w:r w:rsidR="00EC4333" w:rsidRPr="005E4CED">
          <w:t xml:space="preserve"> становища относно използването на по-стратегически подх</w:t>
        </w:r>
        <w:r w:rsidR="005E4CED">
          <w:t>од към бъдещото идентифициране</w:t>
        </w:r>
        <w:r w:rsidR="00EC4333" w:rsidRPr="005E4CED">
          <w:t xml:space="preserve"> на ИКТ технически спецификации, </w:t>
        </w:r>
        <w:r w:rsidR="005E4CED">
          <w:t>с възможна връзка Е</w:t>
        </w:r>
        <w:r w:rsidR="00EC4333" w:rsidRPr="005E4CED">
          <w:t>вропейски</w:t>
        </w:r>
        <w:r w:rsidR="005E4CED">
          <w:t>я</w:t>
        </w:r>
        <w:r w:rsidR="00EC4333" w:rsidRPr="005E4CED">
          <w:t xml:space="preserve"> </w:t>
        </w:r>
        <w:r w:rsidR="005E4CED">
          <w:t>каталог</w:t>
        </w:r>
        <w:r w:rsidR="00EC4333" w:rsidRPr="005E4CED">
          <w:t xml:space="preserve">, и дали следва да има известно прецизиране, т.е. чрез групиране на някои от техническите спецификации, </w:t>
        </w:r>
        <w:r w:rsidR="005E4CED">
          <w:t>подреждане по приоритети, планиране</w:t>
        </w:r>
        <w:r w:rsidR="00EC4333" w:rsidRPr="005E4CED">
          <w:t xml:space="preserve"> на процеса предварително, или друг вид действия.</w:t>
        </w:r>
      </w:hyperlink>
    </w:p>
    <w:p w:rsidR="005B287D" w:rsidRPr="00C83180" w:rsidRDefault="00EC4333" w:rsidP="00C55AA5">
      <w:pPr>
        <w:spacing w:after="0"/>
        <w:ind w:firstLine="720"/>
        <w:rPr>
          <w:szCs w:val="24"/>
        </w:rPr>
      </w:pPr>
      <w:r w:rsidRPr="00C83180">
        <w:rPr>
          <w:szCs w:val="24"/>
        </w:rPr>
        <w:t xml:space="preserve">В последвалите разисквания някои членове </w:t>
      </w:r>
      <w:r w:rsidR="002E0FA0">
        <w:rPr>
          <w:szCs w:val="24"/>
        </w:rPr>
        <w:t>посочиха</w:t>
      </w:r>
      <w:r w:rsidRPr="00C83180">
        <w:rPr>
          <w:szCs w:val="24"/>
        </w:rPr>
        <w:t xml:space="preserve">, че определянето на приоритети и </w:t>
      </w:r>
      <w:r w:rsidR="002E0FA0">
        <w:rPr>
          <w:szCs w:val="24"/>
        </w:rPr>
        <w:t>постигането</w:t>
      </w:r>
      <w:r w:rsidRPr="00C83180">
        <w:rPr>
          <w:szCs w:val="24"/>
        </w:rPr>
        <w:t xml:space="preserve"> на повече съгласуваност, включително определ</w:t>
      </w:r>
      <w:r w:rsidR="002E0FA0">
        <w:rPr>
          <w:szCs w:val="24"/>
        </w:rPr>
        <w:t>яне</w:t>
      </w:r>
      <w:r w:rsidRPr="00C83180">
        <w:rPr>
          <w:szCs w:val="24"/>
        </w:rPr>
        <w:t xml:space="preserve"> на някои критерии</w:t>
      </w:r>
      <w:r w:rsidR="002E0FA0">
        <w:rPr>
          <w:szCs w:val="24"/>
        </w:rPr>
        <w:t>,</w:t>
      </w:r>
      <w:r w:rsidRPr="00C83180">
        <w:rPr>
          <w:szCs w:val="24"/>
        </w:rPr>
        <w:t xml:space="preserve"> по принцип е положително. При все това обаче включването на прекалено рестриктивни критерии също мо</w:t>
      </w:r>
      <w:r w:rsidR="002E0FA0">
        <w:rPr>
          <w:szCs w:val="24"/>
        </w:rPr>
        <w:t>же</w:t>
      </w:r>
      <w:r w:rsidRPr="00C83180">
        <w:rPr>
          <w:szCs w:val="24"/>
        </w:rPr>
        <w:t xml:space="preserve"> да бъд</w:t>
      </w:r>
      <w:r w:rsidR="002E0FA0">
        <w:rPr>
          <w:szCs w:val="24"/>
        </w:rPr>
        <w:t>е</w:t>
      </w:r>
      <w:r w:rsidRPr="00C83180">
        <w:rPr>
          <w:szCs w:val="24"/>
        </w:rPr>
        <w:t xml:space="preserve"> отрицателн</w:t>
      </w:r>
      <w:r w:rsidR="002E0FA0">
        <w:rPr>
          <w:szCs w:val="24"/>
        </w:rPr>
        <w:t>о</w:t>
      </w:r>
      <w:r w:rsidRPr="00C83180">
        <w:rPr>
          <w:szCs w:val="24"/>
        </w:rPr>
        <w:t xml:space="preserve">. Някои припомниха, че правното основание на процедурата следва да се започва по искане на държава членка или на Комисията; </w:t>
      </w:r>
      <w:r w:rsidR="002E0FA0">
        <w:rPr>
          <w:szCs w:val="24"/>
        </w:rPr>
        <w:t xml:space="preserve">в </w:t>
      </w:r>
      <w:r w:rsidRPr="00C83180">
        <w:rPr>
          <w:szCs w:val="24"/>
        </w:rPr>
        <w:t>правното основание не се споменава необходимостта от свързване на T</w:t>
      </w:r>
      <w:r w:rsidR="002E0FA0">
        <w:rPr>
          <w:szCs w:val="24"/>
        </w:rPr>
        <w:t>С</w:t>
      </w:r>
      <w:r w:rsidRPr="00C83180">
        <w:rPr>
          <w:szCs w:val="24"/>
        </w:rPr>
        <w:t xml:space="preserve"> </w:t>
      </w:r>
      <w:r w:rsidR="002E0FA0">
        <w:rPr>
          <w:szCs w:val="24"/>
        </w:rPr>
        <w:t>с</w:t>
      </w:r>
      <w:r w:rsidRPr="00C83180">
        <w:rPr>
          <w:szCs w:val="24"/>
        </w:rPr>
        <w:t xml:space="preserve"> възможни по-нататъшни случаи на употреба (както е предложено в документ 551), а по-скоро идеята е, че идентифицираните ИКТ T</w:t>
      </w:r>
      <w:r w:rsidR="002E0FA0">
        <w:rPr>
          <w:szCs w:val="24"/>
        </w:rPr>
        <w:t>С</w:t>
      </w:r>
      <w:r w:rsidRPr="00C83180">
        <w:rPr>
          <w:szCs w:val="24"/>
        </w:rPr>
        <w:t xml:space="preserve"> биха могли да бъдат на разположение на възложителите на обществени поръчки. </w:t>
      </w:r>
    </w:p>
    <w:p w:rsidR="005B287D" w:rsidRPr="00C83180" w:rsidRDefault="00EC4333" w:rsidP="00C55AA5">
      <w:pPr>
        <w:spacing w:after="0"/>
        <w:ind w:firstLine="720"/>
      </w:pPr>
      <w:r w:rsidRPr="00C83180">
        <w:rPr>
          <w:i/>
          <w:szCs w:val="24"/>
        </w:rPr>
        <w:t xml:space="preserve">R. </w:t>
      </w:r>
      <w:proofErr w:type="spellStart"/>
      <w:r w:rsidRPr="00C83180">
        <w:rPr>
          <w:i/>
          <w:szCs w:val="24"/>
        </w:rPr>
        <w:t>Wouters</w:t>
      </w:r>
      <w:proofErr w:type="spellEnd"/>
      <w:r w:rsidRPr="00C83180">
        <w:rPr>
          <w:i/>
          <w:szCs w:val="24"/>
        </w:rPr>
        <w:t xml:space="preserve"> </w:t>
      </w:r>
      <w:r w:rsidRPr="002E0FA0">
        <w:rPr>
          <w:szCs w:val="24"/>
        </w:rPr>
        <w:t xml:space="preserve">поясни, че намерението не е да се замени съществуващия механизъм, а да се намери по-стратегически и съгласуван подход към изявленията </w:t>
      </w:r>
      <w:r w:rsidR="002E0FA0">
        <w:rPr>
          <w:szCs w:val="24"/>
        </w:rPr>
        <w:t xml:space="preserve">и </w:t>
      </w:r>
      <w:r w:rsidRPr="002E0FA0">
        <w:rPr>
          <w:szCs w:val="24"/>
        </w:rPr>
        <w:t xml:space="preserve">да </w:t>
      </w:r>
      <w:r w:rsidR="002E0FA0">
        <w:rPr>
          <w:szCs w:val="24"/>
        </w:rPr>
        <w:t xml:space="preserve">се </w:t>
      </w:r>
      <w:r w:rsidRPr="002E0FA0">
        <w:rPr>
          <w:szCs w:val="24"/>
        </w:rPr>
        <w:t xml:space="preserve">направи процедурата </w:t>
      </w:r>
      <w:r w:rsidR="002E0FA0">
        <w:rPr>
          <w:szCs w:val="24"/>
        </w:rPr>
        <w:t>по</w:t>
      </w:r>
      <w:r w:rsidRPr="002E0FA0">
        <w:rPr>
          <w:szCs w:val="24"/>
        </w:rPr>
        <w:t xml:space="preserve"> членове 13 </w:t>
      </w:r>
      <w:r w:rsidR="002E0FA0">
        <w:rPr>
          <w:szCs w:val="24"/>
        </w:rPr>
        <w:t>и</w:t>
      </w:r>
      <w:r w:rsidRPr="002E0FA0">
        <w:rPr>
          <w:szCs w:val="24"/>
        </w:rPr>
        <w:t xml:space="preserve"> 14 по-ефективн</w:t>
      </w:r>
      <w:r w:rsidR="002E0FA0">
        <w:rPr>
          <w:szCs w:val="24"/>
        </w:rPr>
        <w:t>а</w:t>
      </w:r>
      <w:r w:rsidRPr="002E0FA0">
        <w:rPr>
          <w:szCs w:val="24"/>
        </w:rPr>
        <w:t>.</w:t>
      </w:r>
      <w:r w:rsidRPr="00C83180">
        <w:rPr>
          <w:szCs w:val="24"/>
        </w:rPr>
        <w:t xml:space="preserve"> Съгласуваността се отнася за стратегически</w:t>
      </w:r>
      <w:r w:rsidR="002E0FA0">
        <w:rPr>
          <w:szCs w:val="24"/>
        </w:rPr>
        <w:t>я</w:t>
      </w:r>
      <w:r w:rsidRPr="00C83180">
        <w:rPr>
          <w:szCs w:val="24"/>
        </w:rPr>
        <w:t xml:space="preserve"> подход, </w:t>
      </w:r>
      <w:r w:rsidR="002E0FA0">
        <w:rPr>
          <w:szCs w:val="24"/>
        </w:rPr>
        <w:t>без</w:t>
      </w:r>
      <w:r w:rsidRPr="00C83180">
        <w:rPr>
          <w:szCs w:val="24"/>
        </w:rPr>
        <w:t xml:space="preserve"> </w:t>
      </w:r>
      <w:r w:rsidR="002E0FA0">
        <w:rPr>
          <w:szCs w:val="24"/>
        </w:rPr>
        <w:t>да</w:t>
      </w:r>
      <w:r w:rsidRPr="00C83180">
        <w:rPr>
          <w:szCs w:val="24"/>
        </w:rPr>
        <w:t xml:space="preserve"> се правят опити за хармонизиране на стратегиите на всички 28 държави членки.</w:t>
      </w:r>
    </w:p>
    <w:p w:rsidR="005B287D" w:rsidRPr="00C83180" w:rsidRDefault="005B287D" w:rsidP="00C83180">
      <w:pPr>
        <w:spacing w:after="0"/>
        <w:rPr>
          <w:szCs w:val="24"/>
        </w:rPr>
      </w:pPr>
    </w:p>
    <w:p w:rsidR="005B287D" w:rsidRPr="00C83180" w:rsidRDefault="00EC4333" w:rsidP="00C83180">
      <w:pPr>
        <w:pStyle w:val="Heading2"/>
        <w:spacing w:before="0" w:after="0"/>
        <w:rPr>
          <w:sz w:val="26"/>
          <w:szCs w:val="26"/>
          <w:u w:val="single"/>
        </w:rPr>
      </w:pPr>
      <w:r w:rsidRPr="00C83180">
        <w:rPr>
          <w:sz w:val="26"/>
          <w:szCs w:val="26"/>
          <w:u w:val="single"/>
        </w:rPr>
        <w:t xml:space="preserve">Актуална информация относно текущите </w:t>
      </w:r>
      <w:r w:rsidR="002E0FA0">
        <w:rPr>
          <w:sz w:val="26"/>
          <w:szCs w:val="26"/>
          <w:u w:val="single"/>
        </w:rPr>
        <w:t>идентификации</w:t>
      </w:r>
    </w:p>
    <w:p w:rsidR="005B287D" w:rsidRPr="00C83180" w:rsidRDefault="00EC4333" w:rsidP="00C83180">
      <w:pPr>
        <w:pStyle w:val="Heading3"/>
        <w:numPr>
          <w:ilvl w:val="0"/>
          <w:numId w:val="2"/>
        </w:numPr>
        <w:spacing w:before="0" w:after="0"/>
        <w:ind w:left="993"/>
      </w:pPr>
      <w:r w:rsidRPr="00C83180">
        <w:t>Актуално състояние на следващото решение на Комисията</w:t>
      </w:r>
    </w:p>
    <w:p w:rsidR="005B287D" w:rsidRPr="00C83180" w:rsidRDefault="00EC4333" w:rsidP="00C55AA5">
      <w:pPr>
        <w:spacing w:after="0"/>
        <w:ind w:firstLine="633"/>
        <w:rPr>
          <w:b/>
          <w:u w:val="single"/>
        </w:rPr>
      </w:pPr>
      <w:proofErr w:type="spellStart"/>
      <w:r w:rsidRPr="00C83180">
        <w:rPr>
          <w:i/>
        </w:rPr>
        <w:t>Kirsi</w:t>
      </w:r>
      <w:proofErr w:type="spellEnd"/>
      <w:r w:rsidRPr="00C83180">
        <w:rPr>
          <w:i/>
        </w:rPr>
        <w:t xml:space="preserve"> </w:t>
      </w:r>
      <w:proofErr w:type="spellStart"/>
      <w:r w:rsidRPr="00C83180">
        <w:rPr>
          <w:i/>
        </w:rPr>
        <w:t>Ekroth-Manssila</w:t>
      </w:r>
      <w:proofErr w:type="spellEnd"/>
      <w:r w:rsidRPr="00C83180">
        <w:rPr>
          <w:i/>
        </w:rPr>
        <w:t xml:space="preserve"> (ГД GROW) </w:t>
      </w:r>
      <w:r w:rsidRPr="002E0FA0">
        <w:t xml:space="preserve">информира, че следващото решение за идентифициране на </w:t>
      </w:r>
      <w:r w:rsidR="002E0FA0" w:rsidRPr="002E0FA0">
        <w:t xml:space="preserve">SPF- </w:t>
      </w:r>
      <w:proofErr w:type="spellStart"/>
      <w:r w:rsidR="002E0FA0" w:rsidRPr="002E0FA0">
        <w:t>Sender</w:t>
      </w:r>
      <w:proofErr w:type="spellEnd"/>
      <w:r w:rsidR="002E0FA0" w:rsidRPr="002E0FA0">
        <w:t xml:space="preserve"> </w:t>
      </w:r>
      <w:proofErr w:type="spellStart"/>
      <w:r w:rsidR="002E0FA0" w:rsidRPr="002E0FA0">
        <w:t>Policy</w:t>
      </w:r>
      <w:proofErr w:type="spellEnd"/>
      <w:r w:rsidR="002E0FA0" w:rsidRPr="002E0FA0">
        <w:t xml:space="preserve"> Framework; STARTTLS- SMTP Service </w:t>
      </w:r>
      <w:proofErr w:type="spellStart"/>
      <w:r w:rsidR="002E0FA0" w:rsidRPr="002E0FA0">
        <w:t>Extension</w:t>
      </w:r>
      <w:proofErr w:type="spellEnd"/>
      <w:r w:rsidR="002E0FA0" w:rsidRPr="002E0FA0">
        <w:t xml:space="preserve"> </w:t>
      </w:r>
      <w:proofErr w:type="spellStart"/>
      <w:r w:rsidR="002E0FA0" w:rsidRPr="002E0FA0">
        <w:t>for</w:t>
      </w:r>
      <w:proofErr w:type="spellEnd"/>
      <w:r w:rsidR="002E0FA0" w:rsidRPr="002E0FA0">
        <w:t xml:space="preserve"> </w:t>
      </w:r>
      <w:proofErr w:type="spellStart"/>
      <w:r w:rsidR="002E0FA0" w:rsidRPr="002E0FA0">
        <w:t>Secure</w:t>
      </w:r>
      <w:proofErr w:type="spellEnd"/>
      <w:r w:rsidR="002E0FA0" w:rsidRPr="002E0FA0">
        <w:t xml:space="preserve"> SMTP </w:t>
      </w:r>
      <w:proofErr w:type="spellStart"/>
      <w:r w:rsidR="002E0FA0" w:rsidRPr="002E0FA0">
        <w:t>over</w:t>
      </w:r>
      <w:proofErr w:type="spellEnd"/>
      <w:r w:rsidR="002E0FA0" w:rsidRPr="002E0FA0">
        <w:t xml:space="preserve"> </w:t>
      </w:r>
      <w:proofErr w:type="spellStart"/>
      <w:r w:rsidR="002E0FA0" w:rsidRPr="002E0FA0">
        <w:t>Transport</w:t>
      </w:r>
      <w:proofErr w:type="spellEnd"/>
      <w:r w:rsidR="002E0FA0" w:rsidRPr="002E0FA0">
        <w:t xml:space="preserve"> </w:t>
      </w:r>
      <w:proofErr w:type="spellStart"/>
      <w:r w:rsidR="002E0FA0" w:rsidRPr="002E0FA0">
        <w:t>Layer</w:t>
      </w:r>
      <w:proofErr w:type="spellEnd"/>
      <w:r w:rsidR="002E0FA0" w:rsidRPr="002E0FA0">
        <w:t xml:space="preserve"> </w:t>
      </w:r>
      <w:proofErr w:type="spellStart"/>
      <w:r w:rsidR="002E0FA0" w:rsidRPr="002E0FA0">
        <w:t>Security</w:t>
      </w:r>
      <w:proofErr w:type="spellEnd"/>
      <w:r w:rsidR="002E0FA0" w:rsidRPr="002E0FA0">
        <w:t xml:space="preserve">; DANE- SMTP </w:t>
      </w:r>
      <w:proofErr w:type="spellStart"/>
      <w:r w:rsidR="002E0FA0" w:rsidRPr="002E0FA0">
        <w:t>Security</w:t>
      </w:r>
      <w:proofErr w:type="spellEnd"/>
      <w:r w:rsidR="002E0FA0" w:rsidRPr="002E0FA0">
        <w:t xml:space="preserve"> </w:t>
      </w:r>
      <w:proofErr w:type="spellStart"/>
      <w:r w:rsidR="002E0FA0" w:rsidRPr="002E0FA0">
        <w:t>via</w:t>
      </w:r>
      <w:proofErr w:type="spellEnd"/>
      <w:r w:rsidR="002E0FA0" w:rsidRPr="002E0FA0">
        <w:t xml:space="preserve"> </w:t>
      </w:r>
      <w:proofErr w:type="spellStart"/>
      <w:r w:rsidR="002E0FA0" w:rsidRPr="002E0FA0">
        <w:t>Opportunistic</w:t>
      </w:r>
      <w:proofErr w:type="spellEnd"/>
      <w:r w:rsidR="002E0FA0" w:rsidRPr="002E0FA0">
        <w:t xml:space="preserve"> DNS-</w:t>
      </w:r>
      <w:proofErr w:type="spellStart"/>
      <w:r w:rsidR="002E0FA0" w:rsidRPr="002E0FA0">
        <w:t>Based</w:t>
      </w:r>
      <w:proofErr w:type="spellEnd"/>
      <w:r w:rsidR="002E0FA0" w:rsidRPr="002E0FA0">
        <w:t xml:space="preserve"> </w:t>
      </w:r>
      <w:proofErr w:type="spellStart"/>
      <w:r w:rsidR="002E0FA0" w:rsidRPr="002E0FA0">
        <w:t>Authentication</w:t>
      </w:r>
      <w:proofErr w:type="spellEnd"/>
      <w:r w:rsidR="002E0FA0" w:rsidRPr="002E0FA0">
        <w:t xml:space="preserve"> </w:t>
      </w:r>
      <w:proofErr w:type="spellStart"/>
      <w:r w:rsidR="002E0FA0" w:rsidRPr="002E0FA0">
        <w:t>of</w:t>
      </w:r>
      <w:proofErr w:type="spellEnd"/>
      <w:r w:rsidR="002E0FA0" w:rsidRPr="002E0FA0">
        <w:t xml:space="preserve"> </w:t>
      </w:r>
      <w:proofErr w:type="spellStart"/>
      <w:r w:rsidR="002E0FA0" w:rsidRPr="002E0FA0">
        <w:t>Named</w:t>
      </w:r>
      <w:proofErr w:type="spellEnd"/>
      <w:r w:rsidR="002E0FA0" w:rsidRPr="002E0FA0">
        <w:t xml:space="preserve"> </w:t>
      </w:r>
      <w:proofErr w:type="spellStart"/>
      <w:r w:rsidR="002E0FA0" w:rsidRPr="002E0FA0">
        <w:t>Entities</w:t>
      </w:r>
      <w:proofErr w:type="spellEnd"/>
      <w:r w:rsidR="002E0FA0" w:rsidRPr="002E0FA0">
        <w:t xml:space="preserve"> </w:t>
      </w:r>
      <w:proofErr w:type="spellStart"/>
      <w:r w:rsidR="002E0FA0" w:rsidRPr="002E0FA0">
        <w:t>Transport</w:t>
      </w:r>
      <w:proofErr w:type="spellEnd"/>
      <w:r w:rsidR="002E0FA0" w:rsidRPr="002E0FA0">
        <w:t xml:space="preserve"> </w:t>
      </w:r>
      <w:proofErr w:type="spellStart"/>
      <w:r w:rsidR="002E0FA0" w:rsidRPr="002E0FA0">
        <w:t>Layer</w:t>
      </w:r>
      <w:proofErr w:type="spellEnd"/>
      <w:r w:rsidR="002E0FA0" w:rsidRPr="002E0FA0">
        <w:t xml:space="preserve"> </w:t>
      </w:r>
      <w:proofErr w:type="spellStart"/>
      <w:r w:rsidR="002E0FA0" w:rsidRPr="002E0FA0">
        <w:t>Security</w:t>
      </w:r>
      <w:proofErr w:type="spellEnd"/>
      <w:r w:rsidR="002E0FA0" w:rsidRPr="002E0FA0">
        <w:t xml:space="preserve"> (TLS), STIX 1.2 (</w:t>
      </w:r>
      <w:proofErr w:type="spellStart"/>
      <w:r w:rsidR="002E0FA0" w:rsidRPr="002E0FA0">
        <w:t>Structured</w:t>
      </w:r>
      <w:proofErr w:type="spellEnd"/>
      <w:r w:rsidR="002E0FA0" w:rsidRPr="002E0FA0">
        <w:t xml:space="preserve"> </w:t>
      </w:r>
      <w:proofErr w:type="spellStart"/>
      <w:r w:rsidR="002E0FA0" w:rsidRPr="002E0FA0">
        <w:t>Threat</w:t>
      </w:r>
      <w:proofErr w:type="spellEnd"/>
      <w:r w:rsidR="002E0FA0" w:rsidRPr="002E0FA0">
        <w:t xml:space="preserve"> </w:t>
      </w:r>
      <w:proofErr w:type="spellStart"/>
      <w:r w:rsidR="002E0FA0" w:rsidRPr="002E0FA0">
        <w:t>Information</w:t>
      </w:r>
      <w:proofErr w:type="spellEnd"/>
      <w:r w:rsidR="002E0FA0" w:rsidRPr="002E0FA0">
        <w:t xml:space="preserve"> </w:t>
      </w:r>
      <w:proofErr w:type="spellStart"/>
      <w:r w:rsidR="002E0FA0" w:rsidRPr="002E0FA0">
        <w:t>Expression</w:t>
      </w:r>
      <w:proofErr w:type="spellEnd"/>
      <w:r w:rsidR="002E0FA0" w:rsidRPr="002E0FA0">
        <w:t xml:space="preserve">) </w:t>
      </w:r>
      <w:proofErr w:type="spellStart"/>
      <w:r w:rsidR="002E0FA0" w:rsidRPr="002E0FA0">
        <w:t>and</w:t>
      </w:r>
      <w:proofErr w:type="spellEnd"/>
      <w:r w:rsidR="002E0FA0" w:rsidRPr="002E0FA0">
        <w:t xml:space="preserve"> TAXII 1.1 (</w:t>
      </w:r>
      <w:proofErr w:type="spellStart"/>
      <w:r w:rsidR="002E0FA0" w:rsidRPr="002E0FA0">
        <w:t>Trusted</w:t>
      </w:r>
      <w:proofErr w:type="spellEnd"/>
      <w:r w:rsidR="002E0FA0" w:rsidRPr="002E0FA0">
        <w:t xml:space="preserve"> </w:t>
      </w:r>
      <w:proofErr w:type="spellStart"/>
      <w:r w:rsidR="002E0FA0" w:rsidRPr="002E0FA0">
        <w:t>Automated</w:t>
      </w:r>
      <w:proofErr w:type="spellEnd"/>
      <w:r w:rsidR="002E0FA0" w:rsidRPr="002E0FA0">
        <w:t xml:space="preserve"> Exchange </w:t>
      </w:r>
      <w:proofErr w:type="spellStart"/>
      <w:r w:rsidR="002E0FA0" w:rsidRPr="002E0FA0">
        <w:t>of</w:t>
      </w:r>
      <w:proofErr w:type="spellEnd"/>
      <w:r w:rsidR="002E0FA0" w:rsidRPr="002E0FA0">
        <w:t xml:space="preserve"> </w:t>
      </w:r>
      <w:proofErr w:type="spellStart"/>
      <w:r w:rsidR="002E0FA0" w:rsidRPr="002E0FA0">
        <w:t>Indicator</w:t>
      </w:r>
      <w:proofErr w:type="spellEnd"/>
      <w:r w:rsidR="002E0FA0" w:rsidRPr="002E0FA0">
        <w:t xml:space="preserve"> </w:t>
      </w:r>
      <w:proofErr w:type="spellStart"/>
      <w:r w:rsidR="002E0FA0" w:rsidRPr="002E0FA0">
        <w:t>Information</w:t>
      </w:r>
      <w:proofErr w:type="spellEnd"/>
      <w:r w:rsidR="002E0FA0" w:rsidRPr="002E0FA0">
        <w:t>)</w:t>
      </w:r>
      <w:r w:rsidRPr="00C83180">
        <w:t xml:space="preserve"> ще бъде прието на 11 декември.</w:t>
      </w:r>
    </w:p>
    <w:p w:rsidR="005B287D" w:rsidRDefault="00EC4333" w:rsidP="00C55AA5">
      <w:pPr>
        <w:spacing w:after="0"/>
        <w:ind w:firstLine="633"/>
      </w:pPr>
      <w:r w:rsidRPr="00C83180">
        <w:t xml:space="preserve">Тя също така информира </w:t>
      </w:r>
      <w:r w:rsidR="002E0FA0" w:rsidRPr="002E0FA0">
        <w:t>MSP</w:t>
      </w:r>
      <w:r w:rsidRPr="00C83180">
        <w:t>, че списъкът с идентифицир</w:t>
      </w:r>
      <w:r w:rsidR="002E0FA0">
        <w:t>аните спецификации се публикува</w:t>
      </w:r>
      <w:r w:rsidRPr="00C83180">
        <w:t xml:space="preserve"> в уебсайта </w:t>
      </w:r>
      <w:r w:rsidR="002E0FA0">
        <w:t xml:space="preserve">на </w:t>
      </w:r>
      <w:r w:rsidRPr="00C83180">
        <w:t>ГД „</w:t>
      </w:r>
      <w:r w:rsidR="002E0FA0" w:rsidRPr="002E0FA0">
        <w:t>GROW</w:t>
      </w:r>
      <w:r w:rsidR="002E0FA0">
        <w:t>“, Стандартизация</w:t>
      </w:r>
      <w:r w:rsidRPr="00C83180">
        <w:t xml:space="preserve"> в областта на ИКТ, </w:t>
      </w:r>
      <w:r w:rsidR="002E0FA0">
        <w:t xml:space="preserve">достъпна и от </w:t>
      </w:r>
      <w:r w:rsidR="002E0FA0" w:rsidRPr="00C83180">
        <w:t xml:space="preserve">уебсайта </w:t>
      </w:r>
      <w:r w:rsidR="002E0FA0">
        <w:t>за</w:t>
      </w:r>
      <w:r w:rsidR="002E0FA0" w:rsidRPr="00C83180">
        <w:t xml:space="preserve"> цифровия единен пазар </w:t>
      </w:r>
      <w:r w:rsidR="002E0FA0">
        <w:t>на</w:t>
      </w:r>
      <w:r w:rsidRPr="00C83180">
        <w:t xml:space="preserve"> ГД „</w:t>
      </w:r>
      <w:r w:rsidR="002E0FA0" w:rsidRPr="002E0FA0">
        <w:t>CONNECT</w:t>
      </w:r>
      <w:r w:rsidR="002E0FA0">
        <w:t>“</w:t>
      </w:r>
      <w:r w:rsidRPr="00C83180">
        <w:t>. Беше постигнато съгласие, че тоз</w:t>
      </w:r>
      <w:r w:rsidR="002E0FA0">
        <w:t>и списък следва да бъде свързан</w:t>
      </w:r>
      <w:r w:rsidRPr="00C83180">
        <w:t xml:space="preserve"> с начална страница на </w:t>
      </w:r>
      <w:r w:rsidR="002E0FA0" w:rsidRPr="002E0FA0">
        <w:t>MSP</w:t>
      </w:r>
      <w:r w:rsidRPr="00C83180">
        <w:t>.</w:t>
      </w:r>
    </w:p>
    <w:p w:rsidR="004B6361" w:rsidRPr="00C83180" w:rsidRDefault="004B6361" w:rsidP="00C83180">
      <w:pPr>
        <w:spacing w:after="0"/>
      </w:pPr>
    </w:p>
    <w:p w:rsidR="005B287D" w:rsidRPr="00C83180" w:rsidRDefault="002E0FA0" w:rsidP="00C83180">
      <w:pPr>
        <w:pStyle w:val="Heading2"/>
        <w:spacing w:before="0" w:after="0"/>
        <w:rPr>
          <w:sz w:val="26"/>
          <w:szCs w:val="26"/>
          <w:u w:val="single"/>
        </w:rPr>
      </w:pPr>
      <w:r>
        <w:rPr>
          <w:sz w:val="26"/>
          <w:szCs w:val="26"/>
          <w:u w:val="single"/>
        </w:rPr>
        <w:lastRenderedPageBreak/>
        <w:t>Представяне на пилотно</w:t>
      </w:r>
      <w:r w:rsidR="00EC4333" w:rsidRPr="00C83180">
        <w:rPr>
          <w:sz w:val="26"/>
          <w:szCs w:val="26"/>
          <w:u w:val="single"/>
        </w:rPr>
        <w:t xml:space="preserve"> пространство за </w:t>
      </w:r>
      <w:r>
        <w:rPr>
          <w:sz w:val="26"/>
          <w:szCs w:val="26"/>
          <w:u w:val="single"/>
        </w:rPr>
        <w:t>идентифицирани</w:t>
      </w:r>
      <w:r w:rsidR="00EC4333" w:rsidRPr="00C83180">
        <w:rPr>
          <w:sz w:val="26"/>
          <w:szCs w:val="26"/>
          <w:u w:val="single"/>
        </w:rPr>
        <w:t xml:space="preserve"> спецификации в </w:t>
      </w:r>
      <w:proofErr w:type="spellStart"/>
      <w:r w:rsidR="00EC4333" w:rsidRPr="00C83180">
        <w:rPr>
          <w:sz w:val="26"/>
          <w:szCs w:val="26"/>
          <w:u w:val="single"/>
        </w:rPr>
        <w:t>Joinup</w:t>
      </w:r>
      <w:proofErr w:type="spellEnd"/>
    </w:p>
    <w:p w:rsidR="005B287D" w:rsidRPr="00C83180" w:rsidRDefault="00EC4333" w:rsidP="00C55AA5">
      <w:pPr>
        <w:spacing w:after="0"/>
        <w:ind w:firstLine="480"/>
      </w:pPr>
      <w:proofErr w:type="spellStart"/>
      <w:r w:rsidRPr="00C83180">
        <w:rPr>
          <w:i/>
        </w:rPr>
        <w:t>Szabolcs</w:t>
      </w:r>
      <w:proofErr w:type="spellEnd"/>
      <w:r w:rsidRPr="00C83180">
        <w:rPr>
          <w:i/>
        </w:rPr>
        <w:t xml:space="preserve"> </w:t>
      </w:r>
      <w:proofErr w:type="spellStart"/>
      <w:r w:rsidRPr="00C83180">
        <w:rPr>
          <w:i/>
        </w:rPr>
        <w:t>Szekacs</w:t>
      </w:r>
      <w:proofErr w:type="spellEnd"/>
      <w:r w:rsidRPr="00C83180">
        <w:rPr>
          <w:i/>
        </w:rPr>
        <w:t xml:space="preserve"> (ГД „GROW</w:t>
      </w:r>
      <w:r w:rsidR="002E0FA0">
        <w:rPr>
          <w:i/>
        </w:rPr>
        <w:t xml:space="preserve">, </w:t>
      </w:r>
      <w:r w:rsidRPr="00C83180">
        <w:rPr>
          <w:i/>
        </w:rPr>
        <w:t xml:space="preserve">F3) </w:t>
      </w:r>
      <w:r w:rsidRPr="002E0FA0">
        <w:t>представи документ ИКТ/</w:t>
      </w:r>
      <w:r w:rsidR="002E0FA0" w:rsidRPr="002E0FA0">
        <w:t xml:space="preserve"> MSP</w:t>
      </w:r>
      <w:r w:rsidRPr="002E0FA0">
        <w:t xml:space="preserve"> (2017)566, в ко</w:t>
      </w:r>
      <w:r w:rsidR="002E0FA0">
        <w:t>й</w:t>
      </w:r>
      <w:r w:rsidRPr="002E0FA0">
        <w:t xml:space="preserve">то се обяснява как </w:t>
      </w:r>
      <w:r w:rsidR="002E0FA0">
        <w:t>идентифицираните</w:t>
      </w:r>
      <w:r w:rsidRPr="002E0FA0">
        <w:t xml:space="preserve"> технически спецификации ще се публикуват и ще се разпространяват чрез </w:t>
      </w:r>
      <w:r w:rsidR="00463FF6" w:rsidRPr="002E0FA0">
        <w:t>уебсайт</w:t>
      </w:r>
      <w:r w:rsidR="00463FF6">
        <w:t>а</w:t>
      </w:r>
      <w:r w:rsidR="00463FF6" w:rsidRPr="002E0FA0">
        <w:t xml:space="preserve"> </w:t>
      </w:r>
      <w:r w:rsidR="00463FF6">
        <w:t>на</w:t>
      </w:r>
      <w:r w:rsidRPr="002E0FA0">
        <w:t xml:space="preserve"> </w:t>
      </w:r>
      <w:proofErr w:type="spellStart"/>
      <w:r w:rsidRPr="002E0FA0">
        <w:t>Joinup</w:t>
      </w:r>
      <w:proofErr w:type="spellEnd"/>
      <w:r w:rsidRPr="002E0FA0">
        <w:t xml:space="preserve">, за да </w:t>
      </w:r>
      <w:r w:rsidR="00463FF6">
        <w:t xml:space="preserve">си </w:t>
      </w:r>
      <w:r w:rsidRPr="002E0FA0">
        <w:t>повиши тяхната видимост.</w:t>
      </w:r>
      <w:hyperlink r:id="rId22">
        <w:r w:rsidRPr="002E0FA0">
          <w:t xml:space="preserve"> По време на обсъждането бяха споменати следните въпроси: заглавието „стандарти за обществени поръчки“ може да доведе до объркване: те могат да бъдат използвани в процеса на възлагане на обществени поръчки, но техният обхват може да излиза извън него. </w:t>
        </w:r>
        <w:proofErr w:type="spellStart"/>
        <w:r w:rsidR="00463FF6">
          <w:t>Б</w:t>
        </w:r>
        <w:r w:rsidR="00463FF6" w:rsidRPr="00463FF6">
          <w:t>и</w:t>
        </w:r>
        <w:proofErr w:type="spellEnd"/>
        <w:r w:rsidR="00463FF6" w:rsidRPr="00463FF6">
          <w:t xml:space="preserve"> могло да се разгледа </w:t>
        </w:r>
        <w:r w:rsidR="00463FF6">
          <w:t>и друго наименование</w:t>
        </w:r>
        <w:r w:rsidRPr="002E0FA0">
          <w:t xml:space="preserve">, </w:t>
        </w:r>
        <w:r w:rsidR="00463FF6">
          <w:t xml:space="preserve">като </w:t>
        </w:r>
        <w:r w:rsidRPr="002E0FA0">
          <w:t xml:space="preserve">предложения от </w:t>
        </w:r>
        <w:r w:rsidR="00463FF6" w:rsidRPr="00463FF6">
          <w:t>MSP</w:t>
        </w:r>
        <w:r w:rsidRPr="002E0FA0">
          <w:t xml:space="preserve"> са добре дошли; във връзка с авторското право, уебсайтът включва само метаданните за спецификациите, като име, описание, отговорност, лицензиране и т.н., но не и самата спецификация; </w:t>
        </w:r>
        <w:r w:rsidR="00463FF6" w:rsidRPr="00463FF6">
          <w:t>беше счетено за целесъобразн</w:t>
        </w:r>
        <w:r w:rsidR="00463FF6">
          <w:t>а</w:t>
        </w:r>
        <w:r w:rsidR="00463FF6" w:rsidRPr="00463FF6">
          <w:t xml:space="preserve"> </w:t>
        </w:r>
        <w:r w:rsidRPr="002E0FA0">
          <w:t>стъпката, включително първо</w:t>
        </w:r>
        <w:r w:rsidR="00463FF6">
          <w:t>то</w:t>
        </w:r>
        <w:r w:rsidRPr="002E0FA0">
          <w:t xml:space="preserve"> позоваване на спецификациите и след това разгле</w:t>
        </w:r>
        <w:r w:rsidR="00463FF6">
          <w:t>ж</w:t>
        </w:r>
        <w:r w:rsidRPr="002E0FA0">
          <w:t>да</w:t>
        </w:r>
        <w:r w:rsidR="00463FF6">
          <w:t>не на</w:t>
        </w:r>
        <w:r w:rsidRPr="002E0FA0">
          <w:t xml:space="preserve"> поддръжка</w:t>
        </w:r>
        <w:r w:rsidR="00463FF6">
          <w:t>та</w:t>
        </w:r>
        <w:r w:rsidRPr="002E0FA0">
          <w:t xml:space="preserve">; беше предложено да </w:t>
        </w:r>
        <w:r w:rsidR="00463FF6">
          <w:t xml:space="preserve">има </w:t>
        </w:r>
        <w:r w:rsidRPr="002E0FA0">
          <w:t>връзки към докладите за оценка на определени технически спецификации, тъй като те съдържат полезна информация за възложителите на обществени поръчки.</w:t>
        </w:r>
      </w:hyperlink>
    </w:p>
    <w:p w:rsidR="005B287D" w:rsidRPr="00C83180" w:rsidRDefault="005B287D" w:rsidP="00C83180">
      <w:pPr>
        <w:spacing w:after="0"/>
      </w:pPr>
    </w:p>
    <w:p w:rsidR="005B287D" w:rsidRPr="00C83180" w:rsidRDefault="00463FF6" w:rsidP="00C83180">
      <w:pPr>
        <w:pStyle w:val="Heading1"/>
        <w:numPr>
          <w:ilvl w:val="0"/>
          <w:numId w:val="0"/>
        </w:numPr>
        <w:pBdr>
          <w:bottom w:val="single" w:sz="4" w:space="1" w:color="00000A"/>
        </w:pBdr>
        <w:spacing w:before="0" w:after="0"/>
        <w:ind w:left="480" w:hanging="480"/>
      </w:pPr>
      <w:r w:rsidRPr="00463FF6">
        <w:t>MSP</w:t>
      </w:r>
      <w:r w:rsidR="00EC4333" w:rsidRPr="00C83180">
        <w:t xml:space="preserve"> въпроси и инициативи</w:t>
      </w:r>
      <w:r w:rsidRPr="00463FF6">
        <w:t xml:space="preserve"> </w:t>
      </w:r>
      <w:r>
        <w:t xml:space="preserve">на </w:t>
      </w:r>
      <w:r w:rsidRPr="00C83180">
        <w:t>държавите</w:t>
      </w:r>
      <w:r>
        <w:t xml:space="preserve"> </w:t>
      </w:r>
      <w:proofErr w:type="spellStart"/>
      <w:r>
        <w:t>мленки</w:t>
      </w:r>
      <w:proofErr w:type="spellEnd"/>
    </w:p>
    <w:p w:rsidR="005B287D" w:rsidRPr="00C83180" w:rsidRDefault="00EC4333" w:rsidP="00C55AA5">
      <w:pPr>
        <w:pStyle w:val="Heading3"/>
        <w:numPr>
          <w:ilvl w:val="0"/>
          <w:numId w:val="2"/>
        </w:numPr>
        <w:spacing w:before="0" w:after="0"/>
        <w:ind w:left="993"/>
      </w:pPr>
      <w:r w:rsidRPr="00C83180">
        <w:t>Пре</w:t>
      </w:r>
      <w:r w:rsidR="00463FF6">
        <w:t>зентация</w:t>
      </w:r>
      <w:r w:rsidRPr="00C83180">
        <w:t xml:space="preserve"> от Европейската платформа на възрастните хора (AGE</w:t>
      </w:r>
      <w:r w:rsidR="00463FF6">
        <w:t>)</w:t>
      </w:r>
      <w:r w:rsidRPr="00C83180">
        <w:t xml:space="preserve">: </w:t>
      </w:r>
      <w:r w:rsidR="00463FF6" w:rsidRPr="00463FF6">
        <w:t xml:space="preserve">PROGRESSIVE </w:t>
      </w:r>
      <w:proofErr w:type="spellStart"/>
      <w:r w:rsidR="00463FF6" w:rsidRPr="00463FF6">
        <w:t>project</w:t>
      </w:r>
      <w:proofErr w:type="spellEnd"/>
    </w:p>
    <w:p w:rsidR="005B287D" w:rsidRPr="00C83180" w:rsidRDefault="00EC4333" w:rsidP="00C55AA5">
      <w:pPr>
        <w:spacing w:after="0"/>
        <w:ind w:firstLine="633"/>
      </w:pPr>
      <w:proofErr w:type="spellStart"/>
      <w:r w:rsidRPr="00C83180">
        <w:rPr>
          <w:i/>
        </w:rPr>
        <w:t>Estelle</w:t>
      </w:r>
      <w:proofErr w:type="spellEnd"/>
      <w:r w:rsidRPr="00C83180">
        <w:rPr>
          <w:i/>
        </w:rPr>
        <w:t xml:space="preserve"> HUCHET (</w:t>
      </w:r>
      <w:proofErr w:type="spellStart"/>
      <w:r w:rsidRPr="00C83180">
        <w:rPr>
          <w:i/>
        </w:rPr>
        <w:t>Age</w:t>
      </w:r>
      <w:proofErr w:type="spellEnd"/>
      <w:r w:rsidRPr="00C83180">
        <w:rPr>
          <w:i/>
        </w:rPr>
        <w:t xml:space="preserve"> </w:t>
      </w:r>
      <w:proofErr w:type="spellStart"/>
      <w:r w:rsidRPr="00C83180">
        <w:rPr>
          <w:i/>
        </w:rPr>
        <w:t>Platform</w:t>
      </w:r>
      <w:proofErr w:type="spellEnd"/>
      <w:r w:rsidRPr="00C83180">
        <w:rPr>
          <w:i/>
        </w:rPr>
        <w:t xml:space="preserve"> </w:t>
      </w:r>
      <w:proofErr w:type="spellStart"/>
      <w:r w:rsidRPr="00C83180">
        <w:rPr>
          <w:i/>
        </w:rPr>
        <w:t>Europe</w:t>
      </w:r>
      <w:proofErr w:type="spellEnd"/>
      <w:r w:rsidRPr="00C83180">
        <w:rPr>
          <w:i/>
        </w:rPr>
        <w:t xml:space="preserve">) </w:t>
      </w:r>
      <w:r w:rsidRPr="00463FF6">
        <w:t xml:space="preserve">представи </w:t>
      </w:r>
      <w:r w:rsidR="00463FF6" w:rsidRPr="00463FF6">
        <w:t xml:space="preserve">проекта </w:t>
      </w:r>
      <w:r w:rsidRPr="00463FF6">
        <w:t xml:space="preserve">PROGRESSIVE, който е съсредоточен върху стандартизацията на ИКТ за активен живот на възрастните хора и остаряване в добро здраве, </w:t>
      </w:r>
      <w:r w:rsidR="00463FF6">
        <w:t>и</w:t>
      </w:r>
      <w:r w:rsidRPr="00463FF6">
        <w:t xml:space="preserve"> ще продължи една година (вж. документ ИКТ/</w:t>
      </w:r>
      <w:r w:rsidR="00463FF6" w:rsidRPr="00463FF6">
        <w:t xml:space="preserve"> MSP</w:t>
      </w:r>
      <w:r w:rsidRPr="00463FF6">
        <w:t xml:space="preserve"> (2017)568).</w:t>
      </w:r>
      <w:hyperlink r:id="rId23">
        <w:r w:rsidRPr="00463FF6">
          <w:t xml:space="preserve"> </w:t>
        </w:r>
        <w:r w:rsidR="00463FF6">
          <w:t>Участниците в п</w:t>
        </w:r>
        <w:r w:rsidRPr="00463FF6">
          <w:t>роект</w:t>
        </w:r>
        <w:r w:rsidR="00463FF6">
          <w:t>а</w:t>
        </w:r>
        <w:r w:rsidRPr="00463FF6">
          <w:t xml:space="preserve"> желаят да си сътрудничат с </w:t>
        </w:r>
        <w:r w:rsidR="00463FF6" w:rsidRPr="00463FF6">
          <w:t>MSP</w:t>
        </w:r>
        <w:r w:rsidRPr="00463FF6">
          <w:t xml:space="preserve"> по следните въпроси: (1) анализиране на съществуващите стандарти и определ</w:t>
        </w:r>
        <w:r w:rsidR="00463FF6">
          <w:t>яне на</w:t>
        </w:r>
        <w:r w:rsidRPr="00463FF6">
          <w:t xml:space="preserve"> съответните случаи на употреба</w:t>
        </w:r>
        <w:r w:rsidR="00463FF6">
          <w:t>,</w:t>
        </w:r>
        <w:r w:rsidRPr="00463FF6">
          <w:t xml:space="preserve"> на хармонизацията и пропуски</w:t>
        </w:r>
        <w:r w:rsidR="00463FF6">
          <w:t>те</w:t>
        </w:r>
        <w:r w:rsidRPr="00463FF6">
          <w:t xml:space="preserve">; (2) да определят насоки за добри практики за ИКТ за активно остаряване в добро здраве (интелигентни домове, транспорт, достъп до услуги и т.н.); (3) да допринесе за промяна на нагласите в стандартизацията на активното участие на гражданите (по-възрастните); (4) </w:t>
        </w:r>
        <w:r w:rsidR="00463FF6">
          <w:t xml:space="preserve">да </w:t>
        </w:r>
        <w:r w:rsidRPr="00463FF6">
          <w:t>участват в нов координационен орган по стандартизация на ИКТ за активен живот на възрастните хора и остаряване в добро здраве (AHA).</w:t>
        </w:r>
      </w:hyperlink>
    </w:p>
    <w:p w:rsidR="005B287D" w:rsidRDefault="00EC4333" w:rsidP="00C55AA5">
      <w:pPr>
        <w:spacing w:after="0"/>
        <w:ind w:firstLine="633"/>
      </w:pPr>
      <w:r w:rsidRPr="00C83180">
        <w:t>Приветства</w:t>
      </w:r>
      <w:r w:rsidR="00463FF6">
        <w:t>н беше</w:t>
      </w:r>
      <w:r w:rsidRPr="00C83180">
        <w:t xml:space="preserve"> подхода </w:t>
      </w:r>
      <w:r w:rsidR="00463FF6">
        <w:t>н</w:t>
      </w:r>
      <w:r w:rsidRPr="00C83180">
        <w:t xml:space="preserve">а </w:t>
      </w:r>
      <w:r w:rsidR="00463FF6" w:rsidRPr="00463FF6">
        <w:t xml:space="preserve">MSP </w:t>
      </w:r>
      <w:r w:rsidRPr="00C83180">
        <w:t xml:space="preserve">и </w:t>
      </w:r>
      <w:r w:rsidR="00463FF6">
        <w:t xml:space="preserve">беше </w:t>
      </w:r>
      <w:r w:rsidRPr="00C83180">
        <w:t>предлож</w:t>
      </w:r>
      <w:r w:rsidR="00463FF6">
        <w:t>ено</w:t>
      </w:r>
      <w:r w:rsidRPr="00C83180">
        <w:t xml:space="preserve"> да се обмисли използването на платформа</w:t>
      </w:r>
      <w:r w:rsidR="00463FF6">
        <w:t xml:space="preserve">та </w:t>
      </w:r>
      <w:r w:rsidR="00463FF6" w:rsidRPr="00463FF6">
        <w:t>STAIR</w:t>
      </w:r>
      <w:r w:rsidRPr="00C83180">
        <w:t xml:space="preserve"> за координация, по-специално чрез изследователски проекти в тази област, които да определят изисквания за стандартизация. Не е ясно дали </w:t>
      </w:r>
      <w:r w:rsidR="00463FF6" w:rsidRPr="00C83180">
        <w:t xml:space="preserve">като резултат от проекта могат да бъдат определени </w:t>
      </w:r>
      <w:r w:rsidRPr="00C83180">
        <w:t xml:space="preserve">приоритети. Този подход включва и застаряващите работници, </w:t>
      </w:r>
      <w:r w:rsidR="00463FF6">
        <w:t>като</w:t>
      </w:r>
      <w:r w:rsidRPr="00C83180">
        <w:t xml:space="preserve"> активен принос от Европейската конфедераци</w:t>
      </w:r>
      <w:r w:rsidR="00463FF6">
        <w:t>я на профсъюзите (ETUC), би бил</w:t>
      </w:r>
      <w:r w:rsidRPr="00C83180">
        <w:t xml:space="preserve"> добре дош</w:t>
      </w:r>
      <w:r w:rsidR="00463FF6">
        <w:t>ъл</w:t>
      </w:r>
      <w:r w:rsidRPr="00C83180">
        <w:t>.</w:t>
      </w:r>
    </w:p>
    <w:p w:rsidR="004B6361" w:rsidRPr="00C83180" w:rsidRDefault="004B6361" w:rsidP="00C83180">
      <w:pPr>
        <w:spacing w:after="0"/>
      </w:pPr>
    </w:p>
    <w:p w:rsidR="005B287D" w:rsidRPr="00C83180" w:rsidRDefault="00EC4333" w:rsidP="00C83180">
      <w:pPr>
        <w:pStyle w:val="Heading3"/>
        <w:numPr>
          <w:ilvl w:val="0"/>
          <w:numId w:val="2"/>
        </w:numPr>
        <w:spacing w:before="0" w:after="0"/>
        <w:ind w:left="993"/>
      </w:pPr>
      <w:r w:rsidRPr="00C83180">
        <w:t>Пре</w:t>
      </w:r>
      <w:r w:rsidR="00463FF6">
        <w:t>зентация</w:t>
      </w:r>
      <w:r w:rsidRPr="00C83180">
        <w:t xml:space="preserve"> от Европейската платформа на възрастните хора (AGE</w:t>
      </w:r>
      <w:r w:rsidR="00463FF6">
        <w:t>)</w:t>
      </w:r>
      <w:r w:rsidRPr="00C83180">
        <w:t>: Проект Prosperity4All</w:t>
      </w:r>
    </w:p>
    <w:p w:rsidR="005B287D" w:rsidRDefault="00463FF6" w:rsidP="00C55AA5">
      <w:pPr>
        <w:spacing w:after="0"/>
        <w:ind w:firstLine="633"/>
      </w:pPr>
      <w:r>
        <w:t xml:space="preserve">Г-жа </w:t>
      </w:r>
      <w:proofErr w:type="spellStart"/>
      <w:r>
        <w:t>Huchet</w:t>
      </w:r>
      <w:proofErr w:type="spellEnd"/>
      <w:r>
        <w:t xml:space="preserve"> представи също и резултата от проект</w:t>
      </w:r>
      <w:r w:rsidR="00E61A62">
        <w:t>а</w:t>
      </w:r>
      <w:r w:rsidR="00EC4333" w:rsidRPr="00C83180">
        <w:t xml:space="preserve"> Prosperity4All </w:t>
      </w:r>
      <w:r w:rsidR="00E61A62">
        <w:t xml:space="preserve">с </w:t>
      </w:r>
      <w:proofErr w:type="spellStart"/>
      <w:r w:rsidR="00E61A62">
        <w:t>авто</w:t>
      </w:r>
      <w:proofErr w:type="spellEnd"/>
      <w:r w:rsidR="00E61A62">
        <w:t>-персонализация</w:t>
      </w:r>
      <w:r w:rsidR="00EC4333" w:rsidRPr="00C83180">
        <w:t xml:space="preserve"> на ИКТ въз основа на потребителските нужди и предпочитания (документ ИКТ/</w:t>
      </w:r>
      <w:r w:rsidR="00E61A62" w:rsidRPr="00E61A62">
        <w:t xml:space="preserve"> MSP </w:t>
      </w:r>
      <w:r w:rsidR="00EC4333" w:rsidRPr="00C83180">
        <w:t>(2017)568).</w:t>
      </w:r>
      <w:hyperlink r:id="rId24" w:history="1">
        <w:r w:rsidR="00E61A62" w:rsidRPr="00233F2D">
          <w:rPr>
            <w:rStyle w:val="Hyperlink"/>
          </w:rPr>
          <w:t xml:space="preserve"> Презентацията включваше и кратко видео от Gottfried Zimmerman (професор по Взаимодействие мобилните потребители от Щутгартския университет за медии), в което са представени различни средства/инструменти, предлагани от DeveloperSpace (http://ds.gpii.net/), за да изпълняват стандартите и регламентите, свързани с достъпността (уебсайт).</w:t>
        </w:r>
      </w:hyperlink>
    </w:p>
    <w:p w:rsidR="004B6361" w:rsidRPr="00C83180" w:rsidRDefault="004B6361" w:rsidP="00C83180">
      <w:pPr>
        <w:spacing w:after="0"/>
        <w:rPr>
          <w:i/>
        </w:rPr>
      </w:pPr>
    </w:p>
    <w:p w:rsidR="005B287D" w:rsidRPr="00C83180" w:rsidRDefault="00E61A62" w:rsidP="00C83180">
      <w:pPr>
        <w:pStyle w:val="Heading2"/>
        <w:spacing w:before="0" w:after="0"/>
        <w:rPr>
          <w:sz w:val="26"/>
          <w:szCs w:val="26"/>
          <w:u w:val="single"/>
        </w:rPr>
      </w:pPr>
      <w:r>
        <w:rPr>
          <w:sz w:val="26"/>
          <w:szCs w:val="26"/>
          <w:u w:val="single"/>
        </w:rPr>
        <w:t>В</w:t>
      </w:r>
      <w:r w:rsidRPr="00C83180">
        <w:rPr>
          <w:sz w:val="26"/>
          <w:szCs w:val="26"/>
          <w:u w:val="single"/>
        </w:rPr>
        <w:t>ъпроси</w:t>
      </w:r>
      <w:r w:rsidRPr="00C83180">
        <w:rPr>
          <w:sz w:val="26"/>
          <w:szCs w:val="26"/>
          <w:u w:val="single"/>
        </w:rPr>
        <w:t xml:space="preserve"> </w:t>
      </w:r>
      <w:r>
        <w:rPr>
          <w:sz w:val="26"/>
          <w:szCs w:val="26"/>
          <w:u w:val="single"/>
        </w:rPr>
        <w:t xml:space="preserve">на </w:t>
      </w:r>
      <w:r w:rsidR="00EC4333" w:rsidRPr="00C83180">
        <w:rPr>
          <w:sz w:val="26"/>
          <w:szCs w:val="26"/>
          <w:u w:val="single"/>
        </w:rPr>
        <w:t xml:space="preserve">Комисията </w:t>
      </w:r>
    </w:p>
    <w:p w:rsidR="005B287D" w:rsidRPr="00C83180" w:rsidRDefault="00EC4333" w:rsidP="00C83180">
      <w:pPr>
        <w:pStyle w:val="Heading3"/>
        <w:numPr>
          <w:ilvl w:val="0"/>
          <w:numId w:val="2"/>
        </w:numPr>
        <w:spacing w:before="0" w:after="0"/>
        <w:ind w:left="993"/>
      </w:pPr>
      <w:r w:rsidRPr="00C83180">
        <w:t>Представяне на проекта StandICT.EU</w:t>
      </w:r>
    </w:p>
    <w:p w:rsidR="005B287D" w:rsidRPr="00E61A62" w:rsidRDefault="00E61A62" w:rsidP="00C55AA5">
      <w:pPr>
        <w:spacing w:after="0"/>
        <w:ind w:firstLine="633"/>
      </w:pPr>
      <w:proofErr w:type="spellStart"/>
      <w:r>
        <w:rPr>
          <w:i/>
        </w:rPr>
        <w:t>Timea</w:t>
      </w:r>
      <w:proofErr w:type="spellEnd"/>
      <w:r>
        <w:rPr>
          <w:i/>
        </w:rPr>
        <w:t xml:space="preserve"> </w:t>
      </w:r>
      <w:proofErr w:type="spellStart"/>
      <w:r>
        <w:rPr>
          <w:i/>
        </w:rPr>
        <w:t>Biro</w:t>
      </w:r>
      <w:proofErr w:type="spellEnd"/>
      <w:r>
        <w:rPr>
          <w:i/>
        </w:rPr>
        <w:t xml:space="preserve"> (</w:t>
      </w:r>
      <w:proofErr w:type="spellStart"/>
      <w:r>
        <w:rPr>
          <w:i/>
        </w:rPr>
        <w:t>TrustIT</w:t>
      </w:r>
      <w:proofErr w:type="spellEnd"/>
      <w:r>
        <w:rPr>
          <w:i/>
        </w:rPr>
        <w:t>)</w:t>
      </w:r>
      <w:r w:rsidRPr="00E61A62">
        <w:rPr>
          <w:i/>
        </w:rPr>
        <w:t xml:space="preserve">, </w:t>
      </w:r>
      <w:r w:rsidR="00EC4333" w:rsidRPr="00C83180">
        <w:rPr>
          <w:i/>
        </w:rPr>
        <w:t xml:space="preserve">координатор на проекта </w:t>
      </w:r>
      <w:r w:rsidRPr="00E61A62">
        <w:rPr>
          <w:i/>
        </w:rPr>
        <w:t>StandICT.EU</w:t>
      </w:r>
      <w:r>
        <w:rPr>
          <w:i/>
        </w:rPr>
        <w:t xml:space="preserve">, </w:t>
      </w:r>
      <w:r w:rsidRPr="00E61A62">
        <w:t>представи</w:t>
      </w:r>
      <w:r w:rsidR="00EC4333" w:rsidRPr="00E61A62">
        <w:t xml:space="preserve"> </w:t>
      </w:r>
      <w:r w:rsidRPr="00E61A62">
        <w:t xml:space="preserve">(документ 559) на ИКТ/MSP(2017) </w:t>
      </w:r>
      <w:r>
        <w:t xml:space="preserve">за </w:t>
      </w:r>
      <w:r w:rsidRPr="00E61A62">
        <w:t>дейност</w:t>
      </w:r>
      <w:r>
        <w:t>,</w:t>
      </w:r>
      <w:r w:rsidRPr="00E61A62">
        <w:t xml:space="preserve"> </w:t>
      </w:r>
      <w:r>
        <w:t>финансиран</w:t>
      </w:r>
      <w:r>
        <w:t>а,</w:t>
      </w:r>
      <w:r w:rsidRPr="00E61A62">
        <w:t xml:space="preserve"> координира</w:t>
      </w:r>
      <w:r>
        <w:t>на</w:t>
      </w:r>
      <w:r w:rsidRPr="00E61A62">
        <w:t xml:space="preserve"> и подкреп</w:t>
      </w:r>
      <w:r>
        <w:t>ена</w:t>
      </w:r>
      <w:r w:rsidRPr="00E61A62">
        <w:t xml:space="preserve"> </w:t>
      </w:r>
      <w:r>
        <w:t xml:space="preserve"> от </w:t>
      </w:r>
      <w:r w:rsidRPr="00E61A62">
        <w:t>„Хоризонт 2020“</w:t>
      </w:r>
      <w:r>
        <w:t>, и</w:t>
      </w:r>
      <w:r w:rsidR="00EC4333" w:rsidRPr="00E61A62">
        <w:t xml:space="preserve"> </w:t>
      </w:r>
      <w:r w:rsidRPr="00E61A62">
        <w:t>проект</w:t>
      </w:r>
      <w:r>
        <w:t>а</w:t>
      </w:r>
      <w:r w:rsidRPr="00E61A62">
        <w:t xml:space="preserve"> </w:t>
      </w:r>
      <w:r w:rsidR="00EC4333" w:rsidRPr="00E61A62">
        <w:t>StandICT.eu, който има за цел да засили присъствието на Европа в международната стандартизация в областта на ИКТ чрез създаване на обсерватория и механизъм за финансиране, за да се подкрепи участието на експерти за защита на европейските експерти.</w:t>
      </w:r>
      <w:hyperlink r:id="rId25">
        <w:r w:rsidR="00EC4333" w:rsidRPr="00E61A62">
          <w:t xml:space="preserve"> Проектът ще започне на 1/1/2018.</w:t>
        </w:r>
      </w:hyperlink>
    </w:p>
    <w:p w:rsidR="005B287D" w:rsidRPr="00C83180" w:rsidRDefault="00EC4333" w:rsidP="00C83180">
      <w:pPr>
        <w:spacing w:after="0"/>
      </w:pPr>
      <w:r w:rsidRPr="00C83180">
        <w:lastRenderedPageBreak/>
        <w:t xml:space="preserve">В последвалите разисквания </w:t>
      </w:r>
      <w:r w:rsidR="00E61A62">
        <w:t>концепцията</w:t>
      </w:r>
      <w:r w:rsidRPr="00C83180">
        <w:t xml:space="preserve"> беше като цяло приветства</w:t>
      </w:r>
      <w:r w:rsidR="00E61A62">
        <w:t>на</w:t>
      </w:r>
      <w:r w:rsidRPr="00C83180">
        <w:t xml:space="preserve"> и се счита за полезн</w:t>
      </w:r>
      <w:r w:rsidR="00E61A62">
        <w:t>о</w:t>
      </w:r>
      <w:r w:rsidRPr="00C83180">
        <w:t xml:space="preserve"> в някои случаи да се осигур</w:t>
      </w:r>
      <w:r w:rsidR="00E61A62">
        <w:t>ят</w:t>
      </w:r>
      <w:r w:rsidRPr="00C83180">
        <w:t xml:space="preserve"> изискванията на ЕС (напр., </w:t>
      </w:r>
      <w:r w:rsidR="00E61A62" w:rsidRPr="00E61A62">
        <w:t>GDPR</w:t>
      </w:r>
      <w:r w:rsidRPr="00C83180">
        <w:t xml:space="preserve">) в някои технически комисии/работни групи. Въпреки това, няколко членове посочиха, че е необходимо </w:t>
      </w:r>
      <w:r w:rsidR="00E61A62">
        <w:t xml:space="preserve">в </w:t>
      </w:r>
      <w:r w:rsidRPr="00C83180">
        <w:t>проект</w:t>
      </w:r>
      <w:r w:rsidR="00E61A62">
        <w:t>а</w:t>
      </w:r>
      <w:r w:rsidRPr="00C83180">
        <w:t xml:space="preserve"> да се определят добре някои въпроси, като критериите за оценка, как да се гарантира</w:t>
      </w:r>
      <w:r w:rsidR="00E61A62">
        <w:t>т</w:t>
      </w:r>
      <w:r w:rsidR="00E61A62" w:rsidRPr="00E61A62">
        <w:t xml:space="preserve"> </w:t>
      </w:r>
      <w:r w:rsidR="00E61A62" w:rsidRPr="00C83180">
        <w:t>интереси</w:t>
      </w:r>
      <w:r w:rsidR="00E61A62">
        <w:t>те</w:t>
      </w:r>
      <w:r w:rsidRPr="00C83180">
        <w:t xml:space="preserve"> </w:t>
      </w:r>
      <w:r w:rsidR="00E61A62" w:rsidRPr="00C83180">
        <w:t xml:space="preserve">на </w:t>
      </w:r>
      <w:r w:rsidRPr="00C83180">
        <w:t>европейските експерти, финансиран</w:t>
      </w:r>
      <w:r w:rsidR="00E61A62">
        <w:t>о</w:t>
      </w:r>
      <w:r w:rsidRPr="00C83180">
        <w:t xml:space="preserve"> от проекта, какво представлява Европейския експерт, ко</w:t>
      </w:r>
      <w:r w:rsidR="00E61A62">
        <w:t>и</w:t>
      </w:r>
      <w:r w:rsidRPr="00C83180">
        <w:t xml:space="preserve"> межд</w:t>
      </w:r>
      <w:r w:rsidR="00E61A62">
        <w:t>ународни</w:t>
      </w:r>
      <w:r w:rsidRPr="00C83180">
        <w:t xml:space="preserve"> </w:t>
      </w:r>
      <w:r w:rsidR="00E61A62">
        <w:t>стандартизационни организации</w:t>
      </w:r>
      <w:r w:rsidRPr="00C83180">
        <w:t xml:space="preserve"> са целеви или как да се разгле</w:t>
      </w:r>
      <w:r w:rsidR="004A76FA">
        <w:t>ж</w:t>
      </w:r>
      <w:r w:rsidRPr="00C83180">
        <w:t xml:space="preserve">дат различни членства (национална делегация, членовете, които плащат вноски). </w:t>
      </w:r>
      <w:r w:rsidR="004A76FA">
        <w:t>В</w:t>
      </w:r>
      <w:r w:rsidR="004A76FA" w:rsidRPr="00C83180">
        <w:t xml:space="preserve"> групата</w:t>
      </w:r>
      <w:r w:rsidR="004A76FA">
        <w:t xml:space="preserve"> с</w:t>
      </w:r>
      <w:r w:rsidR="004A76FA" w:rsidRPr="00C83180">
        <w:t xml:space="preserve">ледва </w:t>
      </w:r>
      <w:r w:rsidR="004A76FA">
        <w:t>се включат</w:t>
      </w:r>
      <w:r w:rsidR="004A76FA" w:rsidRPr="00C83180">
        <w:t xml:space="preserve"> </w:t>
      </w:r>
      <w:r w:rsidR="004A76FA">
        <w:t xml:space="preserve">и </w:t>
      </w:r>
      <w:r w:rsidRPr="00C83180">
        <w:t xml:space="preserve">експерти </w:t>
      </w:r>
      <w:r w:rsidR="004A76FA">
        <w:t xml:space="preserve">от </w:t>
      </w:r>
      <w:r w:rsidR="004A76FA" w:rsidRPr="004A76FA">
        <w:t>MSP</w:t>
      </w:r>
      <w:r w:rsidRPr="00C83180">
        <w:t>. Текущо актуализираният план би мог</w:t>
      </w:r>
      <w:r w:rsidR="004A76FA">
        <w:t>ъл</w:t>
      </w:r>
      <w:r w:rsidRPr="00C83180">
        <w:t xml:space="preserve"> да даде указания какви биха били подходящи теми за европейско участие.</w:t>
      </w:r>
    </w:p>
    <w:p w:rsidR="005B287D" w:rsidRPr="00C83180" w:rsidRDefault="00EC4333" w:rsidP="00C55AA5">
      <w:pPr>
        <w:spacing w:after="0"/>
        <w:ind w:firstLine="720"/>
      </w:pPr>
      <w:r w:rsidRPr="00C83180">
        <w:t xml:space="preserve">Г-н </w:t>
      </w:r>
      <w:proofErr w:type="spellStart"/>
      <w:r w:rsidRPr="00C83180">
        <w:t>Biro</w:t>
      </w:r>
      <w:proofErr w:type="spellEnd"/>
      <w:r w:rsidRPr="00C83180">
        <w:t xml:space="preserve"> и ГД „Съобщителни мрежи, съдържание и технологии“ потвър</w:t>
      </w:r>
      <w:r w:rsidR="004A76FA">
        <w:t>диха</w:t>
      </w:r>
      <w:r w:rsidRPr="00C83180">
        <w:t xml:space="preserve">, че това действително са </w:t>
      </w:r>
      <w:r w:rsidR="004A76FA">
        <w:t xml:space="preserve">значими </w:t>
      </w:r>
      <w:r w:rsidRPr="00C83180">
        <w:t xml:space="preserve">въпроси и е нещо, което </w:t>
      </w:r>
      <w:r w:rsidR="004A76FA" w:rsidRPr="00C83180">
        <w:t>се обмисля</w:t>
      </w:r>
      <w:r w:rsidR="004A76FA" w:rsidRPr="00C83180">
        <w:t xml:space="preserve"> </w:t>
      </w:r>
      <w:r w:rsidR="004A76FA">
        <w:t xml:space="preserve">в </w:t>
      </w:r>
      <w:r w:rsidRPr="00C83180">
        <w:t>проект</w:t>
      </w:r>
      <w:r w:rsidR="004A76FA">
        <w:t>а</w:t>
      </w:r>
      <w:r w:rsidRPr="00C83180">
        <w:t xml:space="preserve">, някои варианти биха могли да се свързват </w:t>
      </w:r>
      <w:r w:rsidR="004A76FA">
        <w:t>с</w:t>
      </w:r>
      <w:r w:rsidRPr="00C83180">
        <w:t xml:space="preserve"> публично-частните партньорства (ПЧП), проект, финансиран от ЕС, схемите за оценка, и кратките </w:t>
      </w:r>
      <w:r w:rsidR="004A76FA">
        <w:t>доклади</w:t>
      </w:r>
      <w:r w:rsidRPr="00C83180">
        <w:t xml:space="preserve"> от експерти. Беше припомнено, че това действие се явява като контролна дейност, така че въпросите ще бъдат полезни, за </w:t>
      </w:r>
      <w:r w:rsidR="004A76FA">
        <w:t>да се доусъвършенства схемата</w:t>
      </w:r>
      <w:r w:rsidRPr="00C83180">
        <w:t>. Цел</w:t>
      </w:r>
      <w:r w:rsidR="004A76FA">
        <w:t>еви</w:t>
      </w:r>
      <w:r w:rsidRPr="00C83180">
        <w:t xml:space="preserve"> </w:t>
      </w:r>
      <w:r w:rsidR="004A76FA">
        <w:t xml:space="preserve">са </w:t>
      </w:r>
      <w:proofErr w:type="spellStart"/>
      <w:r w:rsidR="004A76FA">
        <w:t>стандартизационните</w:t>
      </w:r>
      <w:proofErr w:type="spellEnd"/>
      <w:r w:rsidR="004A76FA">
        <w:t xml:space="preserve"> организации</w:t>
      </w:r>
      <w:r w:rsidRPr="00C83180">
        <w:t>, които работят в стандартизацията в областта на ИКТ, не само официалните органи по стандартизация. Членовете посочиха също не</w:t>
      </w:r>
      <w:r w:rsidR="004A76FA">
        <w:t>обходимостта да не се представлява</w:t>
      </w:r>
      <w:r w:rsidRPr="00C83180">
        <w:t xml:space="preserve"> част от „европейски</w:t>
      </w:r>
      <w:r w:rsidR="004A76FA">
        <w:t>те</w:t>
      </w:r>
      <w:r w:rsidRPr="00C83180">
        <w:t>“</w:t>
      </w:r>
      <w:r w:rsidR="004A76FA">
        <w:t xml:space="preserve"> насоки</w:t>
      </w:r>
      <w:r w:rsidRPr="00C83180">
        <w:t>, а да се съсредоточи върху целите на проекта. Някои ч</w:t>
      </w:r>
      <w:r w:rsidR="004A76FA">
        <w:t>ленове предложиха да осъществят</w:t>
      </w:r>
      <w:r w:rsidRPr="00C83180">
        <w:t xml:space="preserve"> връзка с проект</w:t>
      </w:r>
      <w:r w:rsidR="004A76FA">
        <w:t>а и</w:t>
      </w:r>
      <w:r w:rsidRPr="00C83180">
        <w:t xml:space="preserve"> да предоставят известна информация относно тези въпроси.</w:t>
      </w:r>
    </w:p>
    <w:p w:rsidR="005B287D" w:rsidRDefault="00EC4333" w:rsidP="00C55AA5">
      <w:pPr>
        <w:spacing w:after="0"/>
        <w:ind w:firstLine="480"/>
      </w:pPr>
      <w:r w:rsidRPr="00C83180">
        <w:t>Председателят заключи, като приветства въпроси</w:t>
      </w:r>
      <w:r w:rsidR="004A76FA">
        <w:t>те</w:t>
      </w:r>
      <w:r w:rsidRPr="00C83180">
        <w:t xml:space="preserve">, представени от членовете на </w:t>
      </w:r>
      <w:r w:rsidR="004A76FA">
        <w:t>П</w:t>
      </w:r>
      <w:r w:rsidRPr="00C83180">
        <w:t>латформата, и ги прикани да изпрат</w:t>
      </w:r>
      <w:r w:rsidR="004A76FA">
        <w:t>ят евентуални</w:t>
      </w:r>
      <w:r w:rsidRPr="00C83180">
        <w:t xml:space="preserve"> допълнителни въпроси </w:t>
      </w:r>
      <w:r w:rsidR="004A76FA">
        <w:t>до</w:t>
      </w:r>
      <w:r w:rsidRPr="00C83180">
        <w:t xml:space="preserve"> 15 януари. Той </w:t>
      </w:r>
      <w:r w:rsidR="004A76FA">
        <w:t>прикани</w:t>
      </w:r>
      <w:r w:rsidRPr="00C83180">
        <w:t xml:space="preserve"> член на </w:t>
      </w:r>
      <w:r w:rsidR="004A76FA" w:rsidRPr="004A76FA">
        <w:t>MSP</w:t>
      </w:r>
      <w:r w:rsidRPr="00C83180">
        <w:t>, п</w:t>
      </w:r>
      <w:r w:rsidR="004A76FA">
        <w:t>редставляващ</w:t>
      </w:r>
      <w:r w:rsidRPr="00C83180">
        <w:t xml:space="preserve"> глобалн</w:t>
      </w:r>
      <w:r w:rsidR="004A76FA">
        <w:t>а</w:t>
      </w:r>
      <w:r w:rsidRPr="00C83180">
        <w:t xml:space="preserve"> </w:t>
      </w:r>
      <w:proofErr w:type="spellStart"/>
      <w:r w:rsidR="004A76FA">
        <w:t>стандартизационна</w:t>
      </w:r>
      <w:proofErr w:type="spellEnd"/>
      <w:r w:rsidR="004A76FA">
        <w:t xml:space="preserve"> организация да</w:t>
      </w:r>
      <w:r w:rsidRPr="00C83180">
        <w:t xml:space="preserve"> подкреп</w:t>
      </w:r>
      <w:r w:rsidR="004A76FA">
        <w:t>и</w:t>
      </w:r>
      <w:r w:rsidRPr="00C83180">
        <w:t xml:space="preserve"> на обсерватория</w:t>
      </w:r>
      <w:r w:rsidR="004A76FA">
        <w:t>та</w:t>
      </w:r>
      <w:r w:rsidRPr="00C83180">
        <w:t xml:space="preserve"> на световни</w:t>
      </w:r>
      <w:r w:rsidR="004A76FA">
        <w:t>те</w:t>
      </w:r>
      <w:r w:rsidRPr="00C83180">
        <w:t xml:space="preserve"> </w:t>
      </w:r>
      <w:r w:rsidR="004A76FA">
        <w:t>стандартизационн</w:t>
      </w:r>
      <w:r w:rsidR="004A76FA">
        <w:t>и</w:t>
      </w:r>
      <w:r w:rsidR="004A76FA">
        <w:t xml:space="preserve"> организаци</w:t>
      </w:r>
      <w:r w:rsidR="004A76FA">
        <w:t>и</w:t>
      </w:r>
      <w:r w:rsidR="004A76FA">
        <w:t xml:space="preserve"> </w:t>
      </w:r>
      <w:r w:rsidRPr="00C83180">
        <w:t>и да разпростран</w:t>
      </w:r>
      <w:r w:rsidR="004A76FA">
        <w:t>и</w:t>
      </w:r>
      <w:r w:rsidRPr="00C83180">
        <w:t xml:space="preserve"> информация относно </w:t>
      </w:r>
      <w:r w:rsidR="004A76FA" w:rsidRPr="00C83180">
        <w:t>схема</w:t>
      </w:r>
      <w:r w:rsidR="004A76FA">
        <w:t>та за</w:t>
      </w:r>
      <w:r w:rsidR="004A76FA" w:rsidRPr="00C83180">
        <w:t xml:space="preserve"> </w:t>
      </w:r>
      <w:r w:rsidR="004A76FA">
        <w:t>експертна</w:t>
      </w:r>
      <w:r w:rsidRPr="00C83180">
        <w:t xml:space="preserve"> подкрепа.</w:t>
      </w:r>
    </w:p>
    <w:p w:rsidR="004B6361" w:rsidRPr="00C83180" w:rsidRDefault="004B6361" w:rsidP="00C83180">
      <w:pPr>
        <w:spacing w:after="0"/>
      </w:pPr>
    </w:p>
    <w:p w:rsidR="005B287D" w:rsidRPr="00C83180" w:rsidRDefault="00EC4333" w:rsidP="00C83180">
      <w:pPr>
        <w:pStyle w:val="Heading1"/>
        <w:numPr>
          <w:ilvl w:val="0"/>
          <w:numId w:val="0"/>
        </w:numPr>
        <w:pBdr>
          <w:bottom w:val="single" w:sz="4" w:space="1" w:color="00000A"/>
        </w:pBdr>
        <w:spacing w:before="0" w:after="0"/>
        <w:ind w:left="480" w:hanging="480"/>
      </w:pPr>
      <w:r w:rsidRPr="00C83180">
        <w:t>Следващи заседания</w:t>
      </w:r>
    </w:p>
    <w:p w:rsidR="005B287D" w:rsidRPr="00C83180" w:rsidRDefault="00EC4333" w:rsidP="00C83180">
      <w:pPr>
        <w:spacing w:after="0"/>
        <w:rPr>
          <w:vertAlign w:val="superscript"/>
        </w:rPr>
      </w:pPr>
      <w:r w:rsidRPr="00C83180">
        <w:t xml:space="preserve">23-то </w:t>
      </w:r>
      <w:r w:rsidR="004A76FA">
        <w:t xml:space="preserve">заседание </w:t>
      </w:r>
      <w:r w:rsidRPr="00C83180">
        <w:t>- 15 март 201</w:t>
      </w:r>
      <w:r w:rsidR="004A76FA">
        <w:t>8</w:t>
      </w:r>
      <w:r w:rsidRPr="00C83180">
        <w:t> г.</w:t>
      </w:r>
    </w:p>
    <w:p w:rsidR="005B287D" w:rsidRPr="00C83180" w:rsidRDefault="00EC4333" w:rsidP="00C83180">
      <w:pPr>
        <w:spacing w:after="0"/>
        <w:rPr>
          <w:vertAlign w:val="superscript"/>
        </w:rPr>
      </w:pPr>
      <w:r w:rsidRPr="00C83180">
        <w:t>24-о заседание — 14 юни 201</w:t>
      </w:r>
      <w:r w:rsidR="004A76FA">
        <w:t>8</w:t>
      </w:r>
      <w:r w:rsidRPr="00C83180">
        <w:t> г.</w:t>
      </w:r>
    </w:p>
    <w:p w:rsidR="005B287D" w:rsidRDefault="00EC4333" w:rsidP="00C83180">
      <w:pPr>
        <w:spacing w:after="0"/>
      </w:pPr>
      <w:r w:rsidRPr="00C83180">
        <w:t>25-о заседание — 4 октомври 2018 г. [в зависимост от темите, мо</w:t>
      </w:r>
      <w:r w:rsidR="004A76FA">
        <w:t>же</w:t>
      </w:r>
      <w:r w:rsidRPr="00C83180">
        <w:t xml:space="preserve"> да </w:t>
      </w:r>
      <w:r w:rsidR="004A76FA">
        <w:t>се отложи за</w:t>
      </w:r>
      <w:r w:rsidRPr="00C83180">
        <w:t xml:space="preserve"> края на октомври.]</w:t>
      </w:r>
    </w:p>
    <w:p w:rsidR="004B6361" w:rsidRPr="00C83180" w:rsidRDefault="004B6361" w:rsidP="00C83180">
      <w:pPr>
        <w:spacing w:after="0"/>
        <w:rPr>
          <w:vertAlign w:val="superscript"/>
        </w:rPr>
      </w:pPr>
    </w:p>
    <w:p w:rsidR="005B287D" w:rsidRPr="00C83180" w:rsidRDefault="00EC4333" w:rsidP="00C83180">
      <w:pPr>
        <w:pStyle w:val="Heading1"/>
        <w:numPr>
          <w:ilvl w:val="0"/>
          <w:numId w:val="0"/>
        </w:numPr>
        <w:pBdr>
          <w:bottom w:val="single" w:sz="4" w:space="1" w:color="00000A"/>
        </w:pBdr>
        <w:spacing w:before="0" w:after="0"/>
        <w:ind w:left="480" w:hanging="480"/>
      </w:pPr>
      <w:r w:rsidRPr="00C83180">
        <w:t>Други въпроси</w:t>
      </w:r>
    </w:p>
    <w:p w:rsidR="005B287D" w:rsidRPr="00C83180" w:rsidRDefault="00EC4333" w:rsidP="00C55AA5">
      <w:pPr>
        <w:spacing w:after="0"/>
        <w:ind w:firstLine="480"/>
        <w:rPr>
          <w:szCs w:val="24"/>
        </w:rPr>
      </w:pPr>
      <w:r w:rsidRPr="00C83180">
        <w:rPr>
          <w:szCs w:val="24"/>
        </w:rPr>
        <w:t xml:space="preserve">Председателят съобщи, </w:t>
      </w:r>
      <w:r w:rsidR="004A76FA">
        <w:rPr>
          <w:szCs w:val="24"/>
        </w:rPr>
        <w:t>че представителят на Швейцария</w:t>
      </w:r>
      <w:r w:rsidRPr="00C83180">
        <w:rPr>
          <w:szCs w:val="24"/>
        </w:rPr>
        <w:t xml:space="preserve">, </w:t>
      </w:r>
      <w:proofErr w:type="spellStart"/>
      <w:r w:rsidR="004A76FA" w:rsidRPr="001916F0">
        <w:rPr>
          <w:szCs w:val="24"/>
        </w:rPr>
        <w:t>Nuno</w:t>
      </w:r>
      <w:proofErr w:type="spellEnd"/>
      <w:r w:rsidR="004A76FA" w:rsidRPr="001916F0">
        <w:rPr>
          <w:szCs w:val="24"/>
        </w:rPr>
        <w:t xml:space="preserve"> </w:t>
      </w:r>
      <w:proofErr w:type="spellStart"/>
      <w:r w:rsidR="004A76FA" w:rsidRPr="001916F0">
        <w:rPr>
          <w:szCs w:val="24"/>
        </w:rPr>
        <w:t>Encarna</w:t>
      </w:r>
      <w:r w:rsidR="004A76FA">
        <w:rPr>
          <w:szCs w:val="24"/>
        </w:rPr>
        <w:t>ç</w:t>
      </w:r>
      <w:r w:rsidR="004A76FA" w:rsidRPr="00C8718E">
        <w:rPr>
          <w:szCs w:val="24"/>
        </w:rPr>
        <w:t>ao</w:t>
      </w:r>
      <w:proofErr w:type="spellEnd"/>
      <w:r w:rsidRPr="00C83180">
        <w:rPr>
          <w:szCs w:val="24"/>
        </w:rPr>
        <w:t xml:space="preserve">, който е </w:t>
      </w:r>
      <w:r w:rsidR="004A76FA">
        <w:rPr>
          <w:szCs w:val="24"/>
        </w:rPr>
        <w:t>активен член</w:t>
      </w:r>
      <w:r w:rsidRPr="00C83180">
        <w:rPr>
          <w:szCs w:val="24"/>
        </w:rPr>
        <w:t xml:space="preserve"> </w:t>
      </w:r>
      <w:r w:rsidR="004A76FA">
        <w:rPr>
          <w:szCs w:val="24"/>
        </w:rPr>
        <w:t>от</w:t>
      </w:r>
      <w:r w:rsidRPr="00C83180">
        <w:rPr>
          <w:szCs w:val="24"/>
        </w:rPr>
        <w:t xml:space="preserve"> създаването на </w:t>
      </w:r>
      <w:r w:rsidR="004A76FA">
        <w:rPr>
          <w:szCs w:val="24"/>
        </w:rPr>
        <w:t>П</w:t>
      </w:r>
      <w:r w:rsidRPr="00C83180">
        <w:rPr>
          <w:szCs w:val="24"/>
        </w:rPr>
        <w:t xml:space="preserve">латформа, ще се пенсионира; </w:t>
      </w:r>
      <w:r w:rsidR="004A76FA" w:rsidRPr="004A76FA">
        <w:rPr>
          <w:szCs w:val="24"/>
        </w:rPr>
        <w:t xml:space="preserve">MSP </w:t>
      </w:r>
      <w:r w:rsidRPr="00C83180">
        <w:rPr>
          <w:szCs w:val="24"/>
        </w:rPr>
        <w:t xml:space="preserve">членовете изразиха своята благодарност за активната </w:t>
      </w:r>
      <w:r w:rsidR="008B679E">
        <w:rPr>
          <w:szCs w:val="24"/>
        </w:rPr>
        <w:t>му</w:t>
      </w:r>
      <w:r w:rsidRPr="00C83180">
        <w:rPr>
          <w:szCs w:val="24"/>
        </w:rPr>
        <w:t xml:space="preserve"> работа п</w:t>
      </w:r>
      <w:r w:rsidR="008B679E">
        <w:rPr>
          <w:szCs w:val="24"/>
        </w:rPr>
        <w:t>рез</w:t>
      </w:r>
      <w:r w:rsidRPr="00C83180">
        <w:rPr>
          <w:szCs w:val="24"/>
        </w:rPr>
        <w:t xml:space="preserve"> всички тези години и му пожела всичко най-хубаво в бъдеще. </w:t>
      </w:r>
      <w:proofErr w:type="spellStart"/>
      <w:r w:rsidRPr="00C83180">
        <w:rPr>
          <w:szCs w:val="24"/>
        </w:rPr>
        <w:t>Nuno</w:t>
      </w:r>
      <w:proofErr w:type="spellEnd"/>
      <w:r w:rsidRPr="00C83180">
        <w:rPr>
          <w:szCs w:val="24"/>
        </w:rPr>
        <w:t xml:space="preserve"> благодари на </w:t>
      </w:r>
      <w:r w:rsidR="008B679E" w:rsidRPr="008B679E">
        <w:rPr>
          <w:szCs w:val="24"/>
        </w:rPr>
        <w:t>MSP</w:t>
      </w:r>
      <w:r w:rsidRPr="00C83180">
        <w:rPr>
          <w:szCs w:val="24"/>
        </w:rPr>
        <w:t xml:space="preserve"> и изрази благодарността си за всички тези години на общата работа.</w:t>
      </w:r>
    </w:p>
    <w:p w:rsidR="005B287D" w:rsidRDefault="00EC4333" w:rsidP="00C55AA5">
      <w:pPr>
        <w:spacing w:after="0"/>
        <w:ind w:firstLine="480"/>
        <w:rPr>
          <w:szCs w:val="24"/>
        </w:rPr>
      </w:pPr>
      <w:r w:rsidRPr="00C83180">
        <w:rPr>
          <w:szCs w:val="24"/>
        </w:rPr>
        <w:t xml:space="preserve">Председателят също така посочи, че това ще бъде последното заседание за </w:t>
      </w:r>
      <w:proofErr w:type="spellStart"/>
      <w:r w:rsidRPr="00C83180">
        <w:rPr>
          <w:szCs w:val="24"/>
        </w:rPr>
        <w:t>Rodolphe</w:t>
      </w:r>
      <w:proofErr w:type="spellEnd"/>
      <w:r w:rsidRPr="00C83180">
        <w:rPr>
          <w:szCs w:val="24"/>
        </w:rPr>
        <w:t xml:space="preserve"> </w:t>
      </w:r>
      <w:proofErr w:type="spellStart"/>
      <w:r w:rsidRPr="00C83180">
        <w:rPr>
          <w:szCs w:val="24"/>
        </w:rPr>
        <w:t>Wouters</w:t>
      </w:r>
      <w:proofErr w:type="spellEnd"/>
      <w:r w:rsidRPr="00C83180">
        <w:rPr>
          <w:szCs w:val="24"/>
        </w:rPr>
        <w:t>, тъй като той ще промени функция в рамките на Е</w:t>
      </w:r>
      <w:r w:rsidR="008B679E">
        <w:rPr>
          <w:szCs w:val="24"/>
        </w:rPr>
        <w:t>К</w:t>
      </w:r>
      <w:r w:rsidRPr="00C83180">
        <w:rPr>
          <w:szCs w:val="24"/>
        </w:rPr>
        <w:t xml:space="preserve">, и му благодари за свършената работа. </w:t>
      </w:r>
    </w:p>
    <w:p w:rsidR="004B6361" w:rsidRPr="00C83180" w:rsidRDefault="004B6361" w:rsidP="00C83180">
      <w:pPr>
        <w:pStyle w:val="Text3"/>
        <w:spacing w:after="0"/>
        <w:ind w:left="0"/>
        <w:rPr>
          <w:szCs w:val="24"/>
        </w:rPr>
      </w:pPr>
    </w:p>
    <w:p w:rsidR="005B287D" w:rsidRPr="00C83180" w:rsidRDefault="00EC4333" w:rsidP="00C83180">
      <w:pPr>
        <w:pStyle w:val="Heading1"/>
        <w:numPr>
          <w:ilvl w:val="0"/>
          <w:numId w:val="0"/>
        </w:numPr>
        <w:spacing w:before="0" w:after="0"/>
        <w:ind w:left="480" w:hanging="480"/>
      </w:pPr>
      <w:r w:rsidRPr="00C83180">
        <w:t>4. заключения/Следващи стъпки</w:t>
      </w:r>
    </w:p>
    <w:p w:rsidR="005B287D" w:rsidRPr="00C83180" w:rsidRDefault="00EC4333" w:rsidP="00C55AA5">
      <w:pPr>
        <w:spacing w:after="0"/>
        <w:ind w:firstLine="480"/>
        <w:rPr>
          <w:szCs w:val="24"/>
          <w:vertAlign w:val="superscript"/>
          <w:lang w:eastAsia="en-GB"/>
        </w:rPr>
      </w:pPr>
      <w:r w:rsidRPr="00C83180">
        <w:rPr>
          <w:szCs w:val="24"/>
          <w:lang w:eastAsia="en-GB"/>
        </w:rPr>
        <w:t>На заседанието от 7 декември беше постигнато споразумение за следните действия:</w:t>
      </w:r>
    </w:p>
    <w:p w:rsidR="005B287D" w:rsidRPr="00C83180" w:rsidRDefault="00EC4333" w:rsidP="00C83180">
      <w:pPr>
        <w:tabs>
          <w:tab w:val="left" w:pos="3131"/>
        </w:tabs>
        <w:spacing w:after="0"/>
        <w:rPr>
          <w:szCs w:val="24"/>
          <w:lang w:eastAsia="en-GB"/>
        </w:rPr>
      </w:pPr>
      <w:r w:rsidRPr="00C83180">
        <w:rPr>
          <w:szCs w:val="24"/>
          <w:lang w:eastAsia="en-GB"/>
        </w:rPr>
        <w:t xml:space="preserve"> </w:t>
      </w:r>
    </w:p>
    <w:tbl>
      <w:tblPr>
        <w:tblW w:w="94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15"/>
        <w:gridCol w:w="5506"/>
        <w:gridCol w:w="1444"/>
        <w:gridCol w:w="1700"/>
      </w:tblGrid>
      <w:tr w:rsidR="005B287D" w:rsidRPr="00C83180">
        <w:trPr>
          <w:tblHeader/>
        </w:trPr>
        <w:tc>
          <w:tcPr>
            <w:tcW w:w="8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8B679E" w:rsidP="00C83180">
            <w:pPr>
              <w:spacing w:after="0"/>
              <w:jc w:val="left"/>
              <w:rPr>
                <w:b/>
                <w:sz w:val="22"/>
                <w:szCs w:val="22"/>
                <w:lang w:eastAsia="en-GB"/>
              </w:rPr>
            </w:pPr>
            <w:r>
              <w:rPr>
                <w:b/>
                <w:sz w:val="22"/>
                <w:szCs w:val="22"/>
                <w:lang w:eastAsia="en-GB"/>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b/>
                <w:szCs w:val="24"/>
                <w:lang w:eastAsia="en-GB"/>
              </w:rPr>
            </w:pPr>
            <w:r w:rsidRPr="00C83180">
              <w:rPr>
                <w:b/>
                <w:szCs w:val="24"/>
                <w:lang w:eastAsia="en-GB"/>
              </w:rPr>
              <w:t>Описание</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b/>
                <w:sz w:val="20"/>
                <w:lang w:eastAsia="en-GB"/>
              </w:rPr>
            </w:pPr>
            <w:r w:rsidRPr="00C83180">
              <w:rPr>
                <w:b/>
                <w:sz w:val="20"/>
                <w:lang w:eastAsia="en-GB"/>
              </w:rPr>
              <w:t>Отговорност</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8B679E" w:rsidP="00C83180">
            <w:pPr>
              <w:spacing w:after="0"/>
              <w:jc w:val="left"/>
              <w:rPr>
                <w:b/>
                <w:szCs w:val="24"/>
                <w:lang w:eastAsia="en-GB"/>
              </w:rPr>
            </w:pPr>
            <w:r>
              <w:rPr>
                <w:b/>
                <w:szCs w:val="24"/>
                <w:lang w:eastAsia="en-GB"/>
              </w:rPr>
              <w:t>срок</w:t>
            </w:r>
          </w:p>
        </w:tc>
      </w:tr>
      <w:tr w:rsidR="005B287D" w:rsidRPr="00C83180">
        <w:trPr>
          <w:trHeight w:val="663"/>
        </w:trPr>
        <w:tc>
          <w:tcPr>
            <w:tcW w:w="8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 w:val="22"/>
                <w:szCs w:val="22"/>
                <w:lang w:eastAsia="en-GB"/>
              </w:rPr>
            </w:pPr>
            <w:r w:rsidRPr="00C83180">
              <w:rPr>
                <w:sz w:val="22"/>
                <w:szCs w:val="22"/>
                <w:lang w:eastAsia="en-GB"/>
              </w:rPr>
              <w:t>22.1</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pStyle w:val="Text3"/>
              <w:spacing w:after="0"/>
              <w:ind w:left="0"/>
            </w:pPr>
            <w:r w:rsidRPr="00C83180">
              <w:t>Членовете да представят бележки по предложението за рационализиране на процедурата по идентифициране и работа.</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8B679E" w:rsidP="00C83180">
            <w:pPr>
              <w:spacing w:after="0"/>
              <w:jc w:val="left"/>
              <w:rPr>
                <w:szCs w:val="24"/>
                <w:lang w:eastAsia="en-GB"/>
              </w:rPr>
            </w:pPr>
            <w:r w:rsidRPr="008B679E">
              <w:rPr>
                <w:szCs w:val="24"/>
                <w:lang w:eastAsia="en-GB"/>
              </w:rPr>
              <w:t>MSP</w:t>
            </w:r>
            <w:r w:rsidR="00EC4333" w:rsidRPr="00C83180">
              <w:rPr>
                <w:szCs w:val="24"/>
                <w:lang w:eastAsia="en-GB"/>
              </w:rPr>
              <w:t xml:space="preserve"> членове</w:t>
            </w:r>
          </w:p>
          <w:p w:rsidR="005B287D" w:rsidRPr="00C83180" w:rsidRDefault="005B287D" w:rsidP="00C83180">
            <w:pPr>
              <w:spacing w:after="0"/>
              <w:jc w:val="left"/>
              <w:rPr>
                <w:szCs w:val="24"/>
                <w:lang w:eastAsia="en-GB"/>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Cs w:val="24"/>
                <w:lang w:eastAsia="en-GB"/>
              </w:rPr>
            </w:pPr>
            <w:r w:rsidRPr="00C83180">
              <w:rPr>
                <w:szCs w:val="24"/>
                <w:lang w:eastAsia="en-GB"/>
              </w:rPr>
              <w:t>Преди края на годината</w:t>
            </w:r>
          </w:p>
        </w:tc>
      </w:tr>
      <w:tr w:rsidR="005B287D" w:rsidRPr="00C83180">
        <w:trPr>
          <w:trHeight w:val="663"/>
        </w:trPr>
        <w:tc>
          <w:tcPr>
            <w:tcW w:w="8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 w:val="22"/>
                <w:szCs w:val="22"/>
                <w:lang w:eastAsia="en-GB"/>
              </w:rPr>
            </w:pPr>
            <w:r w:rsidRPr="00C83180">
              <w:rPr>
                <w:sz w:val="22"/>
                <w:szCs w:val="22"/>
                <w:lang w:eastAsia="en-GB"/>
              </w:rPr>
              <w:t>22.2</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8B679E" w:rsidP="008B679E">
            <w:pPr>
              <w:pStyle w:val="Text3"/>
              <w:spacing w:after="0"/>
              <w:ind w:left="0"/>
            </w:pPr>
            <w:r>
              <w:t>Комисията &amp; CAMSS екип</w:t>
            </w:r>
            <w:r w:rsidR="00EC4333" w:rsidRPr="00C83180">
              <w:t xml:space="preserve"> да усъвършенства</w:t>
            </w:r>
            <w:r>
              <w:t>т</w:t>
            </w:r>
            <w:r w:rsidR="00EC4333" w:rsidRPr="00C83180">
              <w:t xml:space="preserve"> процеса и диаграма</w:t>
            </w:r>
            <w:r>
              <w:t>та</w:t>
            </w:r>
            <w:r w:rsidR="00EC4333" w:rsidRPr="00C83180">
              <w:t xml:space="preserve"> след коментари</w:t>
            </w:r>
            <w:r>
              <w:t xml:space="preserve"> от </w:t>
            </w:r>
            <w:r w:rsidRPr="008B679E">
              <w:t>MSP</w:t>
            </w:r>
            <w:r w:rsidR="00EC4333" w:rsidRPr="00C83180">
              <w: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Cs w:val="24"/>
                <w:lang w:eastAsia="en-GB"/>
              </w:rPr>
            </w:pPr>
            <w:r w:rsidRPr="00C83180">
              <w:rPr>
                <w:szCs w:val="24"/>
                <w:lang w:eastAsia="en-GB"/>
              </w:rPr>
              <w:t>Комисията &amp; CAMSS екип</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Cs w:val="24"/>
                <w:lang w:eastAsia="en-GB"/>
              </w:rPr>
            </w:pPr>
            <w:r w:rsidRPr="00C83180">
              <w:rPr>
                <w:szCs w:val="24"/>
                <w:lang w:eastAsia="en-GB"/>
              </w:rPr>
              <w:t>Преди следващото заседание</w:t>
            </w:r>
          </w:p>
        </w:tc>
      </w:tr>
      <w:tr w:rsidR="005B287D" w:rsidRPr="00C83180">
        <w:trPr>
          <w:trHeight w:val="663"/>
        </w:trPr>
        <w:tc>
          <w:tcPr>
            <w:tcW w:w="8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 w:val="22"/>
                <w:szCs w:val="22"/>
                <w:lang w:eastAsia="en-GB"/>
              </w:rPr>
            </w:pPr>
            <w:r w:rsidRPr="00C83180">
              <w:rPr>
                <w:sz w:val="22"/>
                <w:szCs w:val="22"/>
                <w:lang w:eastAsia="en-GB"/>
              </w:rPr>
              <w:t>22.3</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pStyle w:val="Text3"/>
              <w:spacing w:after="0"/>
              <w:ind w:left="0"/>
            </w:pPr>
            <w:r w:rsidRPr="00C83180">
              <w:t>Секретариат</w:t>
            </w:r>
            <w:r w:rsidR="008B679E">
              <w:t>ът</w:t>
            </w:r>
            <w:r w:rsidRPr="00C83180">
              <w:t xml:space="preserve"> да информира за приемането на съобщението за докладване относно изпълнението на политиката на стандартизация на ЕС.</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Cs w:val="24"/>
                <w:lang w:eastAsia="en-GB"/>
              </w:rPr>
            </w:pPr>
            <w:r w:rsidRPr="00C83180">
              <w:rPr>
                <w:szCs w:val="24"/>
                <w:lang w:eastAsia="en-GB"/>
              </w:rPr>
              <w:t>GROW</w:t>
            </w:r>
          </w:p>
          <w:p w:rsidR="005B287D" w:rsidRPr="00C83180" w:rsidRDefault="005B287D" w:rsidP="00C83180">
            <w:pPr>
              <w:spacing w:after="0"/>
              <w:jc w:val="left"/>
              <w:rPr>
                <w:szCs w:val="24"/>
                <w:lang w:eastAsia="en-GB"/>
              </w:rPr>
            </w:pPr>
          </w:p>
          <w:p w:rsidR="005B287D" w:rsidRPr="00C83180" w:rsidRDefault="005B287D" w:rsidP="00C83180">
            <w:pPr>
              <w:spacing w:after="0"/>
              <w:jc w:val="left"/>
              <w:rPr>
                <w:szCs w:val="24"/>
                <w:lang w:eastAsia="en-GB"/>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Cs w:val="24"/>
                <w:lang w:eastAsia="en-GB"/>
              </w:rPr>
            </w:pPr>
            <w:r w:rsidRPr="00C83180">
              <w:rPr>
                <w:szCs w:val="24"/>
                <w:lang w:eastAsia="en-GB"/>
              </w:rPr>
              <w:t>Когато се публикува</w:t>
            </w:r>
          </w:p>
        </w:tc>
      </w:tr>
      <w:tr w:rsidR="005B287D" w:rsidRPr="00C83180">
        <w:trPr>
          <w:trHeight w:val="663"/>
        </w:trPr>
        <w:tc>
          <w:tcPr>
            <w:tcW w:w="8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 w:val="22"/>
                <w:szCs w:val="22"/>
                <w:lang w:eastAsia="en-GB"/>
              </w:rPr>
            </w:pPr>
            <w:r w:rsidRPr="00C83180">
              <w:rPr>
                <w:sz w:val="22"/>
                <w:szCs w:val="22"/>
                <w:lang w:eastAsia="en-GB"/>
              </w:rPr>
              <w:lastRenderedPageBreak/>
              <w:t>22.4</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8B679E" w:rsidP="008B679E">
            <w:pPr>
              <w:spacing w:after="0"/>
              <w:rPr>
                <w:szCs w:val="24"/>
                <w:lang w:eastAsia="en-GB"/>
              </w:rPr>
            </w:pPr>
            <w:r w:rsidRPr="008B679E">
              <w:rPr>
                <w:szCs w:val="24"/>
                <w:lang w:eastAsia="en-GB"/>
              </w:rPr>
              <w:t>MSP</w:t>
            </w:r>
            <w:r w:rsidR="00EC4333" w:rsidRPr="00C83180">
              <w:rPr>
                <w:szCs w:val="24"/>
                <w:lang w:eastAsia="en-GB"/>
              </w:rPr>
              <w:t xml:space="preserve"> членовете да предложат теми за обсъждане на междуинституционален диалог, както и да обмисл</w:t>
            </w:r>
            <w:r>
              <w:rPr>
                <w:szCs w:val="24"/>
                <w:lang w:eastAsia="en-GB"/>
              </w:rPr>
              <w:t>ят</w:t>
            </w:r>
            <w:r w:rsidR="00EC4333" w:rsidRPr="00C83180">
              <w:rPr>
                <w:szCs w:val="24"/>
                <w:lang w:eastAsia="en-GB"/>
              </w:rPr>
              <w:t xml:space="preserve"> възможността за назначаване на двама представители за участие в диалог</w:t>
            </w:r>
            <w:r w:rsidR="00C55AA5">
              <w:rPr>
                <w:szCs w:val="24"/>
                <w:lang w:eastAsia="en-GB"/>
              </w:rPr>
              <w:t>а</w:t>
            </w:r>
            <w:r w:rsidR="00EC4333" w:rsidRPr="00C83180">
              <w:rPr>
                <w:szCs w:val="24"/>
                <w:lang w:eastAsia="en-GB"/>
              </w:rPr>
              <w:t xml:space="preserve">, от името на </w:t>
            </w:r>
            <w:r w:rsidRPr="008B679E">
              <w:rPr>
                <w:szCs w:val="24"/>
                <w:lang w:eastAsia="en-GB"/>
              </w:rPr>
              <w:t>MSP</w:t>
            </w:r>
            <w:r w:rsidR="00EC4333" w:rsidRPr="00C83180">
              <w:rPr>
                <w:szCs w:val="24"/>
                <w:lang w:eastAsia="en-GB"/>
              </w:rPr>
              <w: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Cs w:val="24"/>
                <w:lang w:eastAsia="en-GB"/>
              </w:rPr>
            </w:pPr>
            <w:r w:rsidRPr="00C83180">
              <w:rPr>
                <w:szCs w:val="24"/>
                <w:lang w:eastAsia="en-GB"/>
              </w:rPr>
              <w:t xml:space="preserve">Членовете на </w:t>
            </w:r>
            <w:r w:rsidR="008B679E" w:rsidRPr="008B679E">
              <w:rPr>
                <w:szCs w:val="24"/>
                <w:lang w:eastAsia="en-GB"/>
              </w:rPr>
              <w:t>MSP</w:t>
            </w:r>
          </w:p>
          <w:p w:rsidR="005B287D" w:rsidRPr="00C83180" w:rsidRDefault="005B287D" w:rsidP="00C83180">
            <w:pPr>
              <w:spacing w:after="0"/>
              <w:jc w:val="left"/>
              <w:rPr>
                <w:szCs w:val="24"/>
                <w:lang w:eastAsia="en-GB"/>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Cs w:val="24"/>
                <w:lang w:eastAsia="en-GB"/>
              </w:rPr>
            </w:pPr>
            <w:r w:rsidRPr="00C83180">
              <w:rPr>
                <w:szCs w:val="24"/>
                <w:lang w:eastAsia="en-GB"/>
              </w:rPr>
              <w:t>15/1/2018</w:t>
            </w:r>
          </w:p>
        </w:tc>
      </w:tr>
      <w:tr w:rsidR="005B287D" w:rsidRPr="00C83180">
        <w:tc>
          <w:tcPr>
            <w:tcW w:w="8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 w:val="22"/>
                <w:szCs w:val="22"/>
                <w:lang w:eastAsia="en-GB"/>
              </w:rPr>
            </w:pPr>
            <w:r w:rsidRPr="00C83180">
              <w:rPr>
                <w:sz w:val="22"/>
                <w:szCs w:val="22"/>
                <w:lang w:eastAsia="en-GB"/>
              </w:rPr>
              <w:t>22.5</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pPr>
            <w:r w:rsidRPr="00C83180">
              <w:t xml:space="preserve">Комисията да завърши процедурите </w:t>
            </w:r>
            <w:r w:rsidR="008B679E">
              <w:t xml:space="preserve">и </w:t>
            </w:r>
            <w:r w:rsidRPr="00C83180">
              <w:t>да публикува актуализирания план 2018.</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rPr>
                <w:lang w:eastAsia="en-GB"/>
              </w:rPr>
            </w:pPr>
            <w:r w:rsidRPr="00C83180">
              <w:rPr>
                <w:lang w:eastAsia="en-GB"/>
              </w:rPr>
              <w:t>GROW</w:t>
            </w:r>
          </w:p>
          <w:p w:rsidR="005B287D" w:rsidRPr="00C83180" w:rsidRDefault="005B287D" w:rsidP="00C83180">
            <w:pPr>
              <w:spacing w:after="0"/>
              <w:jc w:val="left"/>
              <w:rPr>
                <w:color w:val="C6D9F1"/>
                <w:szCs w:val="24"/>
                <w:lang w:eastAsia="en-GB"/>
              </w:rPr>
            </w:pP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Cs w:val="24"/>
                <w:lang w:eastAsia="en-GB"/>
              </w:rPr>
            </w:pPr>
            <w:r w:rsidRPr="00C83180">
              <w:rPr>
                <w:szCs w:val="24"/>
                <w:lang w:eastAsia="en-GB"/>
              </w:rPr>
              <w:t>Началото на януари</w:t>
            </w:r>
          </w:p>
        </w:tc>
      </w:tr>
      <w:tr w:rsidR="005B287D" w:rsidRPr="00C83180">
        <w:tc>
          <w:tcPr>
            <w:tcW w:w="8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 w:val="22"/>
                <w:szCs w:val="22"/>
                <w:lang w:eastAsia="en-GB"/>
              </w:rPr>
            </w:pPr>
            <w:r w:rsidRPr="00C83180">
              <w:rPr>
                <w:sz w:val="22"/>
                <w:szCs w:val="22"/>
                <w:lang w:eastAsia="en-GB"/>
              </w:rPr>
              <w:t>22.6</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8B679E" w:rsidP="008B679E">
            <w:pPr>
              <w:pStyle w:val="ListParagraph"/>
              <w:ind w:left="0"/>
            </w:pPr>
            <w:r w:rsidRPr="008B679E">
              <w:t xml:space="preserve">MSP </w:t>
            </w:r>
            <w:r w:rsidR="00EC4333" w:rsidRPr="00C83180">
              <w:t>Секретариат</w:t>
            </w:r>
            <w:r>
              <w:t>ът</w:t>
            </w:r>
            <w:r w:rsidR="00EC4333" w:rsidRPr="00C83180">
              <w:t xml:space="preserve"> да предостави проект за задания (точки) за РГ DEI.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8B679E" w:rsidP="00C83180">
            <w:pPr>
              <w:spacing w:after="0"/>
              <w:jc w:val="left"/>
              <w:rPr>
                <w:szCs w:val="24"/>
                <w:lang w:eastAsia="en-GB"/>
              </w:rPr>
            </w:pPr>
            <w:r w:rsidRPr="008B679E">
              <w:rPr>
                <w:szCs w:val="24"/>
                <w:lang w:eastAsia="en-GB"/>
              </w:rPr>
              <w:t>MSP</w:t>
            </w:r>
            <w:r w:rsidR="00EC4333" w:rsidRPr="00C83180">
              <w:rPr>
                <w:szCs w:val="24"/>
                <w:lang w:eastAsia="en-GB"/>
              </w:rPr>
              <w:t xml:space="preserve"> секретариат</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Cs w:val="24"/>
                <w:lang w:eastAsia="en-GB"/>
              </w:rPr>
            </w:pPr>
            <w:r w:rsidRPr="00C83180">
              <w:rPr>
                <w:szCs w:val="24"/>
                <w:lang w:eastAsia="en-GB"/>
              </w:rPr>
              <w:t>Преди Коледа</w:t>
            </w:r>
          </w:p>
        </w:tc>
      </w:tr>
      <w:tr w:rsidR="005B287D" w:rsidRPr="00C83180">
        <w:tc>
          <w:tcPr>
            <w:tcW w:w="8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 w:val="22"/>
                <w:szCs w:val="22"/>
                <w:lang w:eastAsia="en-GB"/>
              </w:rPr>
            </w:pPr>
            <w:r w:rsidRPr="00C83180">
              <w:rPr>
                <w:sz w:val="22"/>
                <w:szCs w:val="22"/>
                <w:lang w:eastAsia="en-GB"/>
              </w:rPr>
              <w:t>22.7</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8B679E">
            <w:pPr>
              <w:pStyle w:val="ListParagraph"/>
              <w:ind w:left="0"/>
            </w:pPr>
            <w:r w:rsidRPr="00C83180">
              <w:t xml:space="preserve">Да </w:t>
            </w:r>
            <w:r w:rsidR="008B679E">
              <w:t xml:space="preserve">се </w:t>
            </w:r>
            <w:r w:rsidRPr="00C83180">
              <w:t xml:space="preserve">предоставят коментари по проекта на заданието за TF DEI и да </w:t>
            </w:r>
            <w:r w:rsidR="008B679E">
              <w:t>се информира</w:t>
            </w:r>
            <w:r w:rsidRPr="00C83180">
              <w:t xml:space="preserve"> за доброволци</w:t>
            </w:r>
            <w:r w:rsidR="008B679E">
              <w:t>, желаещи</w:t>
            </w:r>
            <w:r w:rsidRPr="00C83180">
              <w:t xml:space="preserve"> да участват в T</w:t>
            </w:r>
            <w:r w:rsidR="008B679E">
              <w:t>С</w:t>
            </w:r>
            <w:r w:rsidRPr="00C83180">
              <w: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8B679E" w:rsidP="00C83180">
            <w:pPr>
              <w:spacing w:after="0"/>
              <w:jc w:val="left"/>
              <w:rPr>
                <w:szCs w:val="24"/>
                <w:lang w:eastAsia="en-GB"/>
              </w:rPr>
            </w:pPr>
            <w:r w:rsidRPr="008B679E">
              <w:rPr>
                <w:szCs w:val="24"/>
                <w:lang w:eastAsia="en-GB"/>
              </w:rPr>
              <w:t>MSP</w:t>
            </w:r>
            <w:r w:rsidR="00EC4333" w:rsidRPr="00C83180">
              <w:rPr>
                <w:szCs w:val="24"/>
                <w:lang w:eastAsia="en-GB"/>
              </w:rPr>
              <w:t xml:space="preserve"> членове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Cs w:val="24"/>
                <w:lang w:eastAsia="en-GB"/>
              </w:rPr>
            </w:pPr>
            <w:r w:rsidRPr="00C83180">
              <w:rPr>
                <w:szCs w:val="24"/>
                <w:lang w:eastAsia="en-GB"/>
              </w:rPr>
              <w:t>15/1/2018</w:t>
            </w:r>
          </w:p>
        </w:tc>
      </w:tr>
      <w:tr w:rsidR="005B287D" w:rsidRPr="00C83180">
        <w:tc>
          <w:tcPr>
            <w:tcW w:w="8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 w:val="22"/>
                <w:szCs w:val="22"/>
                <w:lang w:eastAsia="en-GB"/>
              </w:rPr>
            </w:pPr>
            <w:r w:rsidRPr="00C83180">
              <w:rPr>
                <w:sz w:val="22"/>
                <w:szCs w:val="22"/>
                <w:lang w:eastAsia="en-GB"/>
              </w:rPr>
              <w:t>22.8</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8B679E" w:rsidP="008B679E">
            <w:pPr>
              <w:pStyle w:val="ListParagraph"/>
              <w:ind w:left="0"/>
            </w:pPr>
            <w:r>
              <w:t>Да се п</w:t>
            </w:r>
            <w:r w:rsidR="00EC4333" w:rsidRPr="00C83180">
              <w:t>осоч</w:t>
            </w:r>
            <w:r>
              <w:t>а</w:t>
            </w:r>
            <w:r w:rsidR="00EC4333" w:rsidRPr="00C83180">
              <w:t>т имената на експерти за консултации по RDA2 TS идентификация.</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8B679E" w:rsidP="00C83180">
            <w:pPr>
              <w:spacing w:after="0"/>
              <w:jc w:val="left"/>
              <w:rPr>
                <w:szCs w:val="24"/>
                <w:lang w:eastAsia="en-GB"/>
              </w:rPr>
            </w:pPr>
            <w:r w:rsidRPr="008B679E">
              <w:rPr>
                <w:szCs w:val="24"/>
                <w:lang w:eastAsia="en-GB"/>
              </w:rPr>
              <w:t>MSP</w:t>
            </w:r>
            <w:r w:rsidR="00EC4333" w:rsidRPr="00C83180">
              <w:rPr>
                <w:szCs w:val="24"/>
                <w:lang w:eastAsia="en-GB"/>
              </w:rPr>
              <w:t xml:space="preserve"> членове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Cs w:val="24"/>
                <w:lang w:eastAsia="en-GB"/>
              </w:rPr>
            </w:pPr>
            <w:r w:rsidRPr="00C83180">
              <w:rPr>
                <w:szCs w:val="24"/>
                <w:lang w:eastAsia="en-GB"/>
              </w:rPr>
              <w:t>15/1/2018</w:t>
            </w:r>
          </w:p>
        </w:tc>
      </w:tr>
      <w:tr w:rsidR="005B287D" w:rsidRPr="00C83180">
        <w:tc>
          <w:tcPr>
            <w:tcW w:w="8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 w:val="22"/>
                <w:szCs w:val="22"/>
                <w:lang w:eastAsia="en-GB"/>
              </w:rPr>
            </w:pPr>
            <w:r w:rsidRPr="00C83180">
              <w:rPr>
                <w:sz w:val="22"/>
                <w:szCs w:val="22"/>
                <w:lang w:eastAsia="en-GB"/>
              </w:rPr>
              <w:t>22.9</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8B679E">
            <w:pPr>
              <w:pStyle w:val="ListParagraph"/>
              <w:ind w:left="0"/>
            </w:pPr>
            <w:r w:rsidRPr="00C83180">
              <w:t xml:space="preserve">Връзка към уебстраниците на </w:t>
            </w:r>
            <w:r w:rsidR="008B679E" w:rsidRPr="008B679E">
              <w:t>MSP</w:t>
            </w:r>
            <w:r w:rsidRPr="00C83180">
              <w:t xml:space="preserve"> и списъка на идентифицираните T</w:t>
            </w:r>
            <w:r w:rsidR="008B679E">
              <w:t>С</w:t>
            </w:r>
            <w:r w:rsidRPr="00C83180">
              <w: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Cs w:val="24"/>
                <w:lang w:eastAsia="en-GB"/>
              </w:rPr>
            </w:pPr>
            <w:r w:rsidRPr="00C83180">
              <w:rPr>
                <w:szCs w:val="24"/>
                <w:lang w:eastAsia="en-GB"/>
              </w:rPr>
              <w:t>GROW</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Cs w:val="24"/>
                <w:lang w:eastAsia="en-GB"/>
              </w:rPr>
            </w:pPr>
            <w:r w:rsidRPr="00C83180">
              <w:rPr>
                <w:szCs w:val="24"/>
                <w:lang w:eastAsia="en-GB"/>
              </w:rPr>
              <w:t>преди следващото заседание</w:t>
            </w:r>
          </w:p>
        </w:tc>
      </w:tr>
      <w:tr w:rsidR="005B287D" w:rsidRPr="00C83180">
        <w:tc>
          <w:tcPr>
            <w:tcW w:w="8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 w:val="22"/>
                <w:szCs w:val="22"/>
                <w:lang w:eastAsia="en-GB"/>
              </w:rPr>
            </w:pPr>
            <w:r w:rsidRPr="00C83180">
              <w:rPr>
                <w:sz w:val="22"/>
                <w:szCs w:val="22"/>
                <w:lang w:eastAsia="en-GB"/>
              </w:rPr>
              <w:t>22.10</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8B679E">
            <w:pPr>
              <w:pStyle w:val="ListParagraph"/>
              <w:ind w:left="0"/>
            </w:pPr>
            <w:r w:rsidRPr="00C83180">
              <w:t xml:space="preserve">Да </w:t>
            </w:r>
            <w:r w:rsidR="008B679E">
              <w:t xml:space="preserve">се </w:t>
            </w:r>
            <w:r w:rsidRPr="00C83180">
              <w:t>включ</w:t>
            </w:r>
            <w:r w:rsidR="008B679E">
              <w:t>ат</w:t>
            </w:r>
            <w:r w:rsidRPr="00C83180">
              <w:t xml:space="preserve"> доклади</w:t>
            </w:r>
            <w:r w:rsidR="008B679E">
              <w:t>те</w:t>
            </w:r>
            <w:r w:rsidRPr="00C83180">
              <w:t xml:space="preserve"> за оценка в </w:t>
            </w:r>
            <w:proofErr w:type="spellStart"/>
            <w:r w:rsidRPr="00C83180">
              <w:t>JoinUp</w:t>
            </w:r>
            <w:proofErr w:type="spellEnd"/>
            <w:r w:rsidRPr="00C83180">
              <w:t xml:space="preserve"> и </w:t>
            </w:r>
            <w:r w:rsidR="008B679E">
              <w:t xml:space="preserve">да се </w:t>
            </w:r>
            <w:r w:rsidRPr="00C83180">
              <w:t>пром</w:t>
            </w:r>
            <w:r w:rsidR="008B679E">
              <w:t>ени</w:t>
            </w:r>
            <w:r w:rsidRPr="00C83180">
              <w:t xml:space="preserve"> заглавието.</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8B679E" w:rsidP="00C83180">
            <w:pPr>
              <w:spacing w:after="0"/>
              <w:jc w:val="left"/>
              <w:rPr>
                <w:szCs w:val="24"/>
                <w:lang w:eastAsia="en-GB"/>
              </w:rPr>
            </w:pPr>
            <w:r w:rsidRPr="008B679E">
              <w:rPr>
                <w:szCs w:val="24"/>
                <w:lang w:eastAsia="en-GB"/>
              </w:rPr>
              <w:t>MSP</w:t>
            </w:r>
            <w:r w:rsidR="00EC4333" w:rsidRPr="00C83180">
              <w:rPr>
                <w:szCs w:val="24"/>
                <w:lang w:eastAsia="en-GB"/>
              </w:rPr>
              <w:t xml:space="preserve"> секретариат</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Cs w:val="24"/>
                <w:lang w:eastAsia="en-GB"/>
              </w:rPr>
            </w:pPr>
            <w:r w:rsidRPr="00C83180">
              <w:rPr>
                <w:szCs w:val="24"/>
                <w:lang w:eastAsia="en-GB"/>
              </w:rPr>
              <w:t>преди следващото заседание</w:t>
            </w:r>
          </w:p>
        </w:tc>
      </w:tr>
      <w:tr w:rsidR="005B287D" w:rsidRPr="00C83180">
        <w:tc>
          <w:tcPr>
            <w:tcW w:w="8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 w:val="22"/>
                <w:szCs w:val="22"/>
                <w:lang w:eastAsia="en-GB"/>
              </w:rPr>
            </w:pPr>
            <w:r w:rsidRPr="00C83180">
              <w:rPr>
                <w:sz w:val="22"/>
                <w:szCs w:val="22"/>
                <w:lang w:eastAsia="en-GB"/>
              </w:rPr>
              <w:t>22.11</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8B679E">
            <w:pPr>
              <w:pStyle w:val="ListParagraph"/>
              <w:ind w:left="0"/>
            </w:pPr>
            <w:r w:rsidRPr="00C83180">
              <w:t xml:space="preserve">Да </w:t>
            </w:r>
            <w:r w:rsidR="008B679E">
              <w:t xml:space="preserve">се </w:t>
            </w:r>
            <w:r w:rsidRPr="00C83180">
              <w:t>предад</w:t>
            </w:r>
            <w:r w:rsidR="008B679E">
              <w:t>ат</w:t>
            </w:r>
            <w:r w:rsidRPr="00C83180">
              <w:t xml:space="preserve"> въпроси</w:t>
            </w:r>
            <w:r w:rsidR="008B679E">
              <w:t>те</w:t>
            </w:r>
            <w:r w:rsidRPr="00C83180">
              <w:t>/предложения</w:t>
            </w:r>
            <w:r w:rsidR="008B679E">
              <w:t>та</w:t>
            </w:r>
            <w:r w:rsidRPr="00C83180">
              <w:t xml:space="preserve"> за </w:t>
            </w:r>
            <w:r w:rsidR="008B679E" w:rsidRPr="00C83180">
              <w:t>проект</w:t>
            </w:r>
            <w:r w:rsidR="008B679E">
              <w:t>а</w:t>
            </w:r>
            <w:r w:rsidR="008B679E" w:rsidRPr="00C83180">
              <w:t xml:space="preserve"> </w:t>
            </w:r>
            <w:r w:rsidRPr="00C83180">
              <w:t>StandICT.EU.</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8B679E" w:rsidP="00C83180">
            <w:pPr>
              <w:spacing w:after="0"/>
              <w:jc w:val="left"/>
              <w:rPr>
                <w:szCs w:val="24"/>
                <w:lang w:eastAsia="en-GB"/>
              </w:rPr>
            </w:pPr>
            <w:r w:rsidRPr="008B679E">
              <w:rPr>
                <w:szCs w:val="24"/>
                <w:lang w:eastAsia="en-GB"/>
              </w:rPr>
              <w:t>MSP</w:t>
            </w:r>
            <w:r w:rsidR="00EC4333" w:rsidRPr="00C83180">
              <w:rPr>
                <w:szCs w:val="24"/>
                <w:lang w:eastAsia="en-GB"/>
              </w:rPr>
              <w:t xml:space="preserve"> членове</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B287D" w:rsidRPr="00C83180" w:rsidRDefault="00EC4333" w:rsidP="00C83180">
            <w:pPr>
              <w:spacing w:after="0"/>
              <w:jc w:val="left"/>
              <w:rPr>
                <w:szCs w:val="24"/>
                <w:lang w:eastAsia="en-GB"/>
              </w:rPr>
            </w:pPr>
            <w:r w:rsidRPr="00C83180">
              <w:rPr>
                <w:szCs w:val="24"/>
                <w:lang w:eastAsia="en-GB"/>
              </w:rPr>
              <w:t>15/1/2018</w:t>
            </w:r>
          </w:p>
        </w:tc>
      </w:tr>
    </w:tbl>
    <w:p w:rsidR="005B287D" w:rsidRDefault="005B287D" w:rsidP="00C83180">
      <w:pPr>
        <w:pStyle w:val="ListParagraph"/>
        <w:ind w:left="360"/>
        <w:rPr>
          <w:b/>
        </w:rPr>
      </w:pPr>
    </w:p>
    <w:p w:rsidR="00C55AA5" w:rsidRPr="00C83180" w:rsidRDefault="00C55AA5" w:rsidP="00C83180">
      <w:pPr>
        <w:pStyle w:val="ListParagraph"/>
        <w:ind w:left="360"/>
        <w:rPr>
          <w:b/>
        </w:rPr>
      </w:pPr>
    </w:p>
    <w:p w:rsidR="005B287D" w:rsidRPr="00C83180" w:rsidRDefault="00EC4333" w:rsidP="00C83180">
      <w:pPr>
        <w:pStyle w:val="Heading1"/>
        <w:numPr>
          <w:ilvl w:val="0"/>
          <w:numId w:val="4"/>
        </w:numPr>
        <w:spacing w:before="0" w:after="0"/>
      </w:pPr>
      <w:r w:rsidRPr="00C83180">
        <w:t>Списък на участниците</w:t>
      </w:r>
    </w:p>
    <w:p w:rsidR="005B287D" w:rsidRPr="00C83180" w:rsidRDefault="008B679E" w:rsidP="00C83180">
      <w:pPr>
        <w:pStyle w:val="Text1"/>
        <w:spacing w:after="0"/>
        <w:ind w:left="0"/>
      </w:pPr>
      <w:proofErr w:type="spellStart"/>
      <w:r w:rsidRPr="008B679E">
        <w:t>Abrahamse</w:t>
      </w:r>
      <w:proofErr w:type="spellEnd"/>
      <w:r w:rsidRPr="008B679E">
        <w:t xml:space="preserve"> </w:t>
      </w:r>
      <w:proofErr w:type="spellStart"/>
      <w:r w:rsidRPr="008B679E">
        <w:t>Marijke</w:t>
      </w:r>
      <w:proofErr w:type="spellEnd"/>
      <w:r w:rsidRPr="008B679E">
        <w:t xml:space="preserve">, </w:t>
      </w:r>
      <w:proofErr w:type="spellStart"/>
      <w:r w:rsidRPr="008B679E">
        <w:t>Boch</w:t>
      </w:r>
      <w:proofErr w:type="spellEnd"/>
      <w:r w:rsidRPr="008B679E">
        <w:t xml:space="preserve"> </w:t>
      </w:r>
      <w:proofErr w:type="spellStart"/>
      <w:r w:rsidRPr="008B679E">
        <w:t>Camelia</w:t>
      </w:r>
      <w:proofErr w:type="spellEnd"/>
      <w:r w:rsidRPr="008B679E">
        <w:t xml:space="preserve">, </w:t>
      </w:r>
      <w:proofErr w:type="spellStart"/>
      <w:r w:rsidRPr="008B679E">
        <w:t>Biro</w:t>
      </w:r>
      <w:proofErr w:type="spellEnd"/>
      <w:r w:rsidRPr="008B679E">
        <w:t xml:space="preserve"> </w:t>
      </w:r>
      <w:proofErr w:type="spellStart"/>
      <w:r w:rsidRPr="008B679E">
        <w:t>Timea</w:t>
      </w:r>
      <w:proofErr w:type="spellEnd"/>
      <w:r w:rsidRPr="008B679E">
        <w:t xml:space="preserve">, </w:t>
      </w:r>
      <w:proofErr w:type="spellStart"/>
      <w:r w:rsidRPr="008B679E">
        <w:t>Brand</w:t>
      </w:r>
      <w:proofErr w:type="spellEnd"/>
      <w:r w:rsidRPr="008B679E">
        <w:t xml:space="preserve"> </w:t>
      </w:r>
      <w:proofErr w:type="spellStart"/>
      <w:r w:rsidRPr="008B679E">
        <w:t>Hermann</w:t>
      </w:r>
      <w:proofErr w:type="spellEnd"/>
      <w:r w:rsidRPr="008B679E">
        <w:t xml:space="preserve">, </w:t>
      </w:r>
      <w:proofErr w:type="spellStart"/>
      <w:r w:rsidRPr="008B679E">
        <w:t>Caccia</w:t>
      </w:r>
      <w:proofErr w:type="spellEnd"/>
      <w:r w:rsidRPr="008B679E">
        <w:t xml:space="preserve"> </w:t>
      </w:r>
      <w:proofErr w:type="spellStart"/>
      <w:r w:rsidRPr="008B679E">
        <w:t>Andrea</w:t>
      </w:r>
      <w:proofErr w:type="spellEnd"/>
      <w:r w:rsidRPr="008B679E">
        <w:t xml:space="preserve">, </w:t>
      </w:r>
      <w:proofErr w:type="spellStart"/>
      <w:r w:rsidRPr="008B679E">
        <w:t>Cosgrove-Sacks</w:t>
      </w:r>
      <w:proofErr w:type="spellEnd"/>
      <w:r w:rsidRPr="008B679E">
        <w:t xml:space="preserve"> </w:t>
      </w:r>
      <w:proofErr w:type="spellStart"/>
      <w:r w:rsidRPr="008B679E">
        <w:t>Carole</w:t>
      </w:r>
      <w:proofErr w:type="spellEnd"/>
      <w:r w:rsidRPr="008B679E">
        <w:t xml:space="preserve">, </w:t>
      </w:r>
      <w:proofErr w:type="spellStart"/>
      <w:r w:rsidRPr="008B679E">
        <w:t>Chapman</w:t>
      </w:r>
      <w:proofErr w:type="spellEnd"/>
      <w:r w:rsidRPr="008B679E">
        <w:t xml:space="preserve"> Martin, </w:t>
      </w:r>
      <w:proofErr w:type="spellStart"/>
      <w:r w:rsidRPr="008B679E">
        <w:t>Cascella</w:t>
      </w:r>
      <w:proofErr w:type="spellEnd"/>
      <w:r w:rsidRPr="008B679E">
        <w:t xml:space="preserve"> </w:t>
      </w:r>
      <w:proofErr w:type="spellStart"/>
      <w:r w:rsidRPr="008B679E">
        <w:t>Roberto</w:t>
      </w:r>
      <w:proofErr w:type="spellEnd"/>
      <w:r w:rsidRPr="008B679E">
        <w:t xml:space="preserve"> </w:t>
      </w:r>
      <w:proofErr w:type="spellStart"/>
      <w:r w:rsidRPr="008B679E">
        <w:t>Gioacchino</w:t>
      </w:r>
      <w:proofErr w:type="spellEnd"/>
      <w:r w:rsidRPr="008B679E">
        <w:t xml:space="preserve">, </w:t>
      </w:r>
      <w:proofErr w:type="spellStart"/>
      <w:r w:rsidRPr="008B679E">
        <w:t>Dam</w:t>
      </w:r>
      <w:proofErr w:type="spellEnd"/>
      <w:r w:rsidRPr="008B679E">
        <w:t xml:space="preserve"> </w:t>
      </w:r>
      <w:proofErr w:type="spellStart"/>
      <w:r w:rsidRPr="008B679E">
        <w:t>Mette</w:t>
      </w:r>
      <w:proofErr w:type="spellEnd"/>
      <w:r w:rsidRPr="008B679E">
        <w:t xml:space="preserve">, </w:t>
      </w:r>
      <w:proofErr w:type="spellStart"/>
      <w:r w:rsidRPr="008B679E">
        <w:t>Dor</w:t>
      </w:r>
      <w:proofErr w:type="spellEnd"/>
      <w:r w:rsidRPr="008B679E">
        <w:t xml:space="preserve"> </w:t>
      </w:r>
      <w:proofErr w:type="spellStart"/>
      <w:r w:rsidRPr="008B679E">
        <w:t>Margot</w:t>
      </w:r>
      <w:proofErr w:type="spellEnd"/>
      <w:r w:rsidRPr="008B679E">
        <w:t xml:space="preserve">, </w:t>
      </w:r>
      <w:proofErr w:type="spellStart"/>
      <w:r w:rsidRPr="008B679E">
        <w:t>Encarnação</w:t>
      </w:r>
      <w:proofErr w:type="spellEnd"/>
      <w:r w:rsidRPr="008B679E">
        <w:t xml:space="preserve"> </w:t>
      </w:r>
      <w:proofErr w:type="spellStart"/>
      <w:r w:rsidRPr="008B679E">
        <w:t>Nuno</w:t>
      </w:r>
      <w:proofErr w:type="spellEnd"/>
      <w:r w:rsidRPr="008B679E">
        <w:t xml:space="preserve">, </w:t>
      </w:r>
      <w:proofErr w:type="spellStart"/>
      <w:r w:rsidRPr="008B679E">
        <w:t>Ferrazza</w:t>
      </w:r>
      <w:proofErr w:type="spellEnd"/>
      <w:r w:rsidRPr="008B679E">
        <w:t xml:space="preserve"> </w:t>
      </w:r>
      <w:proofErr w:type="spellStart"/>
      <w:r w:rsidRPr="008B679E">
        <w:t>Marcellino</w:t>
      </w:r>
      <w:proofErr w:type="spellEnd"/>
      <w:r w:rsidRPr="008B679E">
        <w:t xml:space="preserve">, </w:t>
      </w:r>
      <w:proofErr w:type="spellStart"/>
      <w:r w:rsidRPr="008B679E">
        <w:t>Friedrich</w:t>
      </w:r>
      <w:proofErr w:type="spellEnd"/>
      <w:r w:rsidRPr="008B679E">
        <w:t xml:space="preserve"> </w:t>
      </w:r>
      <w:proofErr w:type="spellStart"/>
      <w:r w:rsidRPr="008B679E">
        <w:t>Jochen</w:t>
      </w:r>
      <w:proofErr w:type="spellEnd"/>
      <w:r w:rsidRPr="008B679E">
        <w:t xml:space="preserve">, Ford </w:t>
      </w:r>
      <w:proofErr w:type="spellStart"/>
      <w:r w:rsidRPr="008B679E">
        <w:t>Matthew</w:t>
      </w:r>
      <w:proofErr w:type="spellEnd"/>
      <w:r w:rsidRPr="008B679E">
        <w:t xml:space="preserve">, </w:t>
      </w:r>
      <w:proofErr w:type="spellStart"/>
      <w:r w:rsidRPr="008B679E">
        <w:t>Garcia</w:t>
      </w:r>
      <w:proofErr w:type="spellEnd"/>
      <w:r w:rsidRPr="008B679E">
        <w:t xml:space="preserve"> </w:t>
      </w:r>
      <w:proofErr w:type="spellStart"/>
      <w:r w:rsidRPr="008B679E">
        <w:t>Garcia</w:t>
      </w:r>
      <w:proofErr w:type="spellEnd"/>
      <w:r w:rsidRPr="008B679E">
        <w:t xml:space="preserve"> </w:t>
      </w:r>
      <w:proofErr w:type="spellStart"/>
      <w:r w:rsidRPr="008B679E">
        <w:t>Emilio</w:t>
      </w:r>
      <w:proofErr w:type="spellEnd"/>
      <w:r w:rsidRPr="008B679E">
        <w:t xml:space="preserve">, </w:t>
      </w:r>
      <w:proofErr w:type="spellStart"/>
      <w:r w:rsidRPr="008B679E">
        <w:t>Gallego</w:t>
      </w:r>
      <w:proofErr w:type="spellEnd"/>
      <w:r w:rsidRPr="008B679E">
        <w:t xml:space="preserve"> </w:t>
      </w:r>
      <w:proofErr w:type="spellStart"/>
      <w:r w:rsidRPr="008B679E">
        <w:t>Vilches</w:t>
      </w:r>
      <w:proofErr w:type="spellEnd"/>
      <w:r w:rsidRPr="008B679E">
        <w:t xml:space="preserve"> </w:t>
      </w:r>
      <w:proofErr w:type="spellStart"/>
      <w:r w:rsidRPr="008B679E">
        <w:t>Luis</w:t>
      </w:r>
      <w:proofErr w:type="spellEnd"/>
      <w:r w:rsidRPr="008B679E">
        <w:t xml:space="preserve">, </w:t>
      </w:r>
      <w:proofErr w:type="spellStart"/>
      <w:r w:rsidRPr="008B679E">
        <w:t>Gorniak</w:t>
      </w:r>
      <w:proofErr w:type="spellEnd"/>
      <w:r w:rsidRPr="008B679E">
        <w:t xml:space="preserve"> </w:t>
      </w:r>
      <w:proofErr w:type="spellStart"/>
      <w:r w:rsidRPr="008B679E">
        <w:t>Slawomir</w:t>
      </w:r>
      <w:proofErr w:type="spellEnd"/>
      <w:r w:rsidRPr="008B679E">
        <w:t xml:space="preserve">, </w:t>
      </w:r>
      <w:proofErr w:type="spellStart"/>
      <w:r w:rsidRPr="008B679E">
        <w:t>Hanssens</w:t>
      </w:r>
      <w:proofErr w:type="spellEnd"/>
      <w:r w:rsidRPr="008B679E">
        <w:t xml:space="preserve"> </w:t>
      </w:r>
      <w:proofErr w:type="spellStart"/>
      <w:r w:rsidRPr="008B679E">
        <w:t>Bart</w:t>
      </w:r>
      <w:proofErr w:type="spellEnd"/>
      <w:r w:rsidRPr="008B679E">
        <w:t xml:space="preserve">, </w:t>
      </w:r>
      <w:proofErr w:type="spellStart"/>
      <w:r w:rsidRPr="008B679E">
        <w:t>Hicks</w:t>
      </w:r>
      <w:proofErr w:type="spellEnd"/>
      <w:r w:rsidRPr="008B679E">
        <w:t xml:space="preserve"> </w:t>
      </w:r>
      <w:proofErr w:type="spellStart"/>
      <w:r w:rsidRPr="008B679E">
        <w:t>Simon</w:t>
      </w:r>
      <w:proofErr w:type="spellEnd"/>
      <w:r w:rsidRPr="008B679E">
        <w:t xml:space="preserve">, </w:t>
      </w:r>
      <w:proofErr w:type="spellStart"/>
      <w:r w:rsidRPr="008B679E">
        <w:t>Kaunistola</w:t>
      </w:r>
      <w:proofErr w:type="spellEnd"/>
      <w:r w:rsidRPr="008B679E">
        <w:t xml:space="preserve"> </w:t>
      </w:r>
      <w:proofErr w:type="spellStart"/>
      <w:r w:rsidRPr="008B679E">
        <w:t>Esa</w:t>
      </w:r>
      <w:proofErr w:type="spellEnd"/>
      <w:r w:rsidRPr="008B679E">
        <w:t xml:space="preserve">, </w:t>
      </w:r>
      <w:proofErr w:type="spellStart"/>
      <w:r w:rsidRPr="008B679E">
        <w:t>Kohler</w:t>
      </w:r>
      <w:proofErr w:type="spellEnd"/>
      <w:r w:rsidRPr="008B679E">
        <w:t xml:space="preserve"> </w:t>
      </w:r>
      <w:proofErr w:type="spellStart"/>
      <w:r w:rsidRPr="008B679E">
        <w:t>Constant</w:t>
      </w:r>
      <w:proofErr w:type="spellEnd"/>
      <w:r w:rsidRPr="008B679E">
        <w:t xml:space="preserve">, </w:t>
      </w:r>
      <w:proofErr w:type="spellStart"/>
      <w:r w:rsidRPr="008B679E">
        <w:t>Ketchell</w:t>
      </w:r>
      <w:proofErr w:type="spellEnd"/>
      <w:r w:rsidRPr="008B679E">
        <w:t xml:space="preserve"> John, </w:t>
      </w:r>
      <w:proofErr w:type="spellStart"/>
      <w:r w:rsidRPr="008B679E">
        <w:t>Kuebler-Bork</w:t>
      </w:r>
      <w:proofErr w:type="spellEnd"/>
      <w:r w:rsidRPr="008B679E">
        <w:t xml:space="preserve"> </w:t>
      </w:r>
      <w:proofErr w:type="spellStart"/>
      <w:r w:rsidRPr="008B679E">
        <w:t>Annegret</w:t>
      </w:r>
      <w:proofErr w:type="spellEnd"/>
      <w:r w:rsidRPr="008B679E">
        <w:t xml:space="preserve">, </w:t>
      </w:r>
      <w:proofErr w:type="spellStart"/>
      <w:r w:rsidRPr="008B679E">
        <w:t>McCann</w:t>
      </w:r>
      <w:proofErr w:type="spellEnd"/>
      <w:r w:rsidRPr="008B679E">
        <w:t xml:space="preserve"> </w:t>
      </w:r>
      <w:proofErr w:type="spellStart"/>
      <w:r w:rsidRPr="008B679E">
        <w:t>Natasha</w:t>
      </w:r>
      <w:proofErr w:type="spellEnd"/>
      <w:r w:rsidRPr="008B679E">
        <w:t xml:space="preserve">, </w:t>
      </w:r>
      <w:proofErr w:type="spellStart"/>
      <w:r w:rsidRPr="008B679E">
        <w:t>Moledo</w:t>
      </w:r>
      <w:proofErr w:type="spellEnd"/>
      <w:r w:rsidRPr="008B679E">
        <w:t xml:space="preserve"> </w:t>
      </w:r>
      <w:proofErr w:type="spellStart"/>
      <w:r w:rsidRPr="008B679E">
        <w:t>Alejandro</w:t>
      </w:r>
      <w:proofErr w:type="spellEnd"/>
      <w:r w:rsidRPr="008B679E">
        <w:t xml:space="preserve">, </w:t>
      </w:r>
      <w:proofErr w:type="spellStart"/>
      <w:r w:rsidRPr="008B679E">
        <w:t>McAuliffe</w:t>
      </w:r>
      <w:proofErr w:type="spellEnd"/>
      <w:r w:rsidRPr="008B679E">
        <w:t xml:space="preserve"> </w:t>
      </w:r>
      <w:proofErr w:type="spellStart"/>
      <w:r w:rsidRPr="008B679E">
        <w:t>Brian</w:t>
      </w:r>
      <w:proofErr w:type="spellEnd"/>
      <w:r w:rsidRPr="008B679E">
        <w:t xml:space="preserve">, </w:t>
      </w:r>
      <w:proofErr w:type="spellStart"/>
      <w:r w:rsidRPr="008B679E">
        <w:t>Law</w:t>
      </w:r>
      <w:proofErr w:type="spellEnd"/>
      <w:r w:rsidRPr="008B679E">
        <w:t xml:space="preserve"> </w:t>
      </w:r>
      <w:proofErr w:type="spellStart"/>
      <w:r w:rsidRPr="008B679E">
        <w:t>David</w:t>
      </w:r>
      <w:proofErr w:type="spellEnd"/>
      <w:r w:rsidRPr="008B679E">
        <w:t xml:space="preserve">, </w:t>
      </w:r>
      <w:proofErr w:type="spellStart"/>
      <w:r w:rsidRPr="008B679E">
        <w:t>Lovegrove</w:t>
      </w:r>
      <w:proofErr w:type="spellEnd"/>
      <w:r w:rsidRPr="008B679E">
        <w:t xml:space="preserve"> </w:t>
      </w:r>
      <w:proofErr w:type="spellStart"/>
      <w:r w:rsidRPr="008B679E">
        <w:t>James</w:t>
      </w:r>
      <w:proofErr w:type="spellEnd"/>
      <w:r w:rsidRPr="008B679E">
        <w:t xml:space="preserve">, </w:t>
      </w:r>
      <w:proofErr w:type="spellStart"/>
      <w:r w:rsidRPr="008B679E">
        <w:t>Ludwig</w:t>
      </w:r>
      <w:proofErr w:type="spellEnd"/>
      <w:r w:rsidRPr="008B679E">
        <w:t xml:space="preserve">  </w:t>
      </w:r>
      <w:proofErr w:type="spellStart"/>
      <w:r w:rsidRPr="008B679E">
        <w:t>Michel</w:t>
      </w:r>
      <w:proofErr w:type="spellEnd"/>
      <w:r w:rsidRPr="008B679E">
        <w:t xml:space="preserve">, </w:t>
      </w:r>
      <w:proofErr w:type="spellStart"/>
      <w:r w:rsidRPr="008B679E">
        <w:t>Madfors</w:t>
      </w:r>
      <w:proofErr w:type="spellEnd"/>
      <w:r w:rsidRPr="008B679E">
        <w:t xml:space="preserve"> </w:t>
      </w:r>
      <w:proofErr w:type="spellStart"/>
      <w:r w:rsidRPr="008B679E">
        <w:t>Magnus</w:t>
      </w:r>
      <w:proofErr w:type="spellEnd"/>
      <w:r w:rsidRPr="008B679E">
        <w:t xml:space="preserve">, </w:t>
      </w:r>
      <w:proofErr w:type="spellStart"/>
      <w:r w:rsidRPr="008B679E">
        <w:t>Muto</w:t>
      </w:r>
      <w:proofErr w:type="spellEnd"/>
      <w:r w:rsidRPr="008B679E">
        <w:t xml:space="preserve"> </w:t>
      </w:r>
      <w:proofErr w:type="spellStart"/>
      <w:r w:rsidRPr="008B679E">
        <w:t>Sachiko</w:t>
      </w:r>
      <w:proofErr w:type="spellEnd"/>
      <w:r w:rsidRPr="008B679E">
        <w:t xml:space="preserve">, Pesheva Daniela, </w:t>
      </w:r>
      <w:proofErr w:type="spellStart"/>
      <w:r w:rsidRPr="008B679E">
        <w:t>Porath</w:t>
      </w:r>
      <w:proofErr w:type="spellEnd"/>
      <w:r w:rsidRPr="008B679E">
        <w:t xml:space="preserve"> </w:t>
      </w:r>
      <w:proofErr w:type="spellStart"/>
      <w:r w:rsidRPr="008B679E">
        <w:t>Rebekka</w:t>
      </w:r>
      <w:proofErr w:type="spellEnd"/>
      <w:r w:rsidRPr="008B679E">
        <w:t xml:space="preserve">, </w:t>
      </w:r>
      <w:proofErr w:type="spellStart"/>
      <w:r w:rsidRPr="008B679E">
        <w:t>Polidori</w:t>
      </w:r>
      <w:proofErr w:type="spellEnd"/>
      <w:r w:rsidRPr="008B679E">
        <w:t xml:space="preserve"> </w:t>
      </w:r>
      <w:proofErr w:type="spellStart"/>
      <w:r w:rsidRPr="008B679E">
        <w:t>Stefano</w:t>
      </w:r>
      <w:proofErr w:type="spellEnd"/>
      <w:r w:rsidRPr="008B679E">
        <w:t xml:space="preserve">, </w:t>
      </w:r>
      <w:proofErr w:type="spellStart"/>
      <w:r w:rsidRPr="008B679E">
        <w:t>Rognvaldardottir</w:t>
      </w:r>
      <w:proofErr w:type="spellEnd"/>
      <w:r w:rsidRPr="008B679E">
        <w:t xml:space="preserve"> </w:t>
      </w:r>
      <w:proofErr w:type="spellStart"/>
      <w:r w:rsidRPr="008B679E">
        <w:t>Gudrun</w:t>
      </w:r>
      <w:proofErr w:type="spellEnd"/>
      <w:r w:rsidRPr="008B679E">
        <w:t xml:space="preserve">,  </w:t>
      </w:r>
      <w:proofErr w:type="spellStart"/>
      <w:r w:rsidRPr="008B679E">
        <w:t>Skop</w:t>
      </w:r>
      <w:proofErr w:type="spellEnd"/>
      <w:r w:rsidRPr="008B679E">
        <w:t xml:space="preserve"> Miroslav, </w:t>
      </w:r>
      <w:proofErr w:type="spellStart"/>
      <w:r w:rsidRPr="008B679E">
        <w:t>Staromiejski-Torregrossa</w:t>
      </w:r>
      <w:proofErr w:type="spellEnd"/>
      <w:r w:rsidRPr="008B679E">
        <w:t xml:space="preserve"> </w:t>
      </w:r>
      <w:proofErr w:type="spellStart"/>
      <w:r w:rsidRPr="008B679E">
        <w:t>Enric</w:t>
      </w:r>
      <w:proofErr w:type="spellEnd"/>
      <w:r w:rsidRPr="008B679E">
        <w:t xml:space="preserve">, </w:t>
      </w:r>
      <w:proofErr w:type="spellStart"/>
      <w:r w:rsidRPr="008B679E">
        <w:t>Tziapouras</w:t>
      </w:r>
      <w:proofErr w:type="spellEnd"/>
      <w:r w:rsidRPr="008B679E">
        <w:t xml:space="preserve"> </w:t>
      </w:r>
      <w:proofErr w:type="spellStart"/>
      <w:r w:rsidRPr="008B679E">
        <w:t>Marios</w:t>
      </w:r>
      <w:proofErr w:type="spellEnd"/>
      <w:r w:rsidRPr="008B679E">
        <w:t xml:space="preserve">, </w:t>
      </w:r>
      <w:proofErr w:type="spellStart"/>
      <w:r w:rsidRPr="008B679E">
        <w:t>Toffaletti</w:t>
      </w:r>
      <w:proofErr w:type="spellEnd"/>
      <w:r w:rsidRPr="008B679E">
        <w:t xml:space="preserve"> </w:t>
      </w:r>
      <w:proofErr w:type="spellStart"/>
      <w:r w:rsidRPr="008B679E">
        <w:t>Sebastiano</w:t>
      </w:r>
      <w:proofErr w:type="spellEnd"/>
      <w:r w:rsidRPr="008B679E">
        <w:t xml:space="preserve">, Van </w:t>
      </w:r>
      <w:proofErr w:type="spellStart"/>
      <w:r w:rsidRPr="008B679E">
        <w:t>Burg</w:t>
      </w:r>
      <w:proofErr w:type="spellEnd"/>
      <w:r w:rsidRPr="008B679E">
        <w:t xml:space="preserve"> </w:t>
      </w:r>
      <w:proofErr w:type="spellStart"/>
      <w:r w:rsidRPr="008B679E">
        <w:t>Harm</w:t>
      </w:r>
      <w:proofErr w:type="spellEnd"/>
      <w:r w:rsidRPr="008B679E">
        <w:t xml:space="preserve"> </w:t>
      </w:r>
      <w:proofErr w:type="spellStart"/>
      <w:r w:rsidRPr="008B679E">
        <w:t>Jan</w:t>
      </w:r>
      <w:proofErr w:type="spellEnd"/>
      <w:r w:rsidRPr="008B679E">
        <w:t xml:space="preserve">, </w:t>
      </w:r>
      <w:proofErr w:type="spellStart"/>
      <w:r w:rsidRPr="008B679E">
        <w:t>Weiler</w:t>
      </w:r>
      <w:proofErr w:type="spellEnd"/>
      <w:r w:rsidRPr="008B679E">
        <w:t xml:space="preserve"> </w:t>
      </w:r>
      <w:proofErr w:type="spellStart"/>
      <w:r w:rsidRPr="008B679E">
        <w:t>Dirk</w:t>
      </w:r>
      <w:proofErr w:type="spellEnd"/>
      <w:r w:rsidRPr="008B679E">
        <w:t xml:space="preserve">, </w:t>
      </w:r>
      <w:proofErr w:type="spellStart"/>
      <w:r w:rsidRPr="008B679E">
        <w:t>Wenning</w:t>
      </w:r>
      <w:proofErr w:type="spellEnd"/>
      <w:r w:rsidRPr="008B679E">
        <w:t xml:space="preserve"> </w:t>
      </w:r>
      <w:proofErr w:type="spellStart"/>
      <w:r w:rsidRPr="008B679E">
        <w:t>Rigo</w:t>
      </w:r>
      <w:proofErr w:type="spellEnd"/>
      <w:r w:rsidRPr="008B679E">
        <w:t xml:space="preserve">, </w:t>
      </w:r>
      <w:proofErr w:type="spellStart"/>
      <w:r w:rsidRPr="008B679E">
        <w:t>Weisgerber</w:t>
      </w:r>
      <w:proofErr w:type="spellEnd"/>
      <w:r w:rsidRPr="008B679E">
        <w:t xml:space="preserve"> </w:t>
      </w:r>
      <w:proofErr w:type="spellStart"/>
      <w:r w:rsidRPr="008B679E">
        <w:t>Stefan</w:t>
      </w:r>
      <w:proofErr w:type="spellEnd"/>
      <w:r w:rsidRPr="008B679E">
        <w:t xml:space="preserve">, </w:t>
      </w:r>
      <w:proofErr w:type="spellStart"/>
      <w:r w:rsidRPr="008B679E">
        <w:t>Willson</w:t>
      </w:r>
      <w:proofErr w:type="spellEnd"/>
      <w:r w:rsidRPr="008B679E">
        <w:t xml:space="preserve"> </w:t>
      </w:r>
      <w:proofErr w:type="spellStart"/>
      <w:r w:rsidRPr="008B679E">
        <w:t>Thomas</w:t>
      </w:r>
      <w:proofErr w:type="spellEnd"/>
      <w:r w:rsidRPr="008B679E">
        <w:t xml:space="preserve">, </w:t>
      </w:r>
      <w:proofErr w:type="spellStart"/>
      <w:r w:rsidRPr="008B679E">
        <w:t>Wirths</w:t>
      </w:r>
      <w:proofErr w:type="spellEnd"/>
      <w:r w:rsidRPr="008B679E">
        <w:t xml:space="preserve"> </w:t>
      </w:r>
      <w:proofErr w:type="spellStart"/>
      <w:r w:rsidRPr="008B679E">
        <w:t>Franziska</w:t>
      </w:r>
      <w:proofErr w:type="spellEnd"/>
      <w:r w:rsidRPr="008B679E">
        <w:t xml:space="preserve">, </w:t>
      </w:r>
      <w:proofErr w:type="spellStart"/>
      <w:r w:rsidRPr="008B679E">
        <w:t>Wurges</w:t>
      </w:r>
      <w:proofErr w:type="spellEnd"/>
      <w:r w:rsidRPr="008B679E">
        <w:t xml:space="preserve"> </w:t>
      </w:r>
      <w:proofErr w:type="spellStart"/>
      <w:r w:rsidRPr="008B679E">
        <w:t>Dominique</w:t>
      </w:r>
      <w:proofErr w:type="spellEnd"/>
      <w:r w:rsidRPr="008B679E">
        <w:t xml:space="preserve">, </w:t>
      </w:r>
      <w:proofErr w:type="spellStart"/>
      <w:r w:rsidRPr="008B679E">
        <w:t>Antti</w:t>
      </w:r>
      <w:proofErr w:type="spellEnd"/>
      <w:r w:rsidRPr="008B679E">
        <w:t xml:space="preserve"> </w:t>
      </w:r>
      <w:proofErr w:type="spellStart"/>
      <w:r w:rsidRPr="008B679E">
        <w:t>Eskola</w:t>
      </w:r>
      <w:proofErr w:type="spellEnd"/>
      <w:r w:rsidRPr="008B679E">
        <w:t xml:space="preserve">, </w:t>
      </w:r>
      <w:proofErr w:type="spellStart"/>
      <w:r w:rsidRPr="008B679E">
        <w:t>Lars</w:t>
      </w:r>
      <w:proofErr w:type="spellEnd"/>
      <w:r w:rsidRPr="008B679E">
        <w:t xml:space="preserve"> </w:t>
      </w:r>
      <w:proofErr w:type="spellStart"/>
      <w:r w:rsidRPr="008B679E">
        <w:t>Erik</w:t>
      </w:r>
      <w:proofErr w:type="spellEnd"/>
      <w:r w:rsidRPr="008B679E">
        <w:t xml:space="preserve"> </w:t>
      </w:r>
      <w:proofErr w:type="spellStart"/>
      <w:r w:rsidRPr="008B679E">
        <w:t>Myhre</w:t>
      </w:r>
      <w:proofErr w:type="spellEnd"/>
      <w:r>
        <w:t xml:space="preserve">, </w:t>
      </w:r>
      <w:r w:rsidR="00EC4333" w:rsidRPr="00C83180">
        <w:t>служители на Европейската комисия.</w:t>
      </w:r>
    </w:p>
    <w:sectPr w:rsidR="005B287D" w:rsidRPr="00C83180" w:rsidSect="00C55AA5">
      <w:footerReference w:type="default" r:id="rId26"/>
      <w:footerReference w:type="first" r:id="rId27"/>
      <w:pgSz w:w="11906" w:h="16838"/>
      <w:pgMar w:top="277" w:right="1133" w:bottom="709" w:left="1587" w:header="601" w:footer="533" w:gutter="0"/>
      <w:cols w:space="708"/>
      <w:formProt w:val="0"/>
      <w:titlePg/>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727" w:rsidRDefault="00F61727">
      <w:pPr>
        <w:spacing w:after="0"/>
      </w:pPr>
      <w:r>
        <w:separator/>
      </w:r>
    </w:p>
  </w:endnote>
  <w:endnote w:type="continuationSeparator" w:id="0">
    <w:p w:rsidR="00F61727" w:rsidRDefault="00F617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Bitstream Vera Sans">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FF6" w:rsidRDefault="00463FF6">
    <w:pPr>
      <w:pStyle w:val="Footer"/>
      <w:jc w:val="center"/>
    </w:pPr>
    <w:r>
      <w:fldChar w:fldCharType="begin"/>
    </w:r>
    <w:r>
      <w:instrText>PAGE</w:instrText>
    </w:r>
    <w:r>
      <w:fldChar w:fldCharType="separate"/>
    </w:r>
    <w:r w:rsidR="00DF56F4">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FF6" w:rsidRDefault="00463FF6">
    <w:pPr>
      <w:pStyle w:val="Footer"/>
      <w:rPr>
        <w:sz w:val="24"/>
        <w:szCs w:val="24"/>
        <w:lang w:val="en-US"/>
      </w:rPr>
    </w:pPr>
  </w:p>
  <w:p w:rsidR="00463FF6" w:rsidRDefault="00463FF6">
    <w:pPr>
      <w:pStyle w:val="Footer"/>
      <w:rPr>
        <w:lang w:val="en-US"/>
      </w:rPr>
    </w:pPr>
    <w:proofErr w:type="spellStart"/>
    <w:r>
      <w:rPr>
        <w:lang w:val="fr-BE"/>
      </w:rPr>
      <w:t>Европейска</w:t>
    </w:r>
    <w:proofErr w:type="spellEnd"/>
    <w:r>
      <w:rPr>
        <w:lang w:val="fr-BE"/>
      </w:rPr>
      <w:t xml:space="preserve"> </w:t>
    </w:r>
    <w:proofErr w:type="spellStart"/>
    <w:r>
      <w:rPr>
        <w:lang w:val="fr-BE"/>
      </w:rPr>
      <w:t>комисия</w:t>
    </w:r>
    <w:proofErr w:type="spellEnd"/>
    <w:r>
      <w:rPr>
        <w:lang w:val="fr-BE"/>
      </w:rPr>
      <w:t>/</w:t>
    </w:r>
    <w:proofErr w:type="spellStart"/>
    <w:r>
      <w:rPr>
        <w:lang w:val="fr-BE"/>
      </w:rPr>
      <w:t>Europese</w:t>
    </w:r>
    <w:proofErr w:type="spellEnd"/>
    <w:r>
      <w:rPr>
        <w:lang w:val="fr-BE"/>
      </w:rPr>
      <w:t xml:space="preserve"> </w:t>
    </w:r>
    <w:proofErr w:type="spellStart"/>
    <w:r>
      <w:rPr>
        <w:lang w:val="fr-BE"/>
      </w:rPr>
      <w:t>Commissie</w:t>
    </w:r>
    <w:proofErr w:type="spellEnd"/>
    <w:r>
      <w:rPr>
        <w:lang w:val="fr-BE"/>
      </w:rPr>
      <w:t xml:space="preserve">, 1049 Bruxelles/Brussel, BELGIQUE/BELGIË — </w:t>
    </w:r>
    <w:proofErr w:type="spellStart"/>
    <w:r>
      <w:rPr>
        <w:lang w:val="fr-BE"/>
      </w:rPr>
      <w:t>Тел</w:t>
    </w:r>
    <w:proofErr w:type="spellEnd"/>
    <w:r>
      <w:rPr>
        <w:lang w:val="fr-BE"/>
      </w:rPr>
      <w:t>. + 32 22991111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727" w:rsidRDefault="00F61727">
      <w:r>
        <w:separator/>
      </w:r>
    </w:p>
  </w:footnote>
  <w:footnote w:type="continuationSeparator" w:id="0">
    <w:p w:rsidR="00F61727" w:rsidRDefault="00F61727">
      <w:r>
        <w:continuationSeparator/>
      </w:r>
    </w:p>
  </w:footnote>
  <w:footnote w:id="1">
    <w:p w:rsidR="00463FF6" w:rsidRDefault="00463FF6">
      <w:pPr>
        <w:pStyle w:val="FootnoteText"/>
        <w:spacing w:after="0"/>
      </w:pPr>
      <w:r>
        <w:footnoteRef/>
      </w:r>
      <w:r>
        <w:tab/>
        <w:t>Публикувано в Регистъра на експертните групи към Комисията и други подобни органи, код номер E02758</w:t>
      </w:r>
    </w:p>
  </w:footnote>
  <w:footnote w:id="2">
    <w:p w:rsidR="00463FF6" w:rsidRDefault="00463FF6">
      <w:pPr>
        <w:pStyle w:val="FootnoteText"/>
        <w:spacing w:after="0"/>
        <w:ind w:left="0" w:firstLine="0"/>
      </w:pPr>
      <w:r>
        <w:footnoteRef/>
      </w:r>
      <w:r>
        <w:tab/>
        <w:t>Платформата се състои от представители от държавите членки и страните от ЕАСТ, както и на европейските и международните органи за стандартизация и други организации с нестопанска цел, действащи в Европа при разработването на стандарти в областта на ИКТ и организации, представляващи отрасъла, малките и средните предприятия, потребителите и други заинтересовани обществени групи, назначени от Комисията.</w:t>
      </w:r>
    </w:p>
  </w:footnote>
  <w:footnote w:id="3">
    <w:p w:rsidR="00463FF6" w:rsidRDefault="00463FF6">
      <w:pPr>
        <w:pStyle w:val="FootnoteText"/>
      </w:pPr>
      <w:r>
        <w:rPr>
          <w:lang w:val="hu-HU"/>
        </w:rPr>
        <w:footnoteRef/>
      </w:r>
      <w:r>
        <w:rPr>
          <w:lang w:val="hu-HU"/>
        </w:rPr>
        <w:tab/>
        <w:t>https://webgate.ec.europa.eu/fpfis/wikis/display/RollingPlanICTS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60037"/>
    <w:multiLevelType w:val="multilevel"/>
    <w:tmpl w:val="E2C2F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79F3DCE"/>
    <w:multiLevelType w:val="multilevel"/>
    <w:tmpl w:val="7BDE690C"/>
    <w:lvl w:ilvl="0">
      <w:start w:val="1"/>
      <w:numFmt w:val="bullet"/>
      <w:lvlText w:val=""/>
      <w:lvlJc w:val="left"/>
      <w:pPr>
        <w:ind w:left="635" w:hanging="360"/>
      </w:pPr>
      <w:rPr>
        <w:rFonts w:ascii="Symbol" w:hAnsi="Symbol" w:cs="Symbol" w:hint="default"/>
      </w:rPr>
    </w:lvl>
    <w:lvl w:ilvl="1">
      <w:start w:val="1"/>
      <w:numFmt w:val="bullet"/>
      <w:lvlText w:val="-"/>
      <w:lvlJc w:val="left"/>
      <w:pPr>
        <w:ind w:left="1500" w:hanging="360"/>
      </w:pPr>
      <w:rPr>
        <w:rFonts w:ascii="Times New Roman" w:hAnsi="Times New Roman" w:cs="Times New Roman"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2">
    <w:nsid w:val="31536CCA"/>
    <w:multiLevelType w:val="multilevel"/>
    <w:tmpl w:val="B0927470"/>
    <w:lvl w:ilvl="0">
      <w:start w:val="5"/>
      <w:numFmt w:val="decimal"/>
      <w:lvlText w:val="%1."/>
      <w:lvlJc w:val="left"/>
      <w:pPr>
        <w:tabs>
          <w:tab w:val="num" w:pos="480"/>
        </w:tabs>
        <w:ind w:left="480" w:hanging="480"/>
      </w:pPr>
    </w:lvl>
    <w:lvl w:ilvl="1">
      <w:start w:val="1"/>
      <w:numFmt w:val="decimal"/>
      <w:lvlText w:val="%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6A74293F"/>
    <w:multiLevelType w:val="multilevel"/>
    <w:tmpl w:val="031ED960"/>
    <w:lvl w:ilvl="0">
      <w:start w:val="5"/>
      <w:numFmt w:val="decimal"/>
      <w:pStyle w:val="Heading1"/>
      <w:lvlText w:val="%1."/>
      <w:lvlJc w:val="left"/>
      <w:pPr>
        <w:tabs>
          <w:tab w:val="num" w:pos="480"/>
        </w:tabs>
        <w:ind w:left="480" w:hanging="480"/>
      </w:pPr>
    </w:lvl>
    <w:lvl w:ilvl="1">
      <w:start w:val="1"/>
      <w:numFmt w:val="none"/>
      <w:suff w:val="nothing"/>
      <w:lvlText w:val=""/>
      <w:lvlJc w:val="left"/>
      <w:pPr>
        <w:tabs>
          <w:tab w:val="num" w:pos="576"/>
        </w:tabs>
        <w:ind w:left="576" w:hanging="576"/>
      </w:pPr>
    </w:lvl>
    <w:lvl w:ilvl="2">
      <w:start w:val="1"/>
      <w:numFmt w:val="decimal"/>
      <w:pStyle w:val="Heading3"/>
      <w:lvlText w:val="%1.%3."/>
      <w:lvlJc w:val="left"/>
      <w:pPr>
        <w:tabs>
          <w:tab w:val="num" w:pos="1920"/>
        </w:tabs>
        <w:ind w:left="1920" w:hanging="840"/>
      </w:pPr>
    </w:lvl>
    <w:lvl w:ilvl="3">
      <w:start w:val="1"/>
      <w:numFmt w:val="decimal"/>
      <w:pStyle w:val="Heading4"/>
      <w:lvlText w:val="%1.%3.%4."/>
      <w:lvlJc w:val="left"/>
      <w:pPr>
        <w:tabs>
          <w:tab w:val="num" w:pos="2880"/>
        </w:tabs>
        <w:ind w:left="2880" w:hanging="96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78430629"/>
    <w:multiLevelType w:val="multilevel"/>
    <w:tmpl w:val="EF424248"/>
    <w:lvl w:ilvl="0">
      <w:start w:val="1"/>
      <w:numFmt w:val="bullet"/>
      <w:lvlText w:val=""/>
      <w:lvlJc w:val="left"/>
      <w:pPr>
        <w:ind w:left="1920" w:hanging="360"/>
      </w:pPr>
      <w:rPr>
        <w:rFonts w:ascii="Symbol" w:hAnsi="Symbol" w:cs="Symbol" w:hint="default"/>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cs="Wingdings" w:hint="default"/>
      </w:rPr>
    </w:lvl>
    <w:lvl w:ilvl="3">
      <w:start w:val="1"/>
      <w:numFmt w:val="bullet"/>
      <w:lvlText w:val=""/>
      <w:lvlJc w:val="left"/>
      <w:pPr>
        <w:ind w:left="3163" w:hanging="360"/>
      </w:pPr>
      <w:rPr>
        <w:rFonts w:ascii="Symbol" w:hAnsi="Symbol" w:cs="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cs="Wingdings" w:hint="default"/>
      </w:rPr>
    </w:lvl>
    <w:lvl w:ilvl="6">
      <w:start w:val="1"/>
      <w:numFmt w:val="bullet"/>
      <w:lvlText w:val=""/>
      <w:lvlJc w:val="left"/>
      <w:pPr>
        <w:ind w:left="5323" w:hanging="360"/>
      </w:pPr>
      <w:rPr>
        <w:rFonts w:ascii="Symbol" w:hAnsi="Symbol" w:cs="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cs="Wingdings" w:hint="default"/>
      </w:rPr>
    </w:lvl>
  </w:abstractNum>
  <w:num w:numId="1">
    <w:abstractNumId w:val="3"/>
  </w:num>
  <w:num w:numId="2">
    <w:abstractNumId w:val="4"/>
  </w:num>
  <w:num w:numId="3">
    <w:abstractNumId w:val="0"/>
  </w:num>
  <w:num w:numId="4">
    <w:abstractNumId w:val="2"/>
  </w:num>
  <w:num w:numId="5">
    <w:abstractNumId w:val="1"/>
  </w:num>
  <w:num w:numId="6">
    <w:abstractNumId w:val="3"/>
  </w:num>
  <w:num w:numId="7">
    <w:abstractNumId w:val="3"/>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287D"/>
    <w:rsid w:val="00006F82"/>
    <w:rsid w:val="00095688"/>
    <w:rsid w:val="00116B27"/>
    <w:rsid w:val="00256FBC"/>
    <w:rsid w:val="002E0FA0"/>
    <w:rsid w:val="00463FF6"/>
    <w:rsid w:val="004A76FA"/>
    <w:rsid w:val="004B6361"/>
    <w:rsid w:val="005B287D"/>
    <w:rsid w:val="005E4CED"/>
    <w:rsid w:val="00611668"/>
    <w:rsid w:val="00676DF8"/>
    <w:rsid w:val="007A24CA"/>
    <w:rsid w:val="008462B9"/>
    <w:rsid w:val="00881740"/>
    <w:rsid w:val="008B679E"/>
    <w:rsid w:val="009052A9"/>
    <w:rsid w:val="00A55745"/>
    <w:rsid w:val="00B769DC"/>
    <w:rsid w:val="00C312A9"/>
    <w:rsid w:val="00C55AA5"/>
    <w:rsid w:val="00C83180"/>
    <w:rsid w:val="00DF56F4"/>
    <w:rsid w:val="00E61A62"/>
    <w:rsid w:val="00E9778D"/>
    <w:rsid w:val="00EC4333"/>
    <w:rsid w:val="00F24308"/>
    <w:rsid w:val="00F617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E1104E-C20C-4E09-B1E7-327D0FBD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val="bg-BG" w:eastAsia="en-US"/>
    </w:rPr>
  </w:style>
  <w:style w:type="paragraph" w:styleId="Heading1">
    <w:name w:val="heading 1"/>
    <w:basedOn w:val="Normal"/>
    <w:qFormat/>
    <w:pPr>
      <w:keepNext/>
      <w:numPr>
        <w:numId w:val="1"/>
      </w:numPr>
      <w:spacing w:before="240"/>
      <w:outlineLvl w:val="0"/>
    </w:pPr>
    <w:rPr>
      <w:b/>
      <w:smallCaps/>
    </w:rPr>
  </w:style>
  <w:style w:type="paragraph" w:styleId="Heading2">
    <w:name w:val="heading 2"/>
    <w:basedOn w:val="Normal"/>
    <w:qFormat/>
    <w:pPr>
      <w:keepNext/>
      <w:spacing w:before="240" w:after="360"/>
      <w:outlineLvl w:val="1"/>
    </w:pPr>
    <w:rPr>
      <w:b/>
    </w:rPr>
  </w:style>
  <w:style w:type="paragraph" w:styleId="Heading3">
    <w:name w:val="heading 3"/>
    <w:basedOn w:val="Normal"/>
    <w:qFormat/>
    <w:pPr>
      <w:keepNext/>
      <w:numPr>
        <w:ilvl w:val="2"/>
        <w:numId w:val="1"/>
      </w:numPr>
      <w:spacing w:before="120" w:after="360"/>
      <w:outlineLvl w:val="2"/>
    </w:pPr>
    <w:rPr>
      <w:b/>
      <w:i/>
    </w:rPr>
  </w:style>
  <w:style w:type="paragraph" w:styleId="Heading4">
    <w:name w:val="heading 4"/>
    <w:basedOn w:val="Normal"/>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qFormat/>
    <w:rPr>
      <w:color w:val="800080"/>
      <w:u w:val="single"/>
    </w:rPr>
  </w:style>
  <w:style w:type="character" w:customStyle="1" w:styleId="FooterChar">
    <w:name w:val="Footer Char"/>
    <w:basedOn w:val="DefaultParagraphFont"/>
    <w:qFormat/>
    <w:rPr>
      <w:rFonts w:ascii="Arial" w:hAnsi="Arial"/>
      <w:sz w:val="16"/>
      <w:lang w:eastAsia="en-US"/>
    </w:rPr>
  </w:style>
  <w:style w:type="character" w:customStyle="1" w:styleId="DateChar">
    <w:name w:val="Date Char"/>
    <w:basedOn w:val="DefaultParagraphFont"/>
    <w:qFormat/>
    <w:rPr>
      <w:sz w:val="24"/>
      <w:lang w:eastAsia="en-US"/>
    </w:rPr>
  </w:style>
  <w:style w:type="character" w:customStyle="1" w:styleId="SignatureChar">
    <w:name w:val="Signature Char"/>
    <w:basedOn w:val="DefaultParagraphFont"/>
    <w:qFormat/>
    <w:rPr>
      <w:sz w:val="24"/>
      <w:lang w:eastAsia="en-US"/>
    </w:rPr>
  </w:style>
  <w:style w:type="character" w:customStyle="1" w:styleId="HeaderChar">
    <w:name w:val="Header Char"/>
    <w:basedOn w:val="DefaultParagraphFont"/>
    <w:qFormat/>
    <w:rPr>
      <w:sz w:val="24"/>
      <w:lang w:eastAsia="en-US"/>
    </w:rPr>
  </w:style>
  <w:style w:type="character" w:customStyle="1" w:styleId="FootnoteTextChar">
    <w:name w:val="Footnote Text Char"/>
    <w:basedOn w:val="DefaultParagraphFont"/>
    <w:qFormat/>
    <w:rPr>
      <w:lang w:eastAsia="en-US"/>
    </w:rPr>
  </w:style>
  <w:style w:type="character" w:styleId="FootnoteReference">
    <w:name w:val="footnote reference"/>
    <w:basedOn w:val="DefaultParagraphFont"/>
    <w:qFormat/>
    <w:rPr>
      <w:vertAlign w:val="superscript"/>
    </w:r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qFormat/>
    <w:rPr>
      <w:rFonts w:ascii="Tahoma" w:hAnsi="Tahoma" w:cs="Tahoma"/>
      <w:sz w:val="16"/>
      <w:szCs w:val="16"/>
      <w:lang w:eastAsia="en-US"/>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lang w:eastAsia="en-US"/>
    </w:rPr>
  </w:style>
  <w:style w:type="character" w:customStyle="1" w:styleId="CommentSubjectChar">
    <w:name w:val="Comment Subject Char"/>
    <w:basedOn w:val="CommentTextChar"/>
    <w:qFormat/>
    <w:rPr>
      <w:b/>
      <w:bCs/>
      <w:lang w:eastAsia="en-US"/>
    </w:rPr>
  </w:style>
  <w:style w:type="character" w:customStyle="1" w:styleId="Heading3Char">
    <w:name w:val="Heading 3 Char"/>
    <w:basedOn w:val="DefaultParagraphFont"/>
    <w:qFormat/>
    <w:rPr>
      <w:b/>
      <w:i/>
      <w:sz w:val="24"/>
      <w:lang w:eastAsia="en-US"/>
    </w:rPr>
  </w:style>
  <w:style w:type="character" w:customStyle="1" w:styleId="Heading1Char">
    <w:name w:val="Heading 1 Char"/>
    <w:basedOn w:val="DefaultParagraphFont"/>
    <w:qFormat/>
    <w:rPr>
      <w:b/>
      <w:smallCaps/>
      <w:sz w:val="24"/>
      <w:lang w:eastAsia="en-US"/>
    </w:rPr>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sz w:val="24"/>
    </w:rPr>
  </w:style>
  <w:style w:type="character" w:customStyle="1" w:styleId="ListLabel4">
    <w:name w:val="ListLabel 4"/>
    <w:qFormat/>
    <w:rPr>
      <w:rFonts w:cs="Times New Roman"/>
      <w:sz w:val="24"/>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Bitstream Vera Sans" w:hAnsi="Liberation Sans" w:cs="Bitstream Vera Sans"/>
      <w:sz w:val="28"/>
      <w:szCs w:val="28"/>
    </w:rPr>
  </w:style>
  <w:style w:type="paragraph" w:customStyle="1" w:styleId="TextBody">
    <w:name w:val="Text Body"/>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style>
  <w:style w:type="paragraph" w:customStyle="1" w:styleId="Text1">
    <w:name w:val="Text 1"/>
    <w:basedOn w:val="Normal"/>
    <w:qFormat/>
    <w:pPr>
      <w:ind w:left="482"/>
    </w:pPr>
  </w:style>
  <w:style w:type="paragraph" w:customStyle="1" w:styleId="Text2">
    <w:name w:val="Text 2"/>
    <w:basedOn w:val="Normal"/>
    <w:qFormat/>
    <w:pPr>
      <w:tabs>
        <w:tab w:val="left" w:pos="2160"/>
      </w:tabs>
      <w:ind w:left="1077"/>
    </w:pPr>
  </w:style>
  <w:style w:type="paragraph" w:customStyle="1" w:styleId="Text3">
    <w:name w:val="Text 3"/>
    <w:basedOn w:val="Normal"/>
    <w:qFormat/>
    <w:pPr>
      <w:tabs>
        <w:tab w:val="left" w:pos="2302"/>
      </w:tabs>
      <w:ind w:left="1916"/>
    </w:pPr>
  </w:style>
  <w:style w:type="paragraph" w:customStyle="1" w:styleId="Text4">
    <w:name w:val="Text 4"/>
    <w:basedOn w:val="Normal"/>
    <w:qFormat/>
    <w:pPr>
      <w:ind w:left="2880"/>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TextBody"/>
    <w:qFormat/>
    <w:pPr>
      <w:ind w:firstLine="210"/>
    </w:pPr>
  </w:style>
  <w:style w:type="paragraph" w:customStyle="1" w:styleId="TextBodyIndent">
    <w:name w:val="Text Body Indent"/>
    <w:basedOn w:val="Normal"/>
    <w:pPr>
      <w:spacing w:after="120"/>
      <w:ind w:left="283"/>
    </w:pPr>
  </w:style>
  <w:style w:type="paragraph" w:styleId="BodyTextFirstIndent2">
    <w:name w:val="Body Text First Indent 2"/>
    <w:basedOn w:val="TextBody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styleId="Closing">
    <w:name w:val="Closing"/>
    <w:basedOn w:val="Normal"/>
    <w:next w:val="Signature"/>
    <w:qFormat/>
    <w:pPr>
      <w:tabs>
        <w:tab w:val="left" w:pos="5103"/>
      </w:tabs>
      <w:spacing w:before="240"/>
      <w:ind w:left="5103"/>
      <w:jc w:val="left"/>
    </w:pPr>
  </w:style>
  <w:style w:type="paragraph" w:styleId="Signature">
    <w:name w:val="Signature"/>
    <w:basedOn w:val="Normal"/>
    <w:pPr>
      <w:tabs>
        <w:tab w:val="left" w:pos="5103"/>
      </w:tabs>
      <w:spacing w:before="1200" w:after="0"/>
      <w:ind w:left="5103"/>
      <w:jc w:val="center"/>
    </w:pPr>
  </w:style>
  <w:style w:type="paragraph" w:customStyle="1" w:styleId="Enclosures">
    <w:name w:val="Enclosures"/>
    <w:basedOn w:val="Normal"/>
    <w:qFormat/>
    <w:pPr>
      <w:keepNext/>
      <w:keepLines/>
      <w:tabs>
        <w:tab w:val="left" w:pos="5670"/>
      </w:tabs>
      <w:spacing w:before="480" w:after="0"/>
      <w:ind w:left="1985" w:hanging="1985"/>
      <w:jc w:val="left"/>
    </w:pPr>
  </w:style>
  <w:style w:type="paragraph" w:customStyle="1" w:styleId="Participants">
    <w:name w:val="Participants"/>
    <w:basedOn w:val="Normal"/>
    <w:qFormat/>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qFormat/>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qFormat/>
    <w:rPr>
      <w:sz w:val="20"/>
    </w:rPr>
  </w:style>
  <w:style w:type="paragraph" w:styleId="Date">
    <w:name w:val="Date"/>
    <w:basedOn w:val="Normal"/>
    <w:qFormat/>
    <w:pPr>
      <w:spacing w:after="0"/>
      <w:ind w:left="5103"/>
      <w:jc w:val="left"/>
    </w:pPr>
  </w:style>
  <w:style w:type="paragraph" w:customStyle="1" w:styleId="References">
    <w:name w:val="References"/>
    <w:basedOn w:val="Normal"/>
    <w:next w:val="AddressTR"/>
    <w:qFormat/>
    <w:pPr>
      <w:ind w:left="5103"/>
      <w:jc w:val="left"/>
    </w:pPr>
    <w:rPr>
      <w:sz w:val="20"/>
    </w:rPr>
  </w:style>
  <w:style w:type="paragraph" w:styleId="DocumentMap">
    <w:name w:val="Document Map"/>
    <w:basedOn w:val="Normal"/>
    <w:qFormat/>
    <w:pPr>
      <w:shd w:val="clear" w:color="auto" w:fill="000080"/>
    </w:pPr>
    <w:rPr>
      <w:rFonts w:ascii="Tahoma" w:hAnsi="Tahoma"/>
    </w:rPr>
  </w:style>
  <w:style w:type="paragraph" w:customStyle="1" w:styleId="DoubSign">
    <w:name w:val="DoubSign"/>
    <w:basedOn w:val="Normal"/>
    <w:qFormat/>
    <w:pPr>
      <w:tabs>
        <w:tab w:val="left" w:pos="5103"/>
      </w:tabs>
      <w:spacing w:before="1200" w:after="0"/>
      <w:jc w:val="left"/>
    </w:pPr>
  </w:style>
  <w:style w:type="paragraph" w:styleId="EndnoteText">
    <w:name w:val="endnote text"/>
    <w:basedOn w:val="Normal"/>
    <w:qFormat/>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styleId="Footer">
    <w:name w:val="footer"/>
    <w:basedOn w:val="Normal"/>
    <w:pPr>
      <w:spacing w:after="0"/>
      <w:jc w:val="left"/>
    </w:pPr>
    <w:rPr>
      <w:rFonts w:ascii="Arial" w:hAnsi="Arial"/>
      <w:sz w:val="16"/>
    </w:rPr>
  </w:style>
  <w:style w:type="paragraph" w:styleId="FootnoteText">
    <w:name w:val="footnote text"/>
    <w:basedOn w:val="Normal"/>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qFormat/>
    <w:pPr>
      <w:ind w:left="240" w:hanging="240"/>
    </w:pPr>
  </w:style>
  <w:style w:type="paragraph" w:styleId="Index2">
    <w:name w:val="index 2"/>
    <w:basedOn w:val="Normal"/>
    <w:next w:val="Normal"/>
    <w:autoRedefine/>
    <w:qFormat/>
    <w:pPr>
      <w:ind w:left="480" w:hanging="240"/>
    </w:pPr>
  </w:style>
  <w:style w:type="paragraph" w:styleId="Index3">
    <w:name w:val="index 3"/>
    <w:basedOn w:val="Normal"/>
    <w:next w:val="Normal"/>
    <w:autoRedefine/>
    <w:qFormat/>
    <w:pPr>
      <w:ind w:left="720" w:hanging="240"/>
    </w:pPr>
  </w:style>
  <w:style w:type="paragraph" w:styleId="Index4">
    <w:name w:val="index 4"/>
    <w:basedOn w:val="Normal"/>
    <w:next w:val="Normal"/>
    <w:autoRedefine/>
    <w:qFormat/>
    <w:pPr>
      <w:ind w:left="960" w:hanging="240"/>
    </w:pPr>
  </w:style>
  <w:style w:type="paragraph" w:styleId="Index5">
    <w:name w:val="index 5"/>
    <w:basedOn w:val="Normal"/>
    <w:next w:val="Normal"/>
    <w:autoRedefine/>
    <w:qFormat/>
    <w:pPr>
      <w:ind w:left="1200" w:hanging="240"/>
    </w:pPr>
  </w:style>
  <w:style w:type="paragraph" w:styleId="Index6">
    <w:name w:val="index 6"/>
    <w:basedOn w:val="Normal"/>
    <w:next w:val="Normal"/>
    <w:autoRedefine/>
    <w:qFormat/>
    <w:pPr>
      <w:ind w:left="1440" w:hanging="240"/>
    </w:pPr>
  </w:style>
  <w:style w:type="paragraph" w:styleId="Index7">
    <w:name w:val="index 7"/>
    <w:basedOn w:val="Normal"/>
    <w:next w:val="Normal"/>
    <w:autoRedefine/>
    <w:qFormat/>
    <w:pPr>
      <w:ind w:left="1680" w:hanging="240"/>
    </w:pPr>
  </w:style>
  <w:style w:type="paragraph" w:styleId="Index8">
    <w:name w:val="index 8"/>
    <w:basedOn w:val="Normal"/>
    <w:next w:val="Normal"/>
    <w:autoRedefine/>
    <w:qFormat/>
    <w:pPr>
      <w:ind w:left="1920" w:hanging="240"/>
    </w:pPr>
  </w:style>
  <w:style w:type="paragraph" w:styleId="Index9">
    <w:name w:val="index 9"/>
    <w:basedOn w:val="Normal"/>
    <w:next w:val="Normal"/>
    <w:autoRedefine/>
    <w:qFormat/>
    <w:pPr>
      <w:ind w:left="2160" w:hanging="240"/>
    </w:pPr>
  </w:style>
  <w:style w:type="paragraph" w:styleId="IndexHeading">
    <w:name w:val="index heading"/>
    <w:basedOn w:val="Normal"/>
    <w:qFormat/>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qFormat/>
  </w:style>
  <w:style w:type="paragraph" w:styleId="ListBullet2">
    <w:name w:val="List Bullet 2"/>
    <w:basedOn w:val="Text2"/>
    <w:qFormat/>
  </w:style>
  <w:style w:type="paragraph" w:styleId="ListBullet3">
    <w:name w:val="List Bullet 3"/>
    <w:basedOn w:val="Text3"/>
    <w:qFormat/>
  </w:style>
  <w:style w:type="paragraph" w:styleId="ListBullet4">
    <w:name w:val="List Bullet 4"/>
    <w:basedOn w:val="Text4"/>
    <w:qFormat/>
  </w:style>
  <w:style w:type="paragraph" w:styleId="ListBullet5">
    <w:name w:val="List Bullet 5"/>
    <w:basedOn w:val="Normal"/>
    <w:autoRedefine/>
    <w:qFormat/>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
    <w:name w:val="List Number"/>
    <w:basedOn w:val="Normal"/>
    <w:qFormat/>
  </w:style>
  <w:style w:type="paragraph" w:styleId="ListNumber2">
    <w:name w:val="List Number 2"/>
    <w:basedOn w:val="Text2"/>
    <w:qFormat/>
  </w:style>
  <w:style w:type="paragraph" w:styleId="ListNumber3">
    <w:name w:val="List Number 3"/>
    <w:basedOn w:val="Text3"/>
    <w:qFormat/>
  </w:style>
  <w:style w:type="paragraph" w:styleId="ListNumber4">
    <w:name w:val="List Number 4"/>
    <w:basedOn w:val="Text4"/>
    <w:qFormat/>
  </w:style>
  <w:style w:type="paragraph" w:styleId="ListNumber5">
    <w:name w:val="List Number 5"/>
    <w:basedOn w:val="Normal"/>
    <w:qFormat/>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MessageHeader">
    <w:name w:val="Message Header"/>
    <w:basedOn w:val="Normal"/>
    <w:qFormat/>
    <w:pPr>
      <w:pBdr>
        <w:top w:val="single" w:sz="6" w:space="1" w:color="00000A"/>
        <w:left w:val="single" w:sz="6" w:space="1" w:color="00000A"/>
        <w:bottom w:val="single" w:sz="6" w:space="1" w:color="00000A"/>
        <w:right w:val="single" w:sz="6" w:space="1" w:color="00000A"/>
      </w:pBdr>
      <w:shd w:val="clear" w:color="auto" w:fill="CCCCCC"/>
      <w:ind w:left="1134" w:hanging="1134"/>
    </w:pPr>
    <w:rPr>
      <w:rFonts w:ascii="Arial" w:hAnsi="Arial"/>
    </w:rPr>
  </w:style>
  <w:style w:type="paragraph" w:styleId="NormalIndent">
    <w:name w:val="Normal Indent"/>
    <w:basedOn w:val="Normal"/>
    <w:qFormat/>
    <w:pPr>
      <w:ind w:left="720"/>
    </w:pPr>
  </w:style>
  <w:style w:type="paragraph" w:styleId="NoteHeading">
    <w:name w:val="Note Heading"/>
    <w:basedOn w:val="Normal"/>
    <w:next w:val="Normal"/>
    <w:qFormat/>
  </w:style>
  <w:style w:type="paragraph" w:customStyle="1" w:styleId="NoteHead">
    <w:name w:val="NoteHead"/>
    <w:basedOn w:val="Normal"/>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qFormat/>
    <w:pPr>
      <w:numPr>
        <w:numId w:val="0"/>
      </w:numPr>
      <w:spacing w:before="0"/>
    </w:pPr>
    <w:rPr>
      <w:b w:val="0"/>
      <w:smallCaps w:val="0"/>
    </w:rPr>
  </w:style>
  <w:style w:type="paragraph" w:customStyle="1" w:styleId="NumPar2">
    <w:name w:val="NumPar 2"/>
    <w:basedOn w:val="Heading2"/>
    <w:qFormat/>
    <w:rPr>
      <w:b w:val="0"/>
    </w:rPr>
  </w:style>
  <w:style w:type="paragraph" w:customStyle="1" w:styleId="NumPar3">
    <w:name w:val="NumPar 3"/>
    <w:basedOn w:val="Heading3"/>
    <w:qFormat/>
    <w:pPr>
      <w:numPr>
        <w:ilvl w:val="0"/>
        <w:numId w:val="0"/>
      </w:numPr>
    </w:pPr>
    <w:rPr>
      <w:i w:val="0"/>
    </w:rPr>
  </w:style>
  <w:style w:type="paragraph" w:customStyle="1" w:styleId="NumPar4">
    <w:name w:val="NumPar 4"/>
    <w:basedOn w:val="Heading4"/>
    <w:qFormat/>
    <w:pPr>
      <w:numPr>
        <w:ilvl w:val="0"/>
        <w:numId w:val="0"/>
      </w:numPr>
    </w:pPr>
  </w:style>
  <w:style w:type="paragraph" w:styleId="PlainText">
    <w:name w:val="Plain Text"/>
    <w:basedOn w:val="Normal"/>
    <w:qFormat/>
    <w:rPr>
      <w:rFonts w:ascii="Courier New" w:hAnsi="Courier New"/>
      <w:sz w:val="20"/>
    </w:rPr>
  </w:style>
  <w:style w:type="paragraph" w:customStyle="1" w:styleId="ComplimentaryClose">
    <w:name w:val="Complimentary Close"/>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qFormat/>
    <w:pPr>
      <w:ind w:left="240" w:hanging="240"/>
    </w:pPr>
  </w:style>
  <w:style w:type="paragraph" w:styleId="TableofFigures">
    <w:name w:val="table of figures"/>
    <w:basedOn w:val="Normal"/>
    <w:next w:val="Normal"/>
    <w:qFormat/>
    <w:pPr>
      <w:ind w:left="480" w:hanging="480"/>
    </w:pPr>
  </w:style>
  <w:style w:type="paragraph" w:styleId="Title">
    <w:name w:val="Title"/>
    <w:basedOn w:val="Normal"/>
    <w:qFormat/>
    <w:pPr>
      <w:spacing w:before="240" w:after="60"/>
      <w:jc w:val="center"/>
      <w:outlineLvl w:val="0"/>
    </w:pPr>
    <w:rPr>
      <w:rFonts w:ascii="Arial" w:hAnsi="Arial"/>
      <w:b/>
      <w:sz w:val="32"/>
    </w:rPr>
  </w:style>
  <w:style w:type="paragraph" w:styleId="TOAHeading">
    <w:name w:val="toa heading"/>
    <w:basedOn w:val="Normal"/>
    <w:next w:val="Normal"/>
    <w:qFormat/>
    <w:pPr>
      <w:spacing w:before="120"/>
    </w:pPr>
    <w:rPr>
      <w:rFonts w:ascii="Arial" w:hAnsi="Arial"/>
      <w:b/>
    </w:rPr>
  </w:style>
  <w:style w:type="paragraph" w:customStyle="1" w:styleId="Contents1">
    <w:name w:val="Contents 1"/>
    <w:basedOn w:val="Normal"/>
    <w:next w:val="Normal"/>
    <w:pPr>
      <w:tabs>
        <w:tab w:val="right" w:leader="dot" w:pos="8640"/>
      </w:tabs>
      <w:spacing w:before="120" w:after="120"/>
      <w:ind w:left="482" w:right="720" w:hanging="482"/>
    </w:pPr>
    <w:rPr>
      <w:caps/>
    </w:rPr>
  </w:style>
  <w:style w:type="paragraph" w:customStyle="1" w:styleId="Contents2">
    <w:name w:val="Contents 2"/>
    <w:basedOn w:val="Normal"/>
    <w:next w:val="Normal"/>
    <w:pPr>
      <w:tabs>
        <w:tab w:val="right" w:leader="dot" w:pos="8640"/>
      </w:tabs>
      <w:spacing w:before="60" w:after="60"/>
      <w:ind w:left="1077" w:right="720" w:hanging="595"/>
    </w:pPr>
  </w:style>
  <w:style w:type="paragraph" w:customStyle="1" w:styleId="Contents3">
    <w:name w:val="Contents 3"/>
    <w:basedOn w:val="Normal"/>
    <w:next w:val="Normal"/>
    <w:pPr>
      <w:tabs>
        <w:tab w:val="right" w:leader="dot" w:pos="8640"/>
      </w:tabs>
      <w:spacing w:before="60" w:after="60"/>
      <w:ind w:left="1916" w:right="720" w:hanging="839"/>
    </w:pPr>
  </w:style>
  <w:style w:type="paragraph" w:customStyle="1" w:styleId="Contents4">
    <w:name w:val="Contents 4"/>
    <w:basedOn w:val="Normal"/>
    <w:next w:val="Normal"/>
    <w:pPr>
      <w:tabs>
        <w:tab w:val="right" w:leader="dot" w:pos="8641"/>
      </w:tabs>
      <w:spacing w:before="60" w:after="60"/>
      <w:ind w:left="2880" w:right="720" w:hanging="964"/>
    </w:pPr>
  </w:style>
  <w:style w:type="paragraph" w:customStyle="1" w:styleId="Contents5">
    <w:name w:val="Contents 5"/>
    <w:basedOn w:val="Normal"/>
    <w:next w:val="Normal"/>
    <w:pPr>
      <w:tabs>
        <w:tab w:val="right" w:leader="dot" w:pos="8641"/>
      </w:tabs>
      <w:spacing w:before="240" w:after="120"/>
      <w:ind w:right="720"/>
    </w:pPr>
    <w:rPr>
      <w:caps/>
    </w:rPr>
  </w:style>
  <w:style w:type="paragraph" w:customStyle="1" w:styleId="Contents6">
    <w:name w:val="Contents 6"/>
    <w:basedOn w:val="Normal"/>
    <w:next w:val="Normal"/>
    <w:autoRedefine/>
    <w:pPr>
      <w:ind w:left="1200"/>
    </w:pPr>
  </w:style>
  <w:style w:type="paragraph" w:customStyle="1" w:styleId="Contents7">
    <w:name w:val="Contents 7"/>
    <w:basedOn w:val="Normal"/>
    <w:next w:val="Normal"/>
    <w:autoRedefine/>
    <w:pPr>
      <w:ind w:left="1440"/>
    </w:pPr>
  </w:style>
  <w:style w:type="paragraph" w:customStyle="1" w:styleId="Contents8">
    <w:name w:val="Contents 8"/>
    <w:basedOn w:val="Normal"/>
    <w:next w:val="Normal"/>
    <w:autoRedefine/>
    <w:pPr>
      <w:ind w:left="1680"/>
    </w:pPr>
  </w:style>
  <w:style w:type="paragraph" w:customStyle="1" w:styleId="Contents9">
    <w:name w:val="Contents 9"/>
    <w:basedOn w:val="Normal"/>
    <w:next w:val="Normal"/>
    <w:autoRedefine/>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style>
  <w:style w:type="paragraph" w:customStyle="1" w:styleId="ListDash3">
    <w:name w:val="List Dash 3"/>
    <w:basedOn w:val="Text3"/>
    <w:qFormat/>
  </w:style>
  <w:style w:type="paragraph" w:customStyle="1" w:styleId="ListDash4">
    <w:name w:val="List Dash 4"/>
    <w:basedOn w:val="Text4"/>
    <w:qFormat/>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style>
  <w:style w:type="paragraph" w:customStyle="1" w:styleId="ListNumber2Level3">
    <w:name w:val="List Number 2 (Level 3)"/>
    <w:basedOn w:val="Text2"/>
    <w:qFormat/>
  </w:style>
  <w:style w:type="paragraph" w:customStyle="1" w:styleId="ListNumber2Level4">
    <w:name w:val="List Number 2 (Level 4)"/>
    <w:basedOn w:val="Text2"/>
    <w:qFormat/>
    <w:pPr>
      <w:ind w:left="3901" w:hanging="703"/>
    </w:pPr>
  </w:style>
  <w:style w:type="paragraph" w:customStyle="1" w:styleId="ListNumber3Level2">
    <w:name w:val="List Number 3 (Level 2)"/>
    <w:basedOn w:val="Text3"/>
    <w:qFormat/>
  </w:style>
  <w:style w:type="paragraph" w:customStyle="1" w:styleId="ListNumber3Level3">
    <w:name w:val="List Number 3 (Level 3)"/>
    <w:basedOn w:val="Text3"/>
    <w:qFormat/>
  </w:style>
  <w:style w:type="paragraph" w:customStyle="1" w:styleId="ListNumber3Level4">
    <w:name w:val="List Number 3 (Level 4)"/>
    <w:basedOn w:val="Text3"/>
    <w:qFormat/>
  </w:style>
  <w:style w:type="paragraph" w:customStyle="1" w:styleId="ListNumber4Level2">
    <w:name w:val="List Number 4 (Level 2)"/>
    <w:basedOn w:val="Text4"/>
    <w:qFormat/>
  </w:style>
  <w:style w:type="paragraph" w:customStyle="1" w:styleId="ListNumber4Level3">
    <w:name w:val="List Number 4 (Level 3)"/>
    <w:basedOn w:val="Text4"/>
    <w:qFormat/>
  </w:style>
  <w:style w:type="paragraph" w:customStyle="1" w:styleId="ListNumber4Level4">
    <w:name w:val="List Number 4 (Level 4)"/>
    <w:basedOn w:val="Text4"/>
    <w:qFormat/>
  </w:style>
  <w:style w:type="paragraph" w:customStyle="1" w:styleId="ContentsHeading">
    <w:name w:val="Contents Heading"/>
    <w:basedOn w:val="Normal"/>
    <w:next w:val="Normal"/>
    <w:pPr>
      <w:keepNext/>
      <w:spacing w:before="240"/>
      <w:jc w:val="center"/>
    </w:pPr>
    <w:rPr>
      <w:b/>
    </w:rPr>
  </w:style>
  <w:style w:type="paragraph" w:customStyle="1" w:styleId="Contact">
    <w:name w:val="Contact"/>
    <w:basedOn w:val="Normal"/>
    <w:next w:val="Normal"/>
    <w:qFormat/>
    <w:pPr>
      <w:spacing w:before="480" w:after="0"/>
      <w:ind w:left="567" w:hanging="567"/>
      <w:jc w:val="left"/>
    </w:pPr>
  </w:style>
  <w:style w:type="paragraph" w:customStyle="1" w:styleId="DisclaimerNotice">
    <w:name w:val="Disclaimer Notice"/>
    <w:basedOn w:val="Normal"/>
    <w:next w:val="AddressTR"/>
    <w:qFormat/>
    <w:pPr>
      <w:ind w:left="5103"/>
      <w:jc w:val="left"/>
    </w:pPr>
    <w:rPr>
      <w:i/>
      <w:sz w:val="20"/>
    </w:rPr>
  </w:style>
  <w:style w:type="paragraph" w:customStyle="1" w:styleId="Disclaimer">
    <w:name w:val="Disclaimer"/>
    <w:basedOn w:val="Normal"/>
    <w:qFormat/>
    <w:pPr>
      <w:keepLines/>
      <w:pBdr>
        <w:top w:val="single" w:sz="4" w:space="1" w:color="00000A"/>
      </w:pBdr>
      <w:spacing w:before="480" w:after="0"/>
    </w:pPr>
    <w:rPr>
      <w:i/>
    </w:rPr>
  </w:style>
  <w:style w:type="paragraph" w:customStyle="1" w:styleId="DisclaimerSJ">
    <w:name w:val="Disclaimer_SJ"/>
    <w:basedOn w:val="Normal"/>
    <w:next w:val="Normal"/>
    <w:qFormat/>
    <w:pPr>
      <w:spacing w:after="0"/>
    </w:pPr>
    <w:rPr>
      <w:rFonts w:ascii="Arial" w:hAnsi="Arial"/>
      <w:b/>
      <w:sz w:val="16"/>
    </w:rPr>
  </w:style>
  <w:style w:type="paragraph" w:customStyle="1" w:styleId="Designator">
    <w:name w:val="Designator"/>
    <w:basedOn w:val="Normal"/>
    <w:qFormat/>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qFormat/>
    <w:pPr>
      <w:spacing w:after="0"/>
      <w:jc w:val="center"/>
    </w:pPr>
    <w:rPr>
      <w:b/>
      <w:caps/>
      <w:sz w:val="32"/>
      <w:bdr w:val="single" w:sz="18" w:space="0" w:color="00000A"/>
      <w:lang w:val="de-DE"/>
    </w:rPr>
  </w:style>
  <w:style w:type="paragraph" w:customStyle="1" w:styleId="ConfidentialUE">
    <w:name w:val="Confidential UE"/>
    <w:basedOn w:val="Normal"/>
    <w:qFormat/>
    <w:pPr>
      <w:spacing w:after="0"/>
      <w:jc w:val="center"/>
    </w:pPr>
    <w:rPr>
      <w:b/>
      <w:caps/>
      <w:sz w:val="32"/>
      <w:bdr w:val="single" w:sz="18" w:space="0" w:color="00000A"/>
    </w:rPr>
  </w:style>
  <w:style w:type="paragraph" w:customStyle="1" w:styleId="TrsSecretUE">
    <w:name w:val="Très Secret UE"/>
    <w:basedOn w:val="Normal"/>
    <w:qFormat/>
    <w:pPr>
      <w:spacing w:after="0"/>
      <w:jc w:val="center"/>
    </w:pPr>
    <w:rPr>
      <w:b/>
      <w:caps/>
      <w:color w:val="FF0000"/>
      <w:sz w:val="32"/>
      <w:bdr w:val="single" w:sz="18" w:space="0" w:color="FF0000"/>
    </w:rPr>
  </w:style>
  <w:style w:type="paragraph" w:customStyle="1" w:styleId="SecretUE">
    <w:name w:val="Secret UE"/>
    <w:basedOn w:val="Normal"/>
    <w:qFormat/>
    <w:pPr>
      <w:spacing w:after="0"/>
      <w:jc w:val="center"/>
    </w:pPr>
    <w:rPr>
      <w:b/>
      <w:caps/>
      <w:color w:val="FF0000"/>
      <w:sz w:val="32"/>
      <w:bdr w:val="single" w:sz="18" w:space="0" w:color="FF0000"/>
    </w:rPr>
  </w:style>
  <w:style w:type="paragraph" w:customStyle="1" w:styleId="LegalNumPar">
    <w:name w:val="LegalNumPar"/>
    <w:basedOn w:val="Normal"/>
    <w:qFormat/>
    <w:pPr>
      <w:spacing w:line="360" w:lineRule="auto"/>
      <w:jc w:val="left"/>
    </w:pPr>
    <w:rPr>
      <w:rFonts w:eastAsia="Calibri"/>
      <w:szCs w:val="22"/>
    </w:rPr>
  </w:style>
  <w:style w:type="paragraph" w:customStyle="1" w:styleId="LegalNumPar2">
    <w:name w:val="LegalNumPar2"/>
    <w:basedOn w:val="Normal"/>
    <w:qFormat/>
    <w:pPr>
      <w:spacing w:line="360" w:lineRule="auto"/>
      <w:jc w:val="left"/>
    </w:pPr>
    <w:rPr>
      <w:rFonts w:eastAsia="Calibri"/>
      <w:szCs w:val="22"/>
    </w:rPr>
  </w:style>
  <w:style w:type="paragraph" w:customStyle="1" w:styleId="LegalNumPar3">
    <w:name w:val="LegalNumPar3"/>
    <w:basedOn w:val="Normal"/>
    <w:qFormat/>
    <w:pPr>
      <w:spacing w:line="360" w:lineRule="auto"/>
      <w:jc w:val="left"/>
    </w:pPr>
    <w:rPr>
      <w:rFonts w:eastAsia="Calibri"/>
      <w:szCs w:val="22"/>
    </w:rPr>
  </w:style>
  <w:style w:type="paragraph" w:customStyle="1" w:styleId="ZCom">
    <w:name w:val="Z_Com"/>
    <w:basedOn w:val="Normal"/>
    <w:qFormat/>
    <w:pPr>
      <w:widowControl w:val="0"/>
      <w:spacing w:after="0"/>
      <w:ind w:right="85"/>
    </w:pPr>
    <w:rPr>
      <w:rFonts w:ascii="Arial" w:eastAsia="MS Mincho" w:hAnsi="Arial" w:cs="Arial"/>
      <w:szCs w:val="24"/>
      <w:lang w:eastAsia="en-GB"/>
    </w:rPr>
  </w:style>
  <w:style w:type="paragraph" w:customStyle="1" w:styleId="ZDGName">
    <w:name w:val="Z_DGName"/>
    <w:basedOn w:val="Normal"/>
    <w:qFormat/>
    <w:pPr>
      <w:widowControl w:val="0"/>
      <w:spacing w:after="0"/>
      <w:ind w:right="85"/>
      <w:jc w:val="left"/>
    </w:pPr>
    <w:rPr>
      <w:rFonts w:ascii="Arial" w:eastAsia="MS Mincho" w:hAnsi="Arial" w:cs="Arial"/>
      <w:sz w:val="16"/>
      <w:szCs w:val="16"/>
      <w:lang w:eastAsia="en-GB"/>
    </w:rPr>
  </w:style>
  <w:style w:type="paragraph" w:styleId="ListParagraph">
    <w:name w:val="List Paragraph"/>
    <w:basedOn w:val="Normal"/>
    <w:qFormat/>
    <w:pPr>
      <w:spacing w:after="0"/>
      <w:ind w:left="720"/>
      <w:contextualSpacing/>
      <w:jc w:val="left"/>
    </w:pPr>
    <w:rPr>
      <w:szCs w:val="24"/>
      <w:lang w:eastAsia="en-GB"/>
    </w:rPr>
  </w:style>
  <w:style w:type="paragraph" w:styleId="BalloonText">
    <w:name w:val="Balloon Text"/>
    <w:basedOn w:val="Normal"/>
    <w:qFormat/>
    <w:pPr>
      <w:spacing w:after="0"/>
    </w:pPr>
    <w:rPr>
      <w:rFonts w:ascii="Tahoma" w:hAnsi="Tahoma" w:cs="Tahoma"/>
      <w:sz w:val="16"/>
      <w:szCs w:val="16"/>
    </w:rPr>
  </w:style>
  <w:style w:type="paragraph" w:styleId="CommentSubject">
    <w:name w:val="annotation subject"/>
    <w:basedOn w:val="CommentText"/>
    <w:qFormat/>
    <w:rPr>
      <w:b/>
      <w:bCs/>
    </w:rPr>
  </w:style>
  <w:style w:type="paragraph" w:styleId="Revision">
    <w:name w:val="Revision"/>
    <w:qFormat/>
    <w:rPr>
      <w:sz w:val="24"/>
      <w:lang w:eastAsia="en-US"/>
    </w:rPr>
  </w:style>
  <w:style w:type="paragraph" w:customStyle="1" w:styleId="Footnote">
    <w:name w:val="Footnote"/>
    <w:basedOn w:val="Normal"/>
  </w:style>
  <w:style w:type="paragraph" w:customStyle="1" w:styleId="Quotations">
    <w:name w:val="Quotations"/>
    <w:basedOn w:val="Normal"/>
    <w:qFormat/>
  </w:style>
  <w:style w:type="paragraph" w:customStyle="1" w:styleId="TableContents">
    <w:name w:val="Table Contents"/>
    <w:basedOn w:val="Normal"/>
    <w:qFormat/>
  </w:style>
  <w:style w:type="character" w:styleId="Hyperlink">
    <w:name w:val="Hyperlink"/>
    <w:basedOn w:val="DefaultParagraphFont"/>
    <w:uiPriority w:val="99"/>
    <w:unhideWhenUsed/>
    <w:rsid w:val="00E6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ircabc.europa.eu/sd/a/77152da7-ac4c-43b8-90ae-1f9daa821f1d/550v2%20Draft_agenda_22_meeting_MSP_7_December2017.docx" TargetMode="External"/><Relationship Id="rId13" Type="http://schemas.openxmlformats.org/officeDocument/2006/relationships/hyperlink" Target="https://circabc.europa.eu/sd/a/98137970-6484-478b-85df-4b0fc8984aae/565%20MSP_%20Presentation%20miscellaneous%20standardisation%2007122017.pptx" TargetMode="External"/><Relationship Id="rId18" Type="http://schemas.openxmlformats.org/officeDocument/2006/relationships/hyperlink" Target="https://circabc.europa.eu/sd/a/65110e67-ba5b-4240-9132-b531dae9c726/557%20Report%20of%20the%20Workshop%20on%20Digitising%20European%20Industry.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circabc.europa.eu/sd/a/e2a82db2-c689-458a-bdb5-28030cd12d72/551%20Identification%20process_First%20steps%20to%20strategic%20Approach.doc" TargetMode="External"/><Relationship Id="rId7" Type="http://schemas.openxmlformats.org/officeDocument/2006/relationships/image" Target="media/image1.png"/><Relationship Id="rId12" Type="http://schemas.openxmlformats.org/officeDocument/2006/relationships/hyperlink" Target="https://circabc.europa.eu/sd/a/c2a87522-ad5f-40ab-a19f-1c4a37b6bb62/563%20-CCLC%20comments%20on%20ICT_MSP_014a_Fast_Track_Identification.docx" TargetMode="External"/><Relationship Id="rId17" Type="http://schemas.openxmlformats.org/officeDocument/2006/relationships/hyperlink" Target="https://circabc.europa.eu/faces/jsp/extension/wai/navigation/container.jsp?FormPrincipal:_idcl=FormPrincipal:_id1&amp;FormPrincipal_SUBMIT=1&amp;id=3ebb416e-8590-49f0-92a7-8e67fe9b3720&amp;javax.faces.ViewState=wSmnv75%2FTiDZPc91wsi%2B1XXVR7FwPhcLgTnfBD5q8QQOvTozOPZtvdJoGc6NnvCD%2FMmsaraq9kqUSPf%2B6Ho%2F5WiQr3H%2F%2FHZUGV27J3saTxsemmWM%2Fr8KRG8huKbAVUsFd2%2F7x8R9LcuN7ZITBwPEYX8N%2Bm8%3D" TargetMode="External"/><Relationship Id="rId25" Type="http://schemas.openxmlformats.org/officeDocument/2006/relationships/hyperlink" Target="https://circabc.europa.eu/sd/a/f54b8115-b906-412a-9bec-79fb96969617/559%20Presentation%20StandICT_MSPMeeting_20171207.pdf" TargetMode="External"/><Relationship Id="rId2" Type="http://schemas.openxmlformats.org/officeDocument/2006/relationships/styles" Target="styles.xml"/><Relationship Id="rId16" Type="http://schemas.openxmlformats.org/officeDocument/2006/relationships/hyperlink" Target="https://circabc.europa.eu/faces/jsp/extension/wai/navigation/container.jsp?FormPrincipal:_idcl=FormPrincipal:_id1&amp;FormPrincipal_SUBMIT=1&amp;id=3ebb416e-8590-49f0-92a7-8e67fe9b3720&amp;javax.faces.ViewState=wSmnv75%2FTiDZPc91wsi%2B1XXVR7FwPhcLgTnfBD5q8QQOvTozOPZtvdJoGc6NnvCD%2FMmsaraq9kqUSPf%2B6Ho%2F5WiQr3H%2F%2FHZUGV27J3saTxsemmWM%2Fr8KRG8huKbAVUsFd2%2F7x8R9LcuN7ZITBwPEYX8N%2Bm8%3D" TargetMode="External"/><Relationship Id="rId20" Type="http://schemas.openxmlformats.org/officeDocument/2006/relationships/hyperlink" Target="https://circabc.europa.eu/sd/a/8a9c6abd-9f7b-44c0-b455-02f5db9ace07/529%20rev1%20Evaluation%20Report%20RDA%20TS%205-9%20for%20MSP%20advice.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rcabc.europa.eu/sd/a/d5f82fca-2a84-4b56-8fe2-b7ced7db83af/014a-01%20Flowchart_%20%20Fast%20track%20Identification%20process%20MSP%2007%20dec%202017.docx" TargetMode="External"/><Relationship Id="rId24" Type="http://schemas.openxmlformats.org/officeDocument/2006/relationships/hyperlink" Target="%20&#1055;&#1088;&#1077;&#1079;&#1077;&#1085;&#1090;&#1072;&#1094;&#1080;&#1103;&#1090;&#1072;%20&#1074;&#1082;&#1083;&#1102;&#1095;&#1074;&#1072;&#1096;&#1077;%20&#1080;%20&#1082;&#1088;&#1072;&#1090;&#1082;&#1086;%20&#1074;&#1080;&#1076;&#1077;&#1086;%20&#1086;&#1090;%20Gottfried%20Zimmerman%20(&#1087;&#1088;&#1086;&#1092;&#1077;&#1089;&#1086;&#1088;%20&#1087;&#1086;%20&#1042;&#1079;&#1072;&#1080;&#1084;&#1086;&#1076;&#1077;&#1081;&#1089;&#1090;&#1074;&#1080;&#1077;%20&#1084;&#1086;&#1073;&#1080;&#1083;&#1085;&#1080;&#1090;&#1077;%20&#1087;&#1086;&#1090;&#1088;&#1077;&#1073;&#1080;&#1090;&#1077;&#1083;&#1080;%20&#1086;&#1090;%20&#1065;&#1091;&#1090;&#1075;&#1072;&#1088;&#1090;&#1089;&#1082;&#1080;&#1103;%20&#1091;&#1085;&#1080;&#1074;&#1077;&#1088;&#1089;&#1080;&#1090;&#1077;&#1090;%20&#1079;&#1072;%20&#1084;&#1077;&#1076;&#1080;&#1080;),%20&#1074;%20&#1082;&#1086;&#1077;&#1090;&#1086;%20&#1089;&#1072;%20&#1087;&#1088;&#1077;&#1076;&#1089;&#1090;&#1072;&#1074;&#1077;&#1085;&#1080;%20&#1088;&#1072;&#1079;&#1083;&#1080;&#1095;&#1085;&#1080;%20&#1089;&#1088;&#1077;&#1076;&#1089;&#1090;&#1074;&#1072;/&#1080;&#1085;&#1089;&#1090;&#1088;&#1091;&#1084;&#1077;&#1085;&#1090;&#1080;,%20&#1087;&#1088;&#1077;&#1076;&#1083;&#1072;&#1075;&#1072;&#1085;&#1080;%20&#1086;&#1090;%20DeveloperSpace%20(http://ds.gpii.net/),%20&#1079;&#1072;%20&#1076;&#1072;%20&#1080;&#1079;&#1087;&#1098;&#1083;&#1085;&#1103;&#1074;&#1072;&#1090;%20&#1089;&#1090;&#1072;&#1085;&#1076;&#1072;&#1088;&#1090;&#1080;&#1090;&#1077;%20&#1080;%20&#1088;&#1077;&#1075;&#1083;&#1072;&#1084;&#1077;&#1085;&#1090;&#1080;&#1090;&#1077;,%20&#1089;&#1074;&#1098;&#1088;&#1079;&#1072;&#1085;&#1080;%20&#1089;%20&#1076;&#1086;&#1089;&#1090;&#1098;&#1087;&#1085;&#1086;&#1089;&#1090;&#1090;&#1072;%20(&#1091;&#1077;&#1073;&#1089;&#1072;&#1081;&#1090;)." TargetMode="External"/><Relationship Id="rId5" Type="http://schemas.openxmlformats.org/officeDocument/2006/relationships/footnotes" Target="footnotes.xml"/><Relationship Id="rId15" Type="http://schemas.openxmlformats.org/officeDocument/2006/relationships/hyperlink" Target="https://circabc.europa.eu/faces/jsp/extension/wai/login.jsp?_alfRedirect=%2Fsd%2Fa%2Fa9edfe64-1d80-4244-9924-6b0e3b334265%2F558%2520Presentation%2520cybersecurity%2520package%2520MSP%2520Dec%252017.pptx" TargetMode="External"/><Relationship Id="rId23" Type="http://schemas.openxmlformats.org/officeDocument/2006/relationships/hyperlink" Target="https://circabc.europa.eu/sd/a/7a1d51f0-2eb4-4b03-8a3e-188aa02731fb/568%20MSP-ICT_2017_PROGRESSIVE_FINAL.pdf" TargetMode="External"/><Relationship Id="rId28" Type="http://schemas.openxmlformats.org/officeDocument/2006/relationships/fontTable" Target="fontTable.xml"/><Relationship Id="rId10" Type="http://schemas.openxmlformats.org/officeDocument/2006/relationships/hyperlink" Target="https://circabc.europa.eu/sd/a/e25b97e9-9aef-4dcd-9ed2-5946b793eb73/562%20Swiss%20contribution%20in%20reply%20of%20document%20553.docx" TargetMode="External"/><Relationship Id="rId19" Type="http://schemas.openxmlformats.org/officeDocument/2006/relationships/hyperlink" Target="https://circabc.europa.eu/sd/a/65110e67-ba5b-4240-9132-b531dae9c726/557%20Report%20of%20the%20Workshop%20on%20Digitising%20European%20Industry.docx" TargetMode="External"/><Relationship Id="rId4" Type="http://schemas.openxmlformats.org/officeDocument/2006/relationships/webSettings" Target="webSettings.xml"/><Relationship Id="rId9" Type="http://schemas.openxmlformats.org/officeDocument/2006/relationships/hyperlink" Target="https://circabc.europa.eu/sd/a/41b7bca0-a100-4da4-bca7-7d30ca9ef16d/547v1%20Draft%20Minutes%20MSP%20meeting%2028%20September%202017FINAL.docx" TargetMode="External"/><Relationship Id="rId14" Type="http://schemas.openxmlformats.org/officeDocument/2006/relationships/hyperlink" Target="https://circabc.europa.eu/sd/a/62de63db-5a1c-4485-a078-b45a4c26ba40/554%20Info%20MSP%20on%20Inter-institutional%20Dialogue.doc" TargetMode="External"/><Relationship Id="rId22" Type="http://schemas.openxmlformats.org/officeDocument/2006/relationships/hyperlink" Target="https://circabc.europa.eu/sd/a/74daac9f-917f-4f6a-acee-c8f408dd7140/566%20identified%20specs%20on%20Joinup_draft%20.ppt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10</Pages>
  <Words>5655</Words>
  <Characters>32240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Образец на протокола от заседанията на експертната група</vt:lpstr>
    </vt:vector>
  </TitlesOfParts>
  <Company>Европейска комисия</Company>
  <LinksUpToDate>false</LinksUpToDate>
  <CharactersWithSpaces>37820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на протокола от заседанията на експертната група</dc:title>
  <dc:creator>SecGen</dc:creator>
  <dc:description>ГД „Вътрешен пазар, промишленост, предприемачество и от продължаващото и дистанционното обучение, адаптирано към ДВ, приложени към бележка Ares(2016)6398359 от 14/11/2016</dc:description>
  <cp:lastModifiedBy>Daniela Pesheva</cp:lastModifiedBy>
  <cp:revision>7</cp:revision>
  <dcterms:created xsi:type="dcterms:W3CDTF">2018-01-22T07:47:00Z</dcterms:created>
  <dcterms:modified xsi:type="dcterms:W3CDTF">2018-03-07T10:29:00Z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Европейска комисия</vt:lpwstr>
  </property>
  <property fmtid="{D5CDD505-2E9C-101B-9397-08002B2CF9AE}" pid="4" name="ContentTypeId">
    <vt:lpwstr>0x010100258AA79CEB83498886A3A0868112325000C6C456EBC8A5D64996177CA34E5B3D7C</vt:lpwstr>
  </property>
  <property fmtid="{D5CDD505-2E9C-101B-9397-08002B2CF9AE}" pid="5" name="Created using">
    <vt:lpwstr>EL 4.6 Build 50000</vt:lpwstr>
  </property>
  <property fmtid="{D5CDD505-2E9C-101B-9397-08002B2CF9AE}" pid="6" name="DocID_EU">
    <vt:lpwstr> </vt:lpwstr>
  </property>
  <property fmtid="{D5CDD505-2E9C-101B-9397-08002B2CF9AE}" pid="7" name="DocSecurity">
    <vt:i4>0</vt:i4>
  </property>
  <property fmtid="{D5CDD505-2E9C-101B-9397-08002B2CF9AE}" pid="8" name="ELDocType">
    <vt:lpwstr>not.dot</vt:lpwstr>
  </property>
  <property fmtid="{D5CDD505-2E9C-101B-9397-08002B2CF9AE}" pid="9" name="EL_Author">
    <vt:lpwstr>Pedro Ortún</vt:lpwstr>
  </property>
  <property fmtid="{D5CDD505-2E9C-101B-9397-08002B2CF9AE}" pid="10" name="EL_Language">
    <vt:lpwstr>EN</vt:lpwstr>
  </property>
  <property fmtid="{D5CDD505-2E9C-101B-9397-08002B2CF9AE}" pid="11" name="EurolookVersion">
    <vt:lpwstr>4.6</vt:lpwstr>
  </property>
  <property fmtid="{D5CDD505-2E9C-101B-9397-08002B2CF9AE}" pid="12" name="Formatting">
    <vt:lpwstr>4.1</vt:lpwstr>
  </property>
  <property fmtid="{D5CDD505-2E9C-101B-9397-08002B2CF9AE}" pid="13" name="Language">
    <vt:lpwstr>EN</vt:lpwstr>
  </property>
  <property fmtid="{D5CDD505-2E9C-101B-9397-08002B2CF9AE}" pid="14" name="Last edited using">
    <vt:lpwstr>EL 4.6 Build 50000</vt:lpwstr>
  </property>
  <property fmtid="{D5CDD505-2E9C-101B-9397-08002B2CF9AE}" pid="15" name="PresentationFormat">
    <vt:lpwstr>Microsoft Word 14.0</vt:lpwstr>
  </property>
  <property fmtid="{D5CDD505-2E9C-101B-9397-08002B2CF9AE}" pid="16" name="TemplateVersion">
    <vt:lpwstr>4.6.5.0000</vt:lpwstr>
  </property>
  <property fmtid="{D5CDD505-2E9C-101B-9397-08002B2CF9AE}" pid="17" name="Type">
    <vt:lpwstr>Бележка Eurolook &amp; писмо</vt:lpwstr>
  </property>
  <property fmtid="{D5CDD505-2E9C-101B-9397-08002B2CF9AE}" pid="18" name="_DocHome">
    <vt:i4>0</vt:i4>
  </property>
</Properties>
</file>