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115019069"/>
        <w:docPartObj>
          <w:docPartGallery w:val="Cover Pages"/>
          <w:docPartUnique/>
        </w:docPartObj>
      </w:sdtPr>
      <w:sdtEndPr>
        <w:rPr>
          <w:rFonts w:ascii="Times New Roman" w:hAnsi="Times New Roman" w:cs="Times New Roman"/>
          <w:color w:val="auto"/>
          <w:sz w:val="24"/>
          <w:szCs w:val="24"/>
        </w:rPr>
      </w:sdtEndPr>
      <w:sdtContent>
        <w:p w14:paraId="21446D0E" w14:textId="77777777" w:rsidR="008045CD" w:rsidRDefault="008045CD" w:rsidP="008045CD">
          <w:pPr>
            <w:pStyle w:val="Header"/>
            <w:jc w:val="right"/>
          </w:pPr>
          <w:r w:rsidRPr="002C36F8">
            <w:rPr>
              <w:rFonts w:ascii="Times New Roman" w:hAnsi="Times New Roman" w:cs="Times New Roman"/>
              <w:b/>
              <w:u w:val="single"/>
            </w:rPr>
            <w:t>ПРОЕКТ:</w:t>
          </w:r>
        </w:p>
        <w:p w14:paraId="591866C2" w14:textId="77777777" w:rsidR="008045CD" w:rsidRPr="008045CD" w:rsidRDefault="008045CD" w:rsidP="008045CD">
          <w:pPr>
            <w:pStyle w:val="NoSpacing"/>
            <w:spacing w:before="1540" w:after="240"/>
            <w:rPr>
              <w:color w:val="5B9BD5" w:themeColor="accent1"/>
            </w:rPr>
          </w:pPr>
        </w:p>
        <w:sdt>
          <w:sdtPr>
            <w:rPr>
              <w:rFonts w:ascii="Times New Roman" w:hAnsi="Times New Roman" w:cs="Times New Roman"/>
              <w:b/>
              <w:sz w:val="52"/>
              <w:szCs w:val="5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82B14EB" w14:textId="77777777" w:rsidR="00540A2A" w:rsidRDefault="00540A2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540A2A">
                <w:rPr>
                  <w:rFonts w:ascii="Times New Roman" w:hAnsi="Times New Roman" w:cs="Times New Roman"/>
                  <w:b/>
                  <w:sz w:val="52"/>
                  <w:szCs w:val="52"/>
                </w:rPr>
                <w:t>НАЦИОНАЛНА РАМКА ЗА ПОЛИТИКА</w:t>
              </w:r>
            </w:p>
          </w:sdtContent>
        </w:sdt>
        <w:sdt>
          <w:sdtPr>
            <w:rPr>
              <w:rFonts w:ascii="Times New Roman" w:hAnsi="Times New Roman"/>
              <w:sz w:val="52"/>
              <w:szCs w:val="52"/>
              <w:lang w:val="bg-BG"/>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47CE3930" w14:textId="77777777" w:rsidR="00540A2A" w:rsidRPr="00540A2A" w:rsidRDefault="00540A2A">
              <w:pPr>
                <w:pStyle w:val="NoSpacing"/>
                <w:jc w:val="center"/>
                <w:rPr>
                  <w:color w:val="5B9BD5" w:themeColor="accent1"/>
                  <w:sz w:val="28"/>
                  <w:szCs w:val="28"/>
                  <w:lang w:val="bg-BG"/>
                </w:rPr>
              </w:pPr>
              <w:r w:rsidRPr="00540A2A">
                <w:rPr>
                  <w:rFonts w:ascii="Times New Roman" w:hAnsi="Times New Roman"/>
                  <w:sz w:val="52"/>
                  <w:szCs w:val="52"/>
                  <w:lang w:val="bg-BG"/>
                </w:rPr>
                <w:t>за развитието на пазара на алтернативни горива в транспортния сектор и за разгръщането на съответната инфраструктура</w:t>
              </w:r>
            </w:p>
          </w:sdtContent>
        </w:sdt>
        <w:p w14:paraId="4D74BAA8" w14:textId="77777777" w:rsidR="00540A2A" w:rsidRDefault="00540A2A">
          <w:pPr>
            <w:pStyle w:val="NoSpacing"/>
            <w:spacing w:before="480"/>
            <w:jc w:val="center"/>
            <w:rPr>
              <w:color w:val="5B9BD5" w:themeColor="accent1"/>
            </w:rPr>
          </w:pPr>
          <w:r>
            <w:rPr>
              <w:noProof/>
              <w:color w:val="5B9BD5" w:themeColor="accent1"/>
              <w:lang w:val="bg-BG" w:eastAsia="bg-BG"/>
            </w:rPr>
            <mc:AlternateContent>
              <mc:Choice Requires="wps">
                <w:drawing>
                  <wp:anchor distT="0" distB="0" distL="114300" distR="114300" simplePos="0" relativeHeight="251659264" behindDoc="0" locked="0" layoutInCell="1" allowOverlap="1" wp14:anchorId="79AA2738" wp14:editId="0FAF858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5D993" w14:textId="77777777" w:rsidR="00A6350D" w:rsidRDefault="00A6350D">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AA273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4C95D993" w14:textId="77777777" w:rsidR="00A6350D" w:rsidRDefault="00A6350D">
                          <w:pPr>
                            <w:pStyle w:val="NoSpacing"/>
                            <w:jc w:val="center"/>
                            <w:rPr>
                              <w:color w:val="5B9BD5" w:themeColor="accent1"/>
                            </w:rPr>
                          </w:pPr>
                        </w:p>
                      </w:txbxContent>
                    </v:textbox>
                    <w10:wrap anchorx="margin" anchory="page"/>
                  </v:shape>
                </w:pict>
              </mc:Fallback>
            </mc:AlternateContent>
          </w:r>
        </w:p>
        <w:p w14:paraId="12299F2B" w14:textId="22341F00" w:rsidR="00540A2A" w:rsidRDefault="00540A2A">
          <w:pPr>
            <w:rPr>
              <w:rFonts w:ascii="Times New Roman" w:hAnsi="Times New Roman" w:cs="Times New Roman"/>
              <w:sz w:val="24"/>
              <w:szCs w:val="24"/>
            </w:rPr>
          </w:pPr>
          <w:r>
            <w:rPr>
              <w:rFonts w:ascii="Times New Roman" w:hAnsi="Times New Roman" w:cs="Times New Roman"/>
              <w:sz w:val="24"/>
              <w:szCs w:val="24"/>
            </w:rPr>
            <w:br w:type="page"/>
          </w:r>
        </w:p>
      </w:sdtContent>
    </w:sdt>
    <w:p w14:paraId="61CBE9D2" w14:textId="77777777" w:rsidR="00540A2A" w:rsidRDefault="00540A2A" w:rsidP="00540A2A">
      <w:pPr>
        <w:spacing w:after="0"/>
        <w:jc w:val="both"/>
        <w:rPr>
          <w:rFonts w:ascii="Times New Roman" w:hAnsi="Times New Roman" w:cs="Times New Roman"/>
          <w:b/>
          <w:sz w:val="24"/>
          <w:szCs w:val="24"/>
        </w:rPr>
      </w:pPr>
      <w:r w:rsidRPr="002C36F8">
        <w:rPr>
          <w:rFonts w:ascii="Times New Roman" w:hAnsi="Times New Roman" w:cs="Times New Roman"/>
          <w:b/>
          <w:sz w:val="24"/>
          <w:szCs w:val="24"/>
        </w:rPr>
        <w:lastRenderedPageBreak/>
        <w:t>СЪДЪРЖАНИЕ:</w:t>
      </w:r>
    </w:p>
    <w:p w14:paraId="66D5F5C7" w14:textId="77777777" w:rsidR="00540A2A" w:rsidRDefault="00540A2A" w:rsidP="00540A2A">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6"/>
        <w:gridCol w:w="7551"/>
        <w:gridCol w:w="695"/>
      </w:tblGrid>
      <w:tr w:rsidR="00540A2A" w:rsidRPr="002C36F8" w14:paraId="752B463D" w14:textId="77777777" w:rsidTr="00540A2A">
        <w:tc>
          <w:tcPr>
            <w:tcW w:w="816" w:type="dxa"/>
          </w:tcPr>
          <w:p w14:paraId="3942C0FD"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1.</w:t>
            </w:r>
          </w:p>
        </w:tc>
        <w:tc>
          <w:tcPr>
            <w:tcW w:w="7551" w:type="dxa"/>
          </w:tcPr>
          <w:p w14:paraId="50F280C0"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Въведение</w:t>
            </w:r>
          </w:p>
          <w:p w14:paraId="02423399" w14:textId="77777777" w:rsidR="00540A2A" w:rsidRPr="002C36F8" w:rsidRDefault="00540A2A" w:rsidP="00540A2A">
            <w:pPr>
              <w:jc w:val="both"/>
              <w:rPr>
                <w:rFonts w:ascii="Times New Roman" w:hAnsi="Times New Roman" w:cs="Times New Roman"/>
                <w:b/>
                <w:sz w:val="24"/>
                <w:szCs w:val="24"/>
              </w:rPr>
            </w:pPr>
          </w:p>
        </w:tc>
        <w:tc>
          <w:tcPr>
            <w:tcW w:w="695" w:type="dxa"/>
          </w:tcPr>
          <w:p w14:paraId="40C232FF" w14:textId="77777777" w:rsidR="00540A2A" w:rsidRPr="0079603F" w:rsidRDefault="00540A2A" w:rsidP="00540A2A">
            <w:pPr>
              <w:jc w:val="right"/>
              <w:rPr>
                <w:rFonts w:ascii="Times New Roman" w:hAnsi="Times New Roman" w:cs="Times New Roman"/>
                <w:sz w:val="24"/>
                <w:szCs w:val="24"/>
                <w:lang w:val="en-US"/>
              </w:rPr>
            </w:pPr>
            <w:r w:rsidRPr="00F36A87">
              <w:rPr>
                <w:rFonts w:ascii="Times New Roman" w:hAnsi="Times New Roman" w:cs="Times New Roman"/>
                <w:sz w:val="24"/>
                <w:szCs w:val="24"/>
              </w:rPr>
              <w:t>Стр.</w:t>
            </w:r>
            <w:r>
              <w:rPr>
                <w:rFonts w:ascii="Times New Roman" w:hAnsi="Times New Roman" w:cs="Times New Roman"/>
                <w:sz w:val="24"/>
                <w:szCs w:val="24"/>
                <w:lang w:val="en-US"/>
              </w:rPr>
              <w:t xml:space="preserve"> 1</w:t>
            </w:r>
          </w:p>
        </w:tc>
      </w:tr>
      <w:tr w:rsidR="00540A2A" w:rsidRPr="002C36F8" w14:paraId="2E709EF3" w14:textId="77777777" w:rsidTr="00540A2A">
        <w:tc>
          <w:tcPr>
            <w:tcW w:w="816" w:type="dxa"/>
          </w:tcPr>
          <w:p w14:paraId="18328EB2"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2.</w:t>
            </w:r>
          </w:p>
        </w:tc>
        <w:tc>
          <w:tcPr>
            <w:tcW w:w="7551" w:type="dxa"/>
          </w:tcPr>
          <w:p w14:paraId="6698F1F1"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Стратегическа рамка</w:t>
            </w:r>
          </w:p>
          <w:p w14:paraId="14869BFF" w14:textId="77777777" w:rsidR="00540A2A" w:rsidRPr="002C36F8" w:rsidRDefault="00540A2A" w:rsidP="00540A2A">
            <w:pPr>
              <w:jc w:val="both"/>
              <w:rPr>
                <w:rFonts w:ascii="Times New Roman" w:hAnsi="Times New Roman" w:cs="Times New Roman"/>
                <w:b/>
                <w:sz w:val="24"/>
                <w:szCs w:val="24"/>
              </w:rPr>
            </w:pPr>
          </w:p>
        </w:tc>
        <w:tc>
          <w:tcPr>
            <w:tcW w:w="695" w:type="dxa"/>
          </w:tcPr>
          <w:p w14:paraId="0B1B3944"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w:t>
            </w:r>
          </w:p>
        </w:tc>
      </w:tr>
      <w:tr w:rsidR="00540A2A" w:rsidRPr="002C36F8" w14:paraId="6303A6AA" w14:textId="77777777" w:rsidTr="00540A2A">
        <w:tc>
          <w:tcPr>
            <w:tcW w:w="816" w:type="dxa"/>
          </w:tcPr>
          <w:p w14:paraId="318EA16D" w14:textId="77777777" w:rsidR="00540A2A" w:rsidRPr="002C36F8" w:rsidRDefault="00540A2A" w:rsidP="00540A2A">
            <w:pPr>
              <w:jc w:val="both"/>
              <w:rPr>
                <w:rFonts w:ascii="Times New Roman" w:hAnsi="Times New Roman" w:cs="Times New Roman"/>
                <w:b/>
                <w:i/>
                <w:sz w:val="24"/>
                <w:szCs w:val="24"/>
              </w:rPr>
            </w:pPr>
            <w:r w:rsidRPr="002C36F8">
              <w:rPr>
                <w:rFonts w:ascii="Times New Roman" w:hAnsi="Times New Roman" w:cs="Times New Roman"/>
                <w:b/>
                <w:i/>
                <w:sz w:val="24"/>
                <w:szCs w:val="24"/>
              </w:rPr>
              <w:t>2.1</w:t>
            </w:r>
          </w:p>
        </w:tc>
        <w:tc>
          <w:tcPr>
            <w:tcW w:w="7551" w:type="dxa"/>
          </w:tcPr>
          <w:p w14:paraId="47D3A192" w14:textId="77777777" w:rsidR="00540A2A" w:rsidRPr="002C36F8" w:rsidRDefault="00540A2A" w:rsidP="00540A2A">
            <w:pPr>
              <w:jc w:val="both"/>
              <w:rPr>
                <w:rFonts w:ascii="Times New Roman" w:hAnsi="Times New Roman" w:cs="Times New Roman"/>
                <w:b/>
                <w:i/>
                <w:sz w:val="24"/>
                <w:szCs w:val="24"/>
              </w:rPr>
            </w:pPr>
            <w:r w:rsidRPr="002C36F8">
              <w:rPr>
                <w:rFonts w:ascii="Times New Roman" w:hAnsi="Times New Roman" w:cs="Times New Roman"/>
                <w:b/>
                <w:i/>
                <w:sz w:val="24"/>
                <w:szCs w:val="24"/>
              </w:rPr>
              <w:t>Основни стратегически документи на национално ниво</w:t>
            </w:r>
          </w:p>
        </w:tc>
        <w:tc>
          <w:tcPr>
            <w:tcW w:w="695" w:type="dxa"/>
          </w:tcPr>
          <w:p w14:paraId="1CEA491D"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w:t>
            </w:r>
          </w:p>
        </w:tc>
      </w:tr>
      <w:tr w:rsidR="00540A2A" w:rsidRPr="002C36F8" w14:paraId="4B0908DD" w14:textId="77777777" w:rsidTr="00540A2A">
        <w:tc>
          <w:tcPr>
            <w:tcW w:w="816" w:type="dxa"/>
          </w:tcPr>
          <w:p w14:paraId="1E1DAC64"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1.2.1</w:t>
            </w:r>
            <w:r w:rsidRPr="002C36F8">
              <w:rPr>
                <w:rFonts w:ascii="Times New Roman" w:hAnsi="Times New Roman" w:cs="Times New Roman"/>
                <w:i/>
                <w:sz w:val="24"/>
                <w:szCs w:val="24"/>
              </w:rPr>
              <w:tab/>
            </w:r>
          </w:p>
        </w:tc>
        <w:tc>
          <w:tcPr>
            <w:tcW w:w="7551" w:type="dxa"/>
          </w:tcPr>
          <w:p w14:paraId="736B29A1"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Национален план за действие за насърчаване производството и ускореното навлизане на екологични превозни средства, включително на електрическата мобилност в България за периода 2012 – 2014 г.</w:t>
            </w:r>
          </w:p>
        </w:tc>
        <w:tc>
          <w:tcPr>
            <w:tcW w:w="695" w:type="dxa"/>
          </w:tcPr>
          <w:p w14:paraId="7128F341"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w:t>
            </w:r>
          </w:p>
        </w:tc>
      </w:tr>
      <w:tr w:rsidR="00540A2A" w:rsidRPr="002C36F8" w14:paraId="077B1276" w14:textId="77777777" w:rsidTr="00540A2A">
        <w:tc>
          <w:tcPr>
            <w:tcW w:w="816" w:type="dxa"/>
          </w:tcPr>
          <w:p w14:paraId="34A5D0B1"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1.2.2</w:t>
            </w:r>
          </w:p>
        </w:tc>
        <w:tc>
          <w:tcPr>
            <w:tcW w:w="7551" w:type="dxa"/>
          </w:tcPr>
          <w:p w14:paraId="5843D7F0"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 xml:space="preserve">Национална програма за развитие: България 2020 г. </w:t>
            </w:r>
          </w:p>
        </w:tc>
        <w:tc>
          <w:tcPr>
            <w:tcW w:w="695" w:type="dxa"/>
          </w:tcPr>
          <w:p w14:paraId="3DBFF086"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w:t>
            </w:r>
          </w:p>
        </w:tc>
      </w:tr>
      <w:tr w:rsidR="00540A2A" w:rsidRPr="002C36F8" w14:paraId="251849E0" w14:textId="77777777" w:rsidTr="00540A2A">
        <w:tc>
          <w:tcPr>
            <w:tcW w:w="816" w:type="dxa"/>
          </w:tcPr>
          <w:p w14:paraId="177FDAD0"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1.2.3</w:t>
            </w:r>
            <w:r w:rsidRPr="002C36F8">
              <w:rPr>
                <w:rFonts w:ascii="Times New Roman" w:hAnsi="Times New Roman" w:cs="Times New Roman"/>
                <w:i/>
                <w:sz w:val="24"/>
                <w:szCs w:val="24"/>
              </w:rPr>
              <w:tab/>
            </w:r>
          </w:p>
        </w:tc>
        <w:tc>
          <w:tcPr>
            <w:tcW w:w="7551" w:type="dxa"/>
          </w:tcPr>
          <w:p w14:paraId="1EFA1BE8"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Трети национален план за действие по изменение на климата за периода 2013 – 2020 г.</w:t>
            </w:r>
          </w:p>
        </w:tc>
        <w:tc>
          <w:tcPr>
            <w:tcW w:w="695" w:type="dxa"/>
          </w:tcPr>
          <w:p w14:paraId="7C0D4B8D"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w:t>
            </w:r>
          </w:p>
        </w:tc>
      </w:tr>
      <w:tr w:rsidR="00540A2A" w:rsidRPr="002C36F8" w14:paraId="6FA24905" w14:textId="77777777" w:rsidTr="00540A2A">
        <w:tc>
          <w:tcPr>
            <w:tcW w:w="816" w:type="dxa"/>
          </w:tcPr>
          <w:p w14:paraId="2FD6CE59"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1.2.4</w:t>
            </w:r>
            <w:r w:rsidRPr="002C36F8">
              <w:rPr>
                <w:rFonts w:ascii="Times New Roman" w:hAnsi="Times New Roman" w:cs="Times New Roman"/>
                <w:i/>
                <w:sz w:val="24"/>
                <w:szCs w:val="24"/>
              </w:rPr>
              <w:tab/>
            </w:r>
          </w:p>
        </w:tc>
        <w:tc>
          <w:tcPr>
            <w:tcW w:w="7551" w:type="dxa"/>
          </w:tcPr>
          <w:p w14:paraId="5EB6FA1B"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Национална стратегия за развитие на научните изследвания до 2020 г.</w:t>
            </w:r>
          </w:p>
        </w:tc>
        <w:tc>
          <w:tcPr>
            <w:tcW w:w="695" w:type="dxa"/>
          </w:tcPr>
          <w:p w14:paraId="2CA5CC7B"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3</w:t>
            </w:r>
          </w:p>
        </w:tc>
      </w:tr>
      <w:tr w:rsidR="00540A2A" w:rsidRPr="002C36F8" w14:paraId="6BCBF390" w14:textId="77777777" w:rsidTr="00540A2A">
        <w:tc>
          <w:tcPr>
            <w:tcW w:w="816" w:type="dxa"/>
          </w:tcPr>
          <w:p w14:paraId="3FD849D1"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1.2.5</w:t>
            </w:r>
          </w:p>
        </w:tc>
        <w:tc>
          <w:tcPr>
            <w:tcW w:w="7551" w:type="dxa"/>
          </w:tcPr>
          <w:p w14:paraId="67949A49"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Иновационна стратегия за интелигентна специализация на Република България за периода до 2020 г., приета с Решение № 857 на Министерския съвет от 3.11.2015 г.</w:t>
            </w:r>
          </w:p>
        </w:tc>
        <w:tc>
          <w:tcPr>
            <w:tcW w:w="695" w:type="dxa"/>
          </w:tcPr>
          <w:p w14:paraId="4AEFC7AC"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3</w:t>
            </w:r>
          </w:p>
        </w:tc>
      </w:tr>
      <w:tr w:rsidR="00540A2A" w:rsidRPr="002C36F8" w14:paraId="627A5D0C" w14:textId="77777777" w:rsidTr="00540A2A">
        <w:tc>
          <w:tcPr>
            <w:tcW w:w="816" w:type="dxa"/>
          </w:tcPr>
          <w:p w14:paraId="0A4BD29A"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1.2.6</w:t>
            </w:r>
          </w:p>
        </w:tc>
        <w:tc>
          <w:tcPr>
            <w:tcW w:w="7551" w:type="dxa"/>
          </w:tcPr>
          <w:p w14:paraId="19DB1804"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Стратегия за развитие на транспортната система на Република България до 2020 г.</w:t>
            </w:r>
          </w:p>
        </w:tc>
        <w:tc>
          <w:tcPr>
            <w:tcW w:w="695" w:type="dxa"/>
          </w:tcPr>
          <w:p w14:paraId="05352288" w14:textId="77777777" w:rsidR="00540A2A" w:rsidRPr="0079603F" w:rsidRDefault="00540A2A" w:rsidP="00540A2A">
            <w:pPr>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40A2A" w:rsidRPr="002C36F8" w14:paraId="1C9D8963" w14:textId="77777777" w:rsidTr="00540A2A">
        <w:tc>
          <w:tcPr>
            <w:tcW w:w="816" w:type="dxa"/>
          </w:tcPr>
          <w:p w14:paraId="0B50848E"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1.2.7</w:t>
            </w:r>
          </w:p>
        </w:tc>
        <w:tc>
          <w:tcPr>
            <w:tcW w:w="7551" w:type="dxa"/>
          </w:tcPr>
          <w:p w14:paraId="2AFA0458"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Енергийна стратегия на Република България до 2020 г.</w:t>
            </w:r>
          </w:p>
        </w:tc>
        <w:tc>
          <w:tcPr>
            <w:tcW w:w="695" w:type="dxa"/>
          </w:tcPr>
          <w:p w14:paraId="548565C1"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5</w:t>
            </w:r>
          </w:p>
        </w:tc>
      </w:tr>
      <w:tr w:rsidR="00540A2A" w:rsidRPr="002C36F8" w14:paraId="6ECD8CAC" w14:textId="77777777" w:rsidTr="00540A2A">
        <w:tc>
          <w:tcPr>
            <w:tcW w:w="816" w:type="dxa"/>
          </w:tcPr>
          <w:p w14:paraId="62AC607F" w14:textId="77777777" w:rsidR="00540A2A" w:rsidRPr="002C36F8" w:rsidRDefault="00540A2A" w:rsidP="00540A2A">
            <w:pPr>
              <w:jc w:val="both"/>
              <w:rPr>
                <w:rFonts w:ascii="Times New Roman" w:hAnsi="Times New Roman" w:cs="Times New Roman"/>
                <w:i/>
                <w:sz w:val="24"/>
                <w:szCs w:val="24"/>
              </w:rPr>
            </w:pPr>
          </w:p>
        </w:tc>
        <w:tc>
          <w:tcPr>
            <w:tcW w:w="7551" w:type="dxa"/>
          </w:tcPr>
          <w:p w14:paraId="09FED78F" w14:textId="77777777" w:rsidR="00540A2A" w:rsidRPr="002C36F8" w:rsidRDefault="00540A2A" w:rsidP="00540A2A">
            <w:pPr>
              <w:jc w:val="both"/>
              <w:rPr>
                <w:rFonts w:ascii="Times New Roman" w:hAnsi="Times New Roman" w:cs="Times New Roman"/>
                <w:i/>
                <w:sz w:val="24"/>
                <w:szCs w:val="24"/>
              </w:rPr>
            </w:pPr>
          </w:p>
        </w:tc>
        <w:tc>
          <w:tcPr>
            <w:tcW w:w="695" w:type="dxa"/>
          </w:tcPr>
          <w:p w14:paraId="10A04040" w14:textId="77777777" w:rsidR="00540A2A" w:rsidRPr="00F36A87" w:rsidRDefault="00540A2A" w:rsidP="00540A2A">
            <w:pPr>
              <w:jc w:val="right"/>
              <w:rPr>
                <w:rFonts w:ascii="Times New Roman" w:hAnsi="Times New Roman" w:cs="Times New Roman"/>
                <w:sz w:val="24"/>
                <w:szCs w:val="24"/>
              </w:rPr>
            </w:pPr>
          </w:p>
        </w:tc>
      </w:tr>
      <w:tr w:rsidR="00540A2A" w:rsidRPr="002C36F8" w14:paraId="4254C6D8" w14:textId="77777777" w:rsidTr="00540A2A">
        <w:tc>
          <w:tcPr>
            <w:tcW w:w="816" w:type="dxa"/>
          </w:tcPr>
          <w:p w14:paraId="5E9A8FE1"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3.</w:t>
            </w:r>
          </w:p>
        </w:tc>
        <w:tc>
          <w:tcPr>
            <w:tcW w:w="7551" w:type="dxa"/>
          </w:tcPr>
          <w:p w14:paraId="6A8E8C11"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Законодателна рамка</w:t>
            </w:r>
          </w:p>
          <w:p w14:paraId="79A06680" w14:textId="77777777" w:rsidR="00540A2A" w:rsidRPr="002C36F8" w:rsidRDefault="00540A2A" w:rsidP="00540A2A">
            <w:pPr>
              <w:jc w:val="both"/>
              <w:rPr>
                <w:rFonts w:ascii="Times New Roman" w:hAnsi="Times New Roman" w:cs="Times New Roman"/>
                <w:b/>
                <w:sz w:val="24"/>
                <w:szCs w:val="24"/>
              </w:rPr>
            </w:pPr>
          </w:p>
        </w:tc>
        <w:tc>
          <w:tcPr>
            <w:tcW w:w="695" w:type="dxa"/>
          </w:tcPr>
          <w:p w14:paraId="19894625" w14:textId="77777777" w:rsidR="00540A2A" w:rsidRPr="00F36A87" w:rsidRDefault="00540A2A" w:rsidP="00540A2A">
            <w:pPr>
              <w:jc w:val="right"/>
              <w:rPr>
                <w:rFonts w:ascii="Times New Roman" w:hAnsi="Times New Roman" w:cs="Times New Roman"/>
                <w:sz w:val="24"/>
                <w:szCs w:val="24"/>
              </w:rPr>
            </w:pPr>
          </w:p>
        </w:tc>
      </w:tr>
      <w:tr w:rsidR="00540A2A" w:rsidRPr="002C36F8" w14:paraId="694B1D39" w14:textId="77777777" w:rsidTr="00540A2A">
        <w:tc>
          <w:tcPr>
            <w:tcW w:w="816" w:type="dxa"/>
          </w:tcPr>
          <w:p w14:paraId="495D184C"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i/>
                <w:sz w:val="24"/>
                <w:szCs w:val="24"/>
              </w:rPr>
              <w:t>3.1</w:t>
            </w:r>
          </w:p>
        </w:tc>
        <w:tc>
          <w:tcPr>
            <w:tcW w:w="7551" w:type="dxa"/>
          </w:tcPr>
          <w:p w14:paraId="1379EE8F" w14:textId="77777777" w:rsidR="00540A2A" w:rsidRPr="002C36F8" w:rsidRDefault="00540A2A" w:rsidP="00540A2A">
            <w:r w:rsidRPr="002C36F8">
              <w:rPr>
                <w:rFonts w:ascii="Times New Roman" w:hAnsi="Times New Roman" w:cs="Times New Roman"/>
                <w:b/>
                <w:i/>
                <w:sz w:val="24"/>
                <w:szCs w:val="24"/>
              </w:rPr>
              <w:t>Законодателна рамка – електрическа енергия</w:t>
            </w:r>
          </w:p>
        </w:tc>
        <w:tc>
          <w:tcPr>
            <w:tcW w:w="695" w:type="dxa"/>
          </w:tcPr>
          <w:p w14:paraId="47C19A59"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6</w:t>
            </w:r>
          </w:p>
        </w:tc>
      </w:tr>
      <w:tr w:rsidR="00540A2A" w:rsidRPr="0079603F" w14:paraId="17737946" w14:textId="77777777" w:rsidTr="00540A2A">
        <w:tc>
          <w:tcPr>
            <w:tcW w:w="816" w:type="dxa"/>
          </w:tcPr>
          <w:p w14:paraId="01AD0C32" w14:textId="77777777" w:rsidR="00540A2A" w:rsidRPr="002C36F8" w:rsidRDefault="00540A2A" w:rsidP="00540A2A">
            <w:pPr>
              <w:jc w:val="both"/>
              <w:rPr>
                <w:rFonts w:ascii="Times New Roman" w:hAnsi="Times New Roman" w:cs="Times New Roman"/>
                <w:b/>
                <w:i/>
                <w:sz w:val="24"/>
                <w:szCs w:val="24"/>
              </w:rPr>
            </w:pPr>
            <w:r w:rsidRPr="002C36F8">
              <w:rPr>
                <w:rFonts w:ascii="Times New Roman" w:hAnsi="Times New Roman" w:cs="Times New Roman"/>
                <w:i/>
                <w:sz w:val="24"/>
                <w:szCs w:val="24"/>
              </w:rPr>
              <w:t>3.1.1</w:t>
            </w:r>
          </w:p>
        </w:tc>
        <w:tc>
          <w:tcPr>
            <w:tcW w:w="7551" w:type="dxa"/>
          </w:tcPr>
          <w:p w14:paraId="66B990A3" w14:textId="77777777" w:rsidR="00540A2A" w:rsidRPr="002C36F8" w:rsidRDefault="00540A2A" w:rsidP="00540A2A">
            <w:pPr>
              <w:spacing w:line="276" w:lineRule="auto"/>
              <w:jc w:val="both"/>
              <w:rPr>
                <w:rFonts w:ascii="Times New Roman" w:hAnsi="Times New Roman" w:cs="Times New Roman"/>
                <w:i/>
                <w:sz w:val="24"/>
                <w:szCs w:val="24"/>
              </w:rPr>
            </w:pPr>
            <w:r w:rsidRPr="002C36F8">
              <w:rPr>
                <w:rFonts w:ascii="Times New Roman" w:hAnsi="Times New Roman" w:cs="Times New Roman"/>
                <w:i/>
                <w:sz w:val="24"/>
                <w:szCs w:val="24"/>
              </w:rPr>
              <w:t>Данъчни облекчения - електрически превозни средства</w:t>
            </w:r>
          </w:p>
        </w:tc>
        <w:tc>
          <w:tcPr>
            <w:tcW w:w="695" w:type="dxa"/>
          </w:tcPr>
          <w:p w14:paraId="77EE9914"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6</w:t>
            </w:r>
          </w:p>
        </w:tc>
      </w:tr>
      <w:tr w:rsidR="00540A2A" w:rsidRPr="0079603F" w14:paraId="6B5B69B8" w14:textId="77777777" w:rsidTr="00540A2A">
        <w:tc>
          <w:tcPr>
            <w:tcW w:w="816" w:type="dxa"/>
          </w:tcPr>
          <w:p w14:paraId="44002036" w14:textId="77777777" w:rsidR="00540A2A" w:rsidRPr="002C36F8" w:rsidRDefault="00540A2A" w:rsidP="00540A2A">
            <w:pPr>
              <w:jc w:val="both"/>
              <w:rPr>
                <w:rFonts w:ascii="Times New Roman" w:hAnsi="Times New Roman" w:cs="Times New Roman"/>
                <w:b/>
                <w:i/>
                <w:sz w:val="24"/>
                <w:szCs w:val="24"/>
              </w:rPr>
            </w:pPr>
            <w:r w:rsidRPr="002C36F8">
              <w:rPr>
                <w:rFonts w:ascii="Times New Roman" w:hAnsi="Times New Roman"/>
                <w:i/>
                <w:sz w:val="24"/>
                <w:szCs w:val="24"/>
              </w:rPr>
              <w:t>3.1.2</w:t>
            </w:r>
          </w:p>
        </w:tc>
        <w:tc>
          <w:tcPr>
            <w:tcW w:w="7551" w:type="dxa"/>
          </w:tcPr>
          <w:p w14:paraId="53E090C8" w14:textId="77777777" w:rsidR="00540A2A" w:rsidRPr="002C36F8" w:rsidRDefault="00540A2A" w:rsidP="00540A2A">
            <w:pPr>
              <w:jc w:val="both"/>
              <w:rPr>
                <w:rFonts w:ascii="Times New Roman" w:hAnsi="Times New Roman"/>
                <w:i/>
                <w:sz w:val="24"/>
                <w:szCs w:val="24"/>
              </w:rPr>
            </w:pPr>
            <w:r w:rsidRPr="002C36F8">
              <w:rPr>
                <w:rFonts w:ascii="Times New Roman" w:hAnsi="Times New Roman"/>
                <w:i/>
                <w:sz w:val="24"/>
                <w:szCs w:val="24"/>
              </w:rPr>
              <w:t>Регистрация</w:t>
            </w:r>
            <w:r w:rsidRPr="002C36F8">
              <w:rPr>
                <w:rFonts w:ascii="Times New Roman" w:hAnsi="Times New Roman"/>
                <w:b/>
                <w:i/>
                <w:sz w:val="24"/>
                <w:szCs w:val="24"/>
              </w:rPr>
              <w:t xml:space="preserve"> </w:t>
            </w:r>
            <w:r w:rsidRPr="002C36F8">
              <w:rPr>
                <w:rFonts w:ascii="Times New Roman" w:hAnsi="Times New Roman"/>
                <w:i/>
                <w:sz w:val="24"/>
                <w:szCs w:val="24"/>
              </w:rPr>
              <w:t>на моторни превозни средства с хибридно и електрическо задвижване</w:t>
            </w:r>
          </w:p>
        </w:tc>
        <w:tc>
          <w:tcPr>
            <w:tcW w:w="695" w:type="dxa"/>
          </w:tcPr>
          <w:p w14:paraId="691F2856"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7</w:t>
            </w:r>
          </w:p>
        </w:tc>
      </w:tr>
      <w:tr w:rsidR="00540A2A" w:rsidRPr="002C36F8" w14:paraId="3B44F52C" w14:textId="77777777" w:rsidTr="00540A2A">
        <w:tc>
          <w:tcPr>
            <w:tcW w:w="816" w:type="dxa"/>
          </w:tcPr>
          <w:p w14:paraId="2CF3A910" w14:textId="77777777" w:rsidR="00540A2A" w:rsidRPr="002C36F8" w:rsidRDefault="00540A2A" w:rsidP="00540A2A">
            <w:pPr>
              <w:jc w:val="both"/>
              <w:rPr>
                <w:rFonts w:ascii="Times New Roman" w:hAnsi="Times New Roman" w:cs="Times New Roman"/>
                <w:b/>
                <w:i/>
                <w:sz w:val="24"/>
                <w:szCs w:val="24"/>
              </w:rPr>
            </w:pPr>
            <w:r w:rsidRPr="002C36F8">
              <w:rPr>
                <w:rFonts w:ascii="Times New Roman" w:eastAsia="Times New Roman" w:hAnsi="Times New Roman" w:cs="Times New Roman"/>
                <w:i/>
                <w:sz w:val="24"/>
                <w:szCs w:val="24"/>
                <w:lang w:eastAsia="bg-BG"/>
              </w:rPr>
              <w:t>3.1.3</w:t>
            </w:r>
          </w:p>
        </w:tc>
        <w:tc>
          <w:tcPr>
            <w:tcW w:w="7551" w:type="dxa"/>
          </w:tcPr>
          <w:p w14:paraId="1AA98FF9" w14:textId="77777777" w:rsidR="00540A2A" w:rsidRPr="002C36F8" w:rsidRDefault="00540A2A" w:rsidP="00540A2A">
            <w:pPr>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Типово одобрение на моторни превозни средства, с електрическо и хибридно задвижване</w:t>
            </w:r>
          </w:p>
        </w:tc>
        <w:tc>
          <w:tcPr>
            <w:tcW w:w="695" w:type="dxa"/>
          </w:tcPr>
          <w:p w14:paraId="76051008"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8</w:t>
            </w:r>
          </w:p>
        </w:tc>
      </w:tr>
      <w:tr w:rsidR="00540A2A" w:rsidRPr="002C36F8" w14:paraId="0BDBF221" w14:textId="77777777" w:rsidTr="00540A2A">
        <w:tc>
          <w:tcPr>
            <w:tcW w:w="816" w:type="dxa"/>
          </w:tcPr>
          <w:p w14:paraId="5F7E72F9" w14:textId="77777777" w:rsidR="00540A2A" w:rsidRPr="002C36F8" w:rsidRDefault="00540A2A" w:rsidP="00540A2A">
            <w:pPr>
              <w:jc w:val="both"/>
              <w:rPr>
                <w:rFonts w:ascii="Times New Roman" w:hAnsi="Times New Roman" w:cs="Times New Roman"/>
                <w:b/>
                <w:i/>
                <w:sz w:val="24"/>
                <w:szCs w:val="24"/>
              </w:rPr>
            </w:pPr>
          </w:p>
        </w:tc>
        <w:tc>
          <w:tcPr>
            <w:tcW w:w="7551" w:type="dxa"/>
          </w:tcPr>
          <w:p w14:paraId="110D9A12" w14:textId="77777777" w:rsidR="00540A2A" w:rsidRPr="002C36F8" w:rsidRDefault="00540A2A" w:rsidP="00540A2A">
            <w:pPr>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3.1.3.1 Европейски изисквания:</w:t>
            </w:r>
          </w:p>
        </w:tc>
        <w:tc>
          <w:tcPr>
            <w:tcW w:w="695" w:type="dxa"/>
          </w:tcPr>
          <w:p w14:paraId="51DC4F53"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8</w:t>
            </w:r>
          </w:p>
        </w:tc>
      </w:tr>
      <w:tr w:rsidR="00540A2A" w:rsidRPr="002C36F8" w14:paraId="7F5E0F8F" w14:textId="77777777" w:rsidTr="00540A2A">
        <w:tc>
          <w:tcPr>
            <w:tcW w:w="816" w:type="dxa"/>
          </w:tcPr>
          <w:p w14:paraId="0FE4A0B3" w14:textId="77777777" w:rsidR="00540A2A" w:rsidRPr="002C36F8" w:rsidRDefault="00540A2A" w:rsidP="00540A2A">
            <w:pPr>
              <w:jc w:val="both"/>
              <w:rPr>
                <w:rFonts w:ascii="Times New Roman" w:hAnsi="Times New Roman" w:cs="Times New Roman"/>
                <w:b/>
                <w:i/>
                <w:sz w:val="24"/>
                <w:szCs w:val="24"/>
              </w:rPr>
            </w:pPr>
          </w:p>
        </w:tc>
        <w:tc>
          <w:tcPr>
            <w:tcW w:w="7551" w:type="dxa"/>
          </w:tcPr>
          <w:p w14:paraId="50F5BC28" w14:textId="77777777" w:rsidR="00540A2A" w:rsidRPr="002C36F8" w:rsidRDefault="00540A2A" w:rsidP="00540A2A">
            <w:pPr>
              <w:ind w:left="1735" w:hanging="1559"/>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           3.1.3.1.1 Информация за одобряване на типа на електрически и хибридни МПС от категории M и N</w:t>
            </w:r>
          </w:p>
        </w:tc>
        <w:tc>
          <w:tcPr>
            <w:tcW w:w="695" w:type="dxa"/>
          </w:tcPr>
          <w:p w14:paraId="7E402F28"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8</w:t>
            </w:r>
          </w:p>
        </w:tc>
      </w:tr>
      <w:tr w:rsidR="00540A2A" w:rsidRPr="002C36F8" w14:paraId="5F6A11C7" w14:textId="77777777" w:rsidTr="00540A2A">
        <w:tc>
          <w:tcPr>
            <w:tcW w:w="816" w:type="dxa"/>
          </w:tcPr>
          <w:p w14:paraId="5687CEDE" w14:textId="77777777" w:rsidR="00540A2A" w:rsidRPr="002C36F8" w:rsidRDefault="00540A2A" w:rsidP="00540A2A">
            <w:pPr>
              <w:ind w:left="1168" w:hanging="992"/>
              <w:jc w:val="both"/>
              <w:rPr>
                <w:rFonts w:ascii="Times New Roman" w:eastAsia="Times New Roman" w:hAnsi="Times New Roman" w:cs="Times New Roman"/>
                <w:i/>
                <w:sz w:val="24"/>
                <w:szCs w:val="24"/>
                <w:lang w:eastAsia="bg-BG"/>
              </w:rPr>
            </w:pPr>
          </w:p>
        </w:tc>
        <w:tc>
          <w:tcPr>
            <w:tcW w:w="7551" w:type="dxa"/>
          </w:tcPr>
          <w:p w14:paraId="33180679" w14:textId="77777777" w:rsidR="00540A2A" w:rsidRPr="002C36F8" w:rsidRDefault="00540A2A" w:rsidP="00540A2A">
            <w:pPr>
              <w:ind w:left="1735" w:hanging="1559"/>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           3.1.3.1.2 Информация относно одобряване на типа на електрически и хибридни МПС от категория L</w:t>
            </w:r>
          </w:p>
        </w:tc>
        <w:tc>
          <w:tcPr>
            <w:tcW w:w="695" w:type="dxa"/>
          </w:tcPr>
          <w:p w14:paraId="3BBD120B"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9</w:t>
            </w:r>
          </w:p>
        </w:tc>
      </w:tr>
      <w:tr w:rsidR="00540A2A" w:rsidRPr="002C36F8" w14:paraId="2434B487" w14:textId="77777777" w:rsidTr="00540A2A">
        <w:tc>
          <w:tcPr>
            <w:tcW w:w="816" w:type="dxa"/>
          </w:tcPr>
          <w:p w14:paraId="0338DAB6" w14:textId="77777777" w:rsidR="00540A2A" w:rsidRPr="002C36F8" w:rsidRDefault="00540A2A" w:rsidP="00540A2A">
            <w:pPr>
              <w:jc w:val="both"/>
              <w:rPr>
                <w:rFonts w:ascii="Times New Roman" w:hAnsi="Times New Roman" w:cs="Times New Roman"/>
                <w:b/>
                <w:i/>
                <w:sz w:val="24"/>
                <w:szCs w:val="24"/>
              </w:rPr>
            </w:pPr>
          </w:p>
        </w:tc>
        <w:tc>
          <w:tcPr>
            <w:tcW w:w="7551" w:type="dxa"/>
          </w:tcPr>
          <w:p w14:paraId="372B1C4F" w14:textId="77777777" w:rsidR="00540A2A" w:rsidRPr="002C36F8" w:rsidRDefault="00540A2A" w:rsidP="00540A2A">
            <w:pPr>
              <w:widowControl w:val="0"/>
              <w:spacing w:line="274" w:lineRule="exact"/>
              <w:ind w:right="20"/>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3.1.3.2 Национални изисквания</w:t>
            </w:r>
          </w:p>
        </w:tc>
        <w:tc>
          <w:tcPr>
            <w:tcW w:w="695" w:type="dxa"/>
          </w:tcPr>
          <w:p w14:paraId="0BE9D247"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10</w:t>
            </w:r>
          </w:p>
        </w:tc>
      </w:tr>
      <w:tr w:rsidR="00540A2A" w:rsidRPr="002C36F8" w14:paraId="46C6F0F0" w14:textId="77777777" w:rsidTr="00540A2A">
        <w:tc>
          <w:tcPr>
            <w:tcW w:w="816" w:type="dxa"/>
          </w:tcPr>
          <w:p w14:paraId="14FE6481" w14:textId="77777777" w:rsidR="00540A2A" w:rsidRPr="002C36F8" w:rsidRDefault="00540A2A" w:rsidP="00540A2A">
            <w:pPr>
              <w:jc w:val="both"/>
              <w:rPr>
                <w:rFonts w:ascii="Times New Roman" w:hAnsi="Times New Roman" w:cs="Times New Roman"/>
                <w:b/>
                <w:sz w:val="24"/>
                <w:szCs w:val="24"/>
              </w:rPr>
            </w:pPr>
          </w:p>
        </w:tc>
        <w:tc>
          <w:tcPr>
            <w:tcW w:w="7551" w:type="dxa"/>
          </w:tcPr>
          <w:p w14:paraId="7E626AF2" w14:textId="77777777" w:rsidR="00540A2A" w:rsidRPr="002C36F8" w:rsidRDefault="00540A2A" w:rsidP="00540A2A">
            <w:pPr>
              <w:ind w:left="1735" w:hanging="1559"/>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t xml:space="preserve">           3.1.3.2.1 Изисквания за изменение в конструкцията на пътно превозно средство в хибридно превозно средство или електрическо превозно средство.</w:t>
            </w:r>
          </w:p>
        </w:tc>
        <w:tc>
          <w:tcPr>
            <w:tcW w:w="695" w:type="dxa"/>
          </w:tcPr>
          <w:p w14:paraId="20ADCE10"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10</w:t>
            </w:r>
          </w:p>
        </w:tc>
      </w:tr>
      <w:tr w:rsidR="00540A2A" w:rsidRPr="002C36F8" w14:paraId="0316F23C" w14:textId="77777777" w:rsidTr="00540A2A">
        <w:tc>
          <w:tcPr>
            <w:tcW w:w="816" w:type="dxa"/>
          </w:tcPr>
          <w:p w14:paraId="5915F8B5" w14:textId="77777777" w:rsidR="00540A2A" w:rsidRPr="002C36F8" w:rsidRDefault="00540A2A" w:rsidP="00540A2A">
            <w:pPr>
              <w:jc w:val="both"/>
              <w:rPr>
                <w:rFonts w:ascii="Times New Roman" w:hAnsi="Times New Roman" w:cs="Times New Roman"/>
                <w:b/>
                <w:sz w:val="24"/>
                <w:szCs w:val="24"/>
              </w:rPr>
            </w:pPr>
          </w:p>
        </w:tc>
        <w:tc>
          <w:tcPr>
            <w:tcW w:w="7551" w:type="dxa"/>
          </w:tcPr>
          <w:p w14:paraId="3AF32992" w14:textId="77777777" w:rsidR="00540A2A" w:rsidRPr="002C36F8" w:rsidRDefault="00540A2A" w:rsidP="00540A2A">
            <w:pPr>
              <w:ind w:left="1735" w:hanging="1559"/>
              <w:jc w:val="both"/>
            </w:pPr>
            <w:r w:rsidRPr="002C36F8">
              <w:rPr>
                <w:rFonts w:ascii="Times New Roman" w:eastAsia="Times New Roman" w:hAnsi="Times New Roman" w:cs="Times New Roman"/>
                <w:i/>
                <w:sz w:val="24"/>
                <w:szCs w:val="24"/>
                <w:lang w:eastAsia="bg-BG"/>
              </w:rPr>
              <w:t xml:space="preserve">           3.1.3.2.2 Статут на Зарядна инфраструктура за електрически превозни средства</w:t>
            </w:r>
          </w:p>
        </w:tc>
        <w:tc>
          <w:tcPr>
            <w:tcW w:w="695" w:type="dxa"/>
          </w:tcPr>
          <w:p w14:paraId="1D8E9C82"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11</w:t>
            </w:r>
          </w:p>
        </w:tc>
      </w:tr>
      <w:tr w:rsidR="00540A2A" w:rsidRPr="002C36F8" w14:paraId="0D35E9D1" w14:textId="77777777" w:rsidTr="00540A2A">
        <w:tc>
          <w:tcPr>
            <w:tcW w:w="816" w:type="dxa"/>
          </w:tcPr>
          <w:p w14:paraId="22579475" w14:textId="77777777" w:rsidR="00540A2A" w:rsidRPr="002C36F8" w:rsidRDefault="00540A2A" w:rsidP="00540A2A">
            <w:pPr>
              <w:jc w:val="both"/>
              <w:rPr>
                <w:rFonts w:ascii="Times New Roman" w:hAnsi="Times New Roman" w:cs="Times New Roman"/>
                <w:b/>
                <w:sz w:val="24"/>
                <w:szCs w:val="24"/>
              </w:rPr>
            </w:pPr>
          </w:p>
        </w:tc>
        <w:tc>
          <w:tcPr>
            <w:tcW w:w="7551" w:type="dxa"/>
          </w:tcPr>
          <w:p w14:paraId="14E709E0" w14:textId="77777777" w:rsidR="00540A2A" w:rsidRPr="002C36F8" w:rsidRDefault="00540A2A" w:rsidP="00540A2A">
            <w:pPr>
              <w:ind w:left="1735" w:hanging="1559"/>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           3.1.3.2.3 Присъединяване на клиентите на електрическа енергия към преносната или разпределителна електрическа мрежа. Правен статут на оператор на зарядна точка</w:t>
            </w:r>
          </w:p>
        </w:tc>
        <w:tc>
          <w:tcPr>
            <w:tcW w:w="695" w:type="dxa"/>
          </w:tcPr>
          <w:p w14:paraId="7E7297C9"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13</w:t>
            </w:r>
          </w:p>
        </w:tc>
      </w:tr>
      <w:tr w:rsidR="00540A2A" w:rsidRPr="002C36F8" w14:paraId="311A486D" w14:textId="77777777" w:rsidTr="00540A2A">
        <w:tc>
          <w:tcPr>
            <w:tcW w:w="816" w:type="dxa"/>
          </w:tcPr>
          <w:p w14:paraId="6857AAB3" w14:textId="77777777" w:rsidR="00540A2A" w:rsidRPr="002C36F8" w:rsidRDefault="00540A2A" w:rsidP="00540A2A">
            <w:pPr>
              <w:jc w:val="both"/>
              <w:rPr>
                <w:rFonts w:ascii="Times New Roman" w:hAnsi="Times New Roman" w:cs="Times New Roman"/>
                <w:b/>
                <w:sz w:val="24"/>
                <w:szCs w:val="24"/>
              </w:rPr>
            </w:pPr>
          </w:p>
        </w:tc>
        <w:tc>
          <w:tcPr>
            <w:tcW w:w="7551" w:type="dxa"/>
          </w:tcPr>
          <w:p w14:paraId="063C8294" w14:textId="77777777" w:rsidR="00540A2A" w:rsidRPr="002C36F8" w:rsidRDefault="00540A2A" w:rsidP="00540A2A">
            <w:pPr>
              <w:ind w:left="1735" w:hanging="1559"/>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           3.1.3.2.4  Електроснабдяване на стационарни самолети</w:t>
            </w:r>
          </w:p>
        </w:tc>
        <w:tc>
          <w:tcPr>
            <w:tcW w:w="695" w:type="dxa"/>
          </w:tcPr>
          <w:p w14:paraId="5A6A0A4E"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14</w:t>
            </w:r>
          </w:p>
        </w:tc>
      </w:tr>
      <w:tr w:rsidR="00540A2A" w:rsidRPr="002C36F8" w14:paraId="5575A49F" w14:textId="77777777" w:rsidTr="00540A2A">
        <w:tc>
          <w:tcPr>
            <w:tcW w:w="816" w:type="dxa"/>
          </w:tcPr>
          <w:p w14:paraId="58593B43" w14:textId="77777777" w:rsidR="00540A2A" w:rsidRPr="002C36F8" w:rsidRDefault="00540A2A" w:rsidP="00540A2A">
            <w:pPr>
              <w:jc w:val="both"/>
              <w:rPr>
                <w:rFonts w:ascii="Times New Roman" w:hAnsi="Times New Roman" w:cs="Times New Roman"/>
                <w:b/>
                <w:sz w:val="24"/>
                <w:szCs w:val="24"/>
              </w:rPr>
            </w:pPr>
          </w:p>
        </w:tc>
        <w:tc>
          <w:tcPr>
            <w:tcW w:w="7551" w:type="dxa"/>
          </w:tcPr>
          <w:p w14:paraId="724365FC" w14:textId="77777777" w:rsidR="00540A2A" w:rsidRPr="002C36F8" w:rsidRDefault="00540A2A" w:rsidP="00540A2A">
            <w:pPr>
              <w:jc w:val="both"/>
              <w:rPr>
                <w:rFonts w:ascii="Times New Roman" w:eastAsia="Times New Roman" w:hAnsi="Times New Roman" w:cs="Times New Roman"/>
                <w:i/>
                <w:sz w:val="24"/>
                <w:szCs w:val="24"/>
                <w:lang w:eastAsia="bg-BG"/>
              </w:rPr>
            </w:pPr>
          </w:p>
        </w:tc>
        <w:tc>
          <w:tcPr>
            <w:tcW w:w="695" w:type="dxa"/>
          </w:tcPr>
          <w:p w14:paraId="1EAC5CED" w14:textId="77777777" w:rsidR="00540A2A" w:rsidRPr="0079603F" w:rsidRDefault="00540A2A" w:rsidP="00540A2A">
            <w:pPr>
              <w:jc w:val="right"/>
              <w:rPr>
                <w:rFonts w:ascii="Times New Roman" w:hAnsi="Times New Roman" w:cs="Times New Roman"/>
                <w:b/>
                <w:sz w:val="24"/>
                <w:szCs w:val="24"/>
              </w:rPr>
            </w:pPr>
          </w:p>
        </w:tc>
      </w:tr>
      <w:tr w:rsidR="00540A2A" w:rsidRPr="002C36F8" w14:paraId="1ADAC5E1" w14:textId="77777777" w:rsidTr="00540A2A">
        <w:tc>
          <w:tcPr>
            <w:tcW w:w="816" w:type="dxa"/>
          </w:tcPr>
          <w:p w14:paraId="1D394E44"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i/>
                <w:sz w:val="24"/>
                <w:szCs w:val="24"/>
                <w:shd w:val="clear" w:color="auto" w:fill="FFFFFF"/>
              </w:rPr>
              <w:t>3.2</w:t>
            </w:r>
          </w:p>
        </w:tc>
        <w:tc>
          <w:tcPr>
            <w:tcW w:w="7551" w:type="dxa"/>
          </w:tcPr>
          <w:p w14:paraId="3A7C4CC3" w14:textId="77777777" w:rsidR="00540A2A" w:rsidRPr="002C36F8" w:rsidRDefault="00540A2A" w:rsidP="00540A2A">
            <w:pPr>
              <w:widowControl w:val="0"/>
              <w:jc w:val="both"/>
              <w:rPr>
                <w:rFonts w:ascii="Times New Roman" w:hAnsi="Times New Roman" w:cs="Times New Roman"/>
                <w:b/>
                <w:i/>
                <w:sz w:val="24"/>
                <w:szCs w:val="24"/>
                <w:shd w:val="clear" w:color="auto" w:fill="FFFFFF"/>
              </w:rPr>
            </w:pPr>
            <w:r w:rsidRPr="002C36F8">
              <w:rPr>
                <w:rFonts w:ascii="Times New Roman" w:hAnsi="Times New Roman" w:cs="Times New Roman"/>
                <w:b/>
                <w:i/>
                <w:sz w:val="24"/>
                <w:szCs w:val="24"/>
                <w:shd w:val="clear" w:color="auto" w:fill="FFFFFF"/>
              </w:rPr>
              <w:t>Законодателна рамка - природен газ (втечнен и компресиран), втечнен нефтен газ</w:t>
            </w:r>
          </w:p>
        </w:tc>
        <w:tc>
          <w:tcPr>
            <w:tcW w:w="695" w:type="dxa"/>
          </w:tcPr>
          <w:p w14:paraId="4D99A84F"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14</w:t>
            </w:r>
          </w:p>
        </w:tc>
      </w:tr>
      <w:tr w:rsidR="00540A2A" w:rsidRPr="002C36F8" w14:paraId="6F3A3D31" w14:textId="77777777" w:rsidTr="00540A2A">
        <w:tc>
          <w:tcPr>
            <w:tcW w:w="816" w:type="dxa"/>
          </w:tcPr>
          <w:p w14:paraId="55E600C9" w14:textId="77777777" w:rsidR="00540A2A" w:rsidRPr="002C36F8" w:rsidRDefault="00540A2A" w:rsidP="00540A2A">
            <w:pPr>
              <w:jc w:val="both"/>
              <w:rPr>
                <w:rFonts w:ascii="Times New Roman" w:hAnsi="Times New Roman" w:cs="Times New Roman"/>
                <w:b/>
                <w:i/>
                <w:sz w:val="24"/>
                <w:szCs w:val="24"/>
                <w:shd w:val="clear" w:color="auto" w:fill="FFFFFF"/>
              </w:rPr>
            </w:pPr>
            <w:r w:rsidRPr="002C36F8">
              <w:rPr>
                <w:rFonts w:ascii="Times New Roman" w:eastAsia="Times New Roman" w:hAnsi="Times New Roman" w:cs="Times New Roman"/>
                <w:i/>
                <w:color w:val="000000"/>
                <w:sz w:val="24"/>
                <w:szCs w:val="24"/>
                <w:lang w:eastAsia="bg-BG"/>
              </w:rPr>
              <w:t>3.2.1</w:t>
            </w:r>
          </w:p>
        </w:tc>
        <w:tc>
          <w:tcPr>
            <w:tcW w:w="7551" w:type="dxa"/>
          </w:tcPr>
          <w:p w14:paraId="73B8F3C3" w14:textId="77777777" w:rsidR="00540A2A" w:rsidRPr="002C36F8" w:rsidRDefault="00540A2A" w:rsidP="00540A2A">
            <w:pPr>
              <w:widowControl w:val="0"/>
              <w:ind w:right="20"/>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Акцизни ставки </w:t>
            </w:r>
          </w:p>
        </w:tc>
        <w:tc>
          <w:tcPr>
            <w:tcW w:w="695" w:type="dxa"/>
          </w:tcPr>
          <w:p w14:paraId="196C6A64"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14</w:t>
            </w:r>
          </w:p>
        </w:tc>
      </w:tr>
      <w:tr w:rsidR="00540A2A" w:rsidRPr="002C36F8" w14:paraId="15AD8DC0" w14:textId="77777777" w:rsidTr="00540A2A">
        <w:tc>
          <w:tcPr>
            <w:tcW w:w="816" w:type="dxa"/>
          </w:tcPr>
          <w:p w14:paraId="284A69DA"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lastRenderedPageBreak/>
              <w:t>3.2.2</w:t>
            </w:r>
          </w:p>
        </w:tc>
        <w:tc>
          <w:tcPr>
            <w:tcW w:w="7551" w:type="dxa"/>
          </w:tcPr>
          <w:p w14:paraId="49CB9D25" w14:textId="77777777" w:rsidR="00540A2A" w:rsidRPr="002C36F8" w:rsidRDefault="00540A2A" w:rsidP="00540A2A">
            <w:pPr>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Европейски изисквания </w:t>
            </w:r>
          </w:p>
        </w:tc>
        <w:tc>
          <w:tcPr>
            <w:tcW w:w="695" w:type="dxa"/>
          </w:tcPr>
          <w:p w14:paraId="23588330"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14</w:t>
            </w:r>
          </w:p>
        </w:tc>
      </w:tr>
      <w:tr w:rsidR="00540A2A" w:rsidRPr="002C36F8" w14:paraId="2B99D8B6" w14:textId="77777777" w:rsidTr="00540A2A">
        <w:tc>
          <w:tcPr>
            <w:tcW w:w="816" w:type="dxa"/>
          </w:tcPr>
          <w:p w14:paraId="3E23B2E7"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7A930B93" w14:textId="77777777" w:rsidR="00540A2A" w:rsidRPr="002C36F8" w:rsidRDefault="00540A2A" w:rsidP="00540A2A">
            <w:pPr>
              <w:ind w:left="743" w:hanging="743"/>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3.2.2.1 Одобряването на типа на МПС, задвижвани с втечнен нефтен газ или сгъстен природен газ</w:t>
            </w:r>
          </w:p>
        </w:tc>
        <w:tc>
          <w:tcPr>
            <w:tcW w:w="695" w:type="dxa"/>
          </w:tcPr>
          <w:p w14:paraId="7630076D"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14</w:t>
            </w:r>
          </w:p>
        </w:tc>
      </w:tr>
      <w:tr w:rsidR="00540A2A" w:rsidRPr="002C36F8" w14:paraId="11F8C56A" w14:textId="77777777" w:rsidTr="00540A2A">
        <w:tc>
          <w:tcPr>
            <w:tcW w:w="816" w:type="dxa"/>
          </w:tcPr>
          <w:p w14:paraId="481B7830"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t>3.2.3</w:t>
            </w:r>
          </w:p>
        </w:tc>
        <w:tc>
          <w:tcPr>
            <w:tcW w:w="7551" w:type="dxa"/>
          </w:tcPr>
          <w:p w14:paraId="60DE9A82" w14:textId="77777777" w:rsidR="00540A2A" w:rsidRPr="002C36F8" w:rsidRDefault="00540A2A" w:rsidP="00540A2A">
            <w:pPr>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Национални изисквания</w:t>
            </w:r>
          </w:p>
        </w:tc>
        <w:tc>
          <w:tcPr>
            <w:tcW w:w="695" w:type="dxa"/>
          </w:tcPr>
          <w:p w14:paraId="56DA5B98"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15</w:t>
            </w:r>
          </w:p>
        </w:tc>
      </w:tr>
      <w:tr w:rsidR="00540A2A" w:rsidRPr="002C36F8" w14:paraId="2DA1D82F" w14:textId="77777777" w:rsidTr="00540A2A">
        <w:tc>
          <w:tcPr>
            <w:tcW w:w="816" w:type="dxa"/>
          </w:tcPr>
          <w:p w14:paraId="0FBA3C44"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76A6BE7D" w14:textId="77777777" w:rsidR="00540A2A" w:rsidRPr="002C36F8" w:rsidRDefault="00540A2A" w:rsidP="00540A2A">
            <w:pPr>
              <w:ind w:left="743" w:hanging="743"/>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3.2.3.1 Монтиране на уредби за работа на двигателя с втечнен нефтен газ (LPG) или сгъстен природен газ (CNG) в моторните превозни средства</w:t>
            </w:r>
          </w:p>
        </w:tc>
        <w:tc>
          <w:tcPr>
            <w:tcW w:w="695" w:type="dxa"/>
          </w:tcPr>
          <w:p w14:paraId="75E6ADAE"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15</w:t>
            </w:r>
          </w:p>
        </w:tc>
      </w:tr>
      <w:tr w:rsidR="00540A2A" w:rsidRPr="002C36F8" w14:paraId="4AB3F1C5" w14:textId="77777777" w:rsidTr="00540A2A">
        <w:tc>
          <w:tcPr>
            <w:tcW w:w="816" w:type="dxa"/>
          </w:tcPr>
          <w:p w14:paraId="34EF532C"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5C569F7E" w14:textId="77777777" w:rsidR="00540A2A" w:rsidRDefault="00540A2A" w:rsidP="00540A2A">
            <w:pPr>
              <w:widowControl w:val="0"/>
              <w:spacing w:line="274" w:lineRule="exact"/>
              <w:jc w:val="both"/>
              <w:rPr>
                <w:rFonts w:ascii="Times New Roman" w:hAnsi="Times New Roman" w:cs="Times New Roman"/>
                <w:i/>
                <w:sz w:val="24"/>
                <w:szCs w:val="24"/>
              </w:rPr>
            </w:pPr>
            <w:r w:rsidRPr="002C36F8">
              <w:rPr>
                <w:rFonts w:ascii="Times New Roman" w:eastAsia="Times New Roman" w:hAnsi="Times New Roman" w:cs="Times New Roman"/>
                <w:i/>
                <w:sz w:val="24"/>
                <w:szCs w:val="24"/>
                <w:lang w:eastAsia="bg-BG"/>
              </w:rPr>
              <w:t xml:space="preserve">3.2.3.2 </w:t>
            </w:r>
            <w:r w:rsidRPr="002C36F8">
              <w:rPr>
                <w:rFonts w:ascii="Times New Roman" w:hAnsi="Times New Roman" w:cs="Times New Roman"/>
                <w:i/>
                <w:sz w:val="24"/>
                <w:szCs w:val="24"/>
              </w:rPr>
              <w:t>Статут на Зарядна инфраструктура за природен газ</w:t>
            </w:r>
          </w:p>
          <w:p w14:paraId="02317CD1" w14:textId="77777777" w:rsidR="00540A2A" w:rsidRPr="002C36F8" w:rsidRDefault="00540A2A" w:rsidP="00540A2A">
            <w:pPr>
              <w:jc w:val="both"/>
              <w:rPr>
                <w:rFonts w:ascii="Times New Roman" w:hAnsi="Times New Roman" w:cs="Times New Roman"/>
                <w:i/>
                <w:sz w:val="24"/>
                <w:szCs w:val="24"/>
              </w:rPr>
            </w:pPr>
          </w:p>
        </w:tc>
        <w:tc>
          <w:tcPr>
            <w:tcW w:w="695" w:type="dxa"/>
          </w:tcPr>
          <w:p w14:paraId="3F8E21D0"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15</w:t>
            </w:r>
          </w:p>
        </w:tc>
      </w:tr>
      <w:tr w:rsidR="00540A2A" w:rsidRPr="002C36F8" w14:paraId="0788E732" w14:textId="77777777" w:rsidTr="00540A2A">
        <w:tc>
          <w:tcPr>
            <w:tcW w:w="816" w:type="dxa"/>
          </w:tcPr>
          <w:p w14:paraId="744EEECD"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132C1F51" w14:textId="77777777" w:rsidR="00540A2A" w:rsidRPr="00E510F7"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 xml:space="preserve">3.2.3.3 </w:t>
            </w:r>
            <w:r w:rsidRPr="00E510F7">
              <w:rPr>
                <w:rFonts w:ascii="Times New Roman" w:hAnsi="Times New Roman" w:cs="Times New Roman"/>
                <w:i/>
                <w:sz w:val="24"/>
                <w:szCs w:val="24"/>
              </w:rPr>
              <w:t xml:space="preserve">Изисквания за пожарна безопасност към газоснабдителните станции за природен газ </w:t>
            </w:r>
          </w:p>
          <w:p w14:paraId="1EBA2F2F" w14:textId="77777777" w:rsidR="00540A2A" w:rsidRPr="002C36F8" w:rsidRDefault="00540A2A" w:rsidP="00540A2A">
            <w:pPr>
              <w:widowControl w:val="0"/>
              <w:spacing w:line="274" w:lineRule="exact"/>
              <w:jc w:val="both"/>
              <w:rPr>
                <w:rFonts w:ascii="Times New Roman" w:eastAsia="Times New Roman" w:hAnsi="Times New Roman" w:cs="Times New Roman"/>
                <w:i/>
                <w:sz w:val="24"/>
                <w:szCs w:val="24"/>
                <w:lang w:eastAsia="bg-BG"/>
              </w:rPr>
            </w:pPr>
          </w:p>
        </w:tc>
        <w:tc>
          <w:tcPr>
            <w:tcW w:w="695" w:type="dxa"/>
          </w:tcPr>
          <w:p w14:paraId="67B0DFDC"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16</w:t>
            </w:r>
          </w:p>
        </w:tc>
      </w:tr>
      <w:tr w:rsidR="00540A2A" w:rsidRPr="002C36F8" w14:paraId="75136BAB" w14:textId="77777777" w:rsidTr="00540A2A">
        <w:tc>
          <w:tcPr>
            <w:tcW w:w="816" w:type="dxa"/>
          </w:tcPr>
          <w:p w14:paraId="2A1A2EB3"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497E5215" w14:textId="77777777" w:rsidR="00540A2A" w:rsidRPr="002C36F8" w:rsidRDefault="00540A2A" w:rsidP="00540A2A">
            <w:pPr>
              <w:widowControl w:val="0"/>
              <w:tabs>
                <w:tab w:val="left" w:pos="1186"/>
              </w:tabs>
              <w:spacing w:line="274" w:lineRule="exact"/>
              <w:ind w:left="743" w:right="40" w:hanging="743"/>
              <w:jc w:val="both"/>
              <w:rPr>
                <w:rFonts w:ascii="Times New Roman" w:hAnsi="Times New Roman" w:cs="Times New Roman"/>
                <w:i/>
                <w:sz w:val="24"/>
                <w:szCs w:val="24"/>
              </w:rPr>
            </w:pPr>
            <w:r>
              <w:rPr>
                <w:rFonts w:ascii="Times New Roman" w:hAnsi="Times New Roman" w:cs="Times New Roman"/>
                <w:i/>
                <w:sz w:val="24"/>
                <w:szCs w:val="24"/>
              </w:rPr>
              <w:t>3.2.3.4</w:t>
            </w:r>
            <w:r w:rsidRPr="002C36F8">
              <w:rPr>
                <w:rFonts w:ascii="Times New Roman" w:hAnsi="Times New Roman" w:cs="Times New Roman"/>
                <w:i/>
                <w:sz w:val="24"/>
                <w:szCs w:val="24"/>
              </w:rPr>
              <w:t xml:space="preserve"> Присъединяване към газопреносните и газоразпределителните мрежи </w:t>
            </w:r>
          </w:p>
        </w:tc>
        <w:tc>
          <w:tcPr>
            <w:tcW w:w="695" w:type="dxa"/>
          </w:tcPr>
          <w:p w14:paraId="0E1FCD4B"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16</w:t>
            </w:r>
          </w:p>
        </w:tc>
      </w:tr>
      <w:tr w:rsidR="00540A2A" w:rsidRPr="002C36F8" w14:paraId="1CACED54" w14:textId="77777777" w:rsidTr="00540A2A">
        <w:tc>
          <w:tcPr>
            <w:tcW w:w="816" w:type="dxa"/>
          </w:tcPr>
          <w:p w14:paraId="05166C85"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484DE549" w14:textId="77777777" w:rsidR="00540A2A" w:rsidRPr="002C36F8" w:rsidRDefault="00540A2A" w:rsidP="00540A2A">
            <w:pPr>
              <w:ind w:left="743" w:hanging="743"/>
              <w:jc w:val="both"/>
              <w:rPr>
                <w:rFonts w:ascii="Times New Roman" w:hAnsi="Times New Roman" w:cs="Times New Roman"/>
                <w:i/>
                <w:sz w:val="24"/>
                <w:szCs w:val="24"/>
              </w:rPr>
            </w:pPr>
            <w:r>
              <w:rPr>
                <w:rFonts w:ascii="Times New Roman" w:hAnsi="Times New Roman" w:cs="Times New Roman"/>
                <w:i/>
                <w:sz w:val="24"/>
                <w:szCs w:val="24"/>
              </w:rPr>
              <w:t>3.2.3.5</w:t>
            </w:r>
            <w:r w:rsidRPr="002C36F8">
              <w:rPr>
                <w:rFonts w:ascii="Times New Roman" w:hAnsi="Times New Roman" w:cs="Times New Roman"/>
                <w:i/>
                <w:sz w:val="24"/>
                <w:szCs w:val="24"/>
              </w:rPr>
              <w:t xml:space="preserve"> Изграждането на съоръжения и транспортирането на втечнен природен газ във водния транспорт </w:t>
            </w:r>
          </w:p>
        </w:tc>
        <w:tc>
          <w:tcPr>
            <w:tcW w:w="695" w:type="dxa"/>
          </w:tcPr>
          <w:p w14:paraId="6F61F97C"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16</w:t>
            </w:r>
          </w:p>
        </w:tc>
      </w:tr>
      <w:tr w:rsidR="00540A2A" w:rsidRPr="002C36F8" w14:paraId="158100B9" w14:textId="77777777" w:rsidTr="00540A2A">
        <w:tc>
          <w:tcPr>
            <w:tcW w:w="816" w:type="dxa"/>
          </w:tcPr>
          <w:p w14:paraId="31197CEB"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39DA0F33" w14:textId="77777777" w:rsidR="00540A2A" w:rsidRPr="002C36F8" w:rsidRDefault="00540A2A" w:rsidP="00540A2A">
            <w:pPr>
              <w:jc w:val="both"/>
              <w:rPr>
                <w:rFonts w:ascii="Times New Roman" w:hAnsi="Times New Roman" w:cs="Times New Roman"/>
                <w:i/>
                <w:sz w:val="24"/>
                <w:szCs w:val="24"/>
              </w:rPr>
            </w:pPr>
            <w:r>
              <w:rPr>
                <w:rFonts w:ascii="Times New Roman" w:hAnsi="Times New Roman" w:cs="Times New Roman"/>
                <w:i/>
                <w:sz w:val="24"/>
                <w:szCs w:val="24"/>
              </w:rPr>
              <w:t>3.2.3.6</w:t>
            </w:r>
            <w:r w:rsidRPr="002C36F8">
              <w:rPr>
                <w:rFonts w:ascii="Times New Roman" w:hAnsi="Times New Roman" w:cs="Times New Roman"/>
                <w:i/>
                <w:sz w:val="24"/>
                <w:szCs w:val="24"/>
              </w:rPr>
              <w:t xml:space="preserve"> Регулиране на превоза на втечнен природен газ</w:t>
            </w:r>
          </w:p>
        </w:tc>
        <w:tc>
          <w:tcPr>
            <w:tcW w:w="695" w:type="dxa"/>
          </w:tcPr>
          <w:p w14:paraId="7D85EA78"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17</w:t>
            </w:r>
          </w:p>
        </w:tc>
      </w:tr>
      <w:tr w:rsidR="00540A2A" w:rsidRPr="002C36F8" w14:paraId="5D5A060A" w14:textId="77777777" w:rsidTr="00540A2A">
        <w:tc>
          <w:tcPr>
            <w:tcW w:w="816" w:type="dxa"/>
          </w:tcPr>
          <w:p w14:paraId="110567E4"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176F4F87" w14:textId="77777777" w:rsidR="00540A2A" w:rsidRPr="002C36F8" w:rsidRDefault="00540A2A" w:rsidP="00540A2A">
            <w:pPr>
              <w:jc w:val="both"/>
              <w:rPr>
                <w:rFonts w:ascii="Times New Roman" w:hAnsi="Times New Roman" w:cs="Times New Roman"/>
                <w:i/>
                <w:sz w:val="24"/>
                <w:szCs w:val="24"/>
              </w:rPr>
            </w:pPr>
          </w:p>
        </w:tc>
        <w:tc>
          <w:tcPr>
            <w:tcW w:w="695" w:type="dxa"/>
          </w:tcPr>
          <w:p w14:paraId="244A9C47" w14:textId="77777777" w:rsidR="00540A2A" w:rsidRPr="0079603F" w:rsidRDefault="00540A2A" w:rsidP="00540A2A">
            <w:pPr>
              <w:jc w:val="right"/>
              <w:rPr>
                <w:rFonts w:ascii="Times New Roman" w:hAnsi="Times New Roman" w:cs="Times New Roman"/>
                <w:b/>
                <w:sz w:val="24"/>
                <w:szCs w:val="24"/>
              </w:rPr>
            </w:pPr>
          </w:p>
        </w:tc>
      </w:tr>
      <w:tr w:rsidR="00540A2A" w:rsidRPr="002C36F8" w14:paraId="0680DDB0" w14:textId="77777777" w:rsidTr="00540A2A">
        <w:tc>
          <w:tcPr>
            <w:tcW w:w="816" w:type="dxa"/>
          </w:tcPr>
          <w:p w14:paraId="61A69AF4"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hAnsi="Times New Roman" w:cs="Times New Roman"/>
                <w:b/>
                <w:i/>
                <w:sz w:val="24"/>
                <w:szCs w:val="24"/>
              </w:rPr>
              <w:t>3.3</w:t>
            </w:r>
          </w:p>
        </w:tc>
        <w:tc>
          <w:tcPr>
            <w:tcW w:w="7551" w:type="dxa"/>
          </w:tcPr>
          <w:p w14:paraId="4F935D01" w14:textId="77777777" w:rsidR="00540A2A" w:rsidRPr="002C36F8" w:rsidRDefault="00540A2A" w:rsidP="00540A2A">
            <w:pPr>
              <w:widowControl w:val="0"/>
              <w:jc w:val="both"/>
              <w:rPr>
                <w:rFonts w:ascii="Times New Roman" w:hAnsi="Times New Roman" w:cs="Times New Roman"/>
                <w:b/>
                <w:i/>
                <w:sz w:val="24"/>
                <w:szCs w:val="24"/>
              </w:rPr>
            </w:pPr>
            <w:r w:rsidRPr="002C36F8">
              <w:rPr>
                <w:rFonts w:ascii="Times New Roman" w:hAnsi="Times New Roman" w:cs="Times New Roman"/>
                <w:b/>
                <w:i/>
                <w:sz w:val="24"/>
                <w:szCs w:val="24"/>
              </w:rPr>
              <w:t xml:space="preserve">Законодателна рамка – водород </w:t>
            </w:r>
          </w:p>
        </w:tc>
        <w:tc>
          <w:tcPr>
            <w:tcW w:w="695" w:type="dxa"/>
          </w:tcPr>
          <w:p w14:paraId="6363CB73"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18</w:t>
            </w:r>
          </w:p>
        </w:tc>
      </w:tr>
      <w:tr w:rsidR="00540A2A" w:rsidRPr="002C36F8" w14:paraId="19D34157" w14:textId="77777777" w:rsidTr="00540A2A">
        <w:tc>
          <w:tcPr>
            <w:tcW w:w="816" w:type="dxa"/>
          </w:tcPr>
          <w:p w14:paraId="18C5536D"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hAnsi="Times New Roman" w:cs="Times New Roman"/>
                <w:i/>
                <w:sz w:val="24"/>
                <w:szCs w:val="24"/>
              </w:rPr>
              <w:t>3.3.1</w:t>
            </w:r>
          </w:p>
        </w:tc>
        <w:tc>
          <w:tcPr>
            <w:tcW w:w="7551" w:type="dxa"/>
          </w:tcPr>
          <w:p w14:paraId="651E2FB2" w14:textId="77777777" w:rsidR="00540A2A" w:rsidRPr="002C36F8" w:rsidRDefault="00540A2A" w:rsidP="00540A2A">
            <w:pPr>
              <w:widowControl w:val="0"/>
              <w:jc w:val="both"/>
              <w:rPr>
                <w:rFonts w:ascii="Times New Roman" w:hAnsi="Times New Roman" w:cs="Times New Roman"/>
                <w:i/>
                <w:sz w:val="24"/>
                <w:szCs w:val="24"/>
              </w:rPr>
            </w:pPr>
            <w:r w:rsidRPr="002C36F8">
              <w:rPr>
                <w:rFonts w:ascii="Times New Roman" w:hAnsi="Times New Roman" w:cs="Times New Roman"/>
                <w:i/>
                <w:sz w:val="24"/>
                <w:szCs w:val="24"/>
              </w:rPr>
              <w:t>Статут на зарядна инфраструктура за превозни средства, задвижвани с водород</w:t>
            </w:r>
          </w:p>
        </w:tc>
        <w:tc>
          <w:tcPr>
            <w:tcW w:w="695" w:type="dxa"/>
          </w:tcPr>
          <w:p w14:paraId="5218BB38"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18</w:t>
            </w:r>
          </w:p>
        </w:tc>
      </w:tr>
      <w:tr w:rsidR="00540A2A" w:rsidRPr="002C36F8" w14:paraId="494C6954" w14:textId="77777777" w:rsidTr="00540A2A">
        <w:tc>
          <w:tcPr>
            <w:tcW w:w="816" w:type="dxa"/>
          </w:tcPr>
          <w:p w14:paraId="587E72F5"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hAnsi="Times New Roman" w:cs="Times New Roman"/>
                <w:i/>
                <w:sz w:val="24"/>
                <w:szCs w:val="24"/>
              </w:rPr>
              <w:t>3.3.2</w:t>
            </w:r>
          </w:p>
        </w:tc>
        <w:tc>
          <w:tcPr>
            <w:tcW w:w="7551" w:type="dxa"/>
          </w:tcPr>
          <w:p w14:paraId="060CFE5E" w14:textId="77777777" w:rsidR="00540A2A" w:rsidRPr="002C36F8" w:rsidRDefault="00540A2A" w:rsidP="00540A2A">
            <w:r w:rsidRPr="002C36F8">
              <w:rPr>
                <w:rFonts w:ascii="Times New Roman" w:hAnsi="Times New Roman" w:cs="Times New Roman"/>
                <w:i/>
                <w:sz w:val="24"/>
                <w:szCs w:val="24"/>
              </w:rPr>
              <w:t>Регистрация на моторни превозни средства, задвижвани с водород</w:t>
            </w:r>
          </w:p>
        </w:tc>
        <w:tc>
          <w:tcPr>
            <w:tcW w:w="695" w:type="dxa"/>
          </w:tcPr>
          <w:p w14:paraId="3B871C10"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18</w:t>
            </w:r>
          </w:p>
        </w:tc>
      </w:tr>
      <w:tr w:rsidR="00540A2A" w:rsidRPr="002C36F8" w14:paraId="59EE4E99" w14:textId="77777777" w:rsidTr="00540A2A">
        <w:tc>
          <w:tcPr>
            <w:tcW w:w="816" w:type="dxa"/>
          </w:tcPr>
          <w:p w14:paraId="13719B5A"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hAnsi="Times New Roman" w:cs="Times New Roman"/>
                <w:i/>
                <w:sz w:val="24"/>
                <w:szCs w:val="24"/>
              </w:rPr>
              <w:t>3.3.3</w:t>
            </w:r>
          </w:p>
        </w:tc>
        <w:tc>
          <w:tcPr>
            <w:tcW w:w="7551" w:type="dxa"/>
          </w:tcPr>
          <w:p w14:paraId="08618B63" w14:textId="77777777" w:rsidR="00540A2A" w:rsidRPr="002C36F8" w:rsidRDefault="00540A2A" w:rsidP="00540A2A">
            <w:pPr>
              <w:jc w:val="both"/>
              <w:rPr>
                <w:rFonts w:ascii="Times New Roman" w:hAnsi="Times New Roman" w:cs="Times New Roman"/>
                <w:i/>
                <w:sz w:val="24"/>
                <w:szCs w:val="24"/>
              </w:rPr>
            </w:pPr>
            <w:r w:rsidRPr="002C36F8">
              <w:rPr>
                <w:rFonts w:ascii="Times New Roman" w:hAnsi="Times New Roman" w:cs="Times New Roman"/>
                <w:i/>
                <w:sz w:val="24"/>
                <w:szCs w:val="24"/>
              </w:rPr>
              <w:t>Типово одобрение на моторни превозни средства, задвижвани с водород</w:t>
            </w:r>
          </w:p>
        </w:tc>
        <w:tc>
          <w:tcPr>
            <w:tcW w:w="695" w:type="dxa"/>
          </w:tcPr>
          <w:p w14:paraId="212D1794"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18</w:t>
            </w:r>
          </w:p>
        </w:tc>
      </w:tr>
      <w:tr w:rsidR="00540A2A" w:rsidRPr="002C36F8" w14:paraId="34BE8CB8" w14:textId="77777777" w:rsidTr="00540A2A">
        <w:tc>
          <w:tcPr>
            <w:tcW w:w="816" w:type="dxa"/>
          </w:tcPr>
          <w:p w14:paraId="264A2883"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0600F6C5" w14:textId="77777777" w:rsidR="00540A2A" w:rsidRPr="002C36F8" w:rsidRDefault="00540A2A" w:rsidP="00540A2A">
            <w:pPr>
              <w:rPr>
                <w:rFonts w:ascii="Times New Roman" w:hAnsi="Times New Roman" w:cs="Times New Roman"/>
                <w:i/>
                <w:sz w:val="24"/>
                <w:szCs w:val="24"/>
              </w:rPr>
            </w:pPr>
          </w:p>
        </w:tc>
        <w:tc>
          <w:tcPr>
            <w:tcW w:w="695" w:type="dxa"/>
          </w:tcPr>
          <w:p w14:paraId="6E079A7D" w14:textId="77777777" w:rsidR="00540A2A" w:rsidRPr="00F36A87" w:rsidRDefault="00540A2A" w:rsidP="00540A2A">
            <w:pPr>
              <w:jc w:val="right"/>
              <w:rPr>
                <w:rFonts w:ascii="Times New Roman" w:hAnsi="Times New Roman" w:cs="Times New Roman"/>
                <w:sz w:val="24"/>
                <w:szCs w:val="24"/>
              </w:rPr>
            </w:pPr>
          </w:p>
        </w:tc>
      </w:tr>
      <w:tr w:rsidR="00540A2A" w:rsidRPr="002C36F8" w14:paraId="4428E3E2" w14:textId="77777777" w:rsidTr="00540A2A">
        <w:tc>
          <w:tcPr>
            <w:tcW w:w="816" w:type="dxa"/>
          </w:tcPr>
          <w:p w14:paraId="0D294A7C"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b/>
                <w:i/>
                <w:color w:val="000000"/>
                <w:sz w:val="24"/>
                <w:szCs w:val="24"/>
                <w:lang w:eastAsia="bg-BG"/>
              </w:rPr>
              <w:t>3.4.</w:t>
            </w:r>
          </w:p>
        </w:tc>
        <w:tc>
          <w:tcPr>
            <w:tcW w:w="7551" w:type="dxa"/>
          </w:tcPr>
          <w:p w14:paraId="041B3025" w14:textId="77777777" w:rsidR="00540A2A" w:rsidRPr="002C36F8" w:rsidRDefault="00540A2A" w:rsidP="00540A2A">
            <w:pPr>
              <w:widowControl w:val="0"/>
              <w:jc w:val="both"/>
              <w:rPr>
                <w:rFonts w:ascii="Times New Roman" w:eastAsia="Times New Roman" w:hAnsi="Times New Roman" w:cs="Times New Roman"/>
                <w:b/>
                <w:i/>
                <w:color w:val="000000"/>
                <w:sz w:val="24"/>
                <w:szCs w:val="24"/>
                <w:lang w:eastAsia="bg-BG"/>
              </w:rPr>
            </w:pPr>
            <w:r w:rsidRPr="002C36F8">
              <w:rPr>
                <w:rFonts w:ascii="Times New Roman" w:eastAsia="Times New Roman" w:hAnsi="Times New Roman" w:cs="Times New Roman"/>
                <w:b/>
                <w:i/>
                <w:color w:val="000000"/>
                <w:sz w:val="24"/>
                <w:szCs w:val="24"/>
                <w:lang w:eastAsia="bg-BG"/>
              </w:rPr>
              <w:t>Законодателна рамка – биогорива</w:t>
            </w:r>
          </w:p>
        </w:tc>
        <w:tc>
          <w:tcPr>
            <w:tcW w:w="695" w:type="dxa"/>
          </w:tcPr>
          <w:p w14:paraId="2212BEA7"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19</w:t>
            </w:r>
          </w:p>
        </w:tc>
      </w:tr>
      <w:tr w:rsidR="00540A2A" w:rsidRPr="002C36F8" w14:paraId="13BF1ABC" w14:textId="77777777" w:rsidTr="00540A2A">
        <w:tc>
          <w:tcPr>
            <w:tcW w:w="816" w:type="dxa"/>
          </w:tcPr>
          <w:p w14:paraId="6FBB3F6C"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3.4.1</w:t>
            </w:r>
          </w:p>
        </w:tc>
        <w:tc>
          <w:tcPr>
            <w:tcW w:w="7551" w:type="dxa"/>
          </w:tcPr>
          <w:p w14:paraId="7D7D08C4" w14:textId="77777777" w:rsidR="00540A2A" w:rsidRPr="002C36F8" w:rsidRDefault="00540A2A" w:rsidP="00540A2A">
            <w:r w:rsidRPr="002C36F8">
              <w:rPr>
                <w:rFonts w:ascii="Times New Roman" w:eastAsia="Times New Roman" w:hAnsi="Times New Roman" w:cs="Times New Roman"/>
                <w:i/>
                <w:color w:val="000000"/>
                <w:sz w:val="24"/>
                <w:szCs w:val="24"/>
                <w:lang w:eastAsia="bg-BG"/>
              </w:rPr>
              <w:t>Типово одобрение на моторни превозни средства, задвижвани с биогорива</w:t>
            </w:r>
          </w:p>
        </w:tc>
        <w:tc>
          <w:tcPr>
            <w:tcW w:w="695" w:type="dxa"/>
          </w:tcPr>
          <w:p w14:paraId="40C65531"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22</w:t>
            </w:r>
          </w:p>
        </w:tc>
      </w:tr>
      <w:tr w:rsidR="00540A2A" w:rsidRPr="002C36F8" w14:paraId="722D5E70" w14:textId="77777777" w:rsidTr="00540A2A">
        <w:tc>
          <w:tcPr>
            <w:tcW w:w="816" w:type="dxa"/>
          </w:tcPr>
          <w:p w14:paraId="25716149"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09ADEFD6" w14:textId="77777777" w:rsidR="00540A2A" w:rsidRPr="002C36F8" w:rsidRDefault="00540A2A" w:rsidP="00540A2A">
            <w:pPr>
              <w:rPr>
                <w:rFonts w:ascii="Times New Roman" w:eastAsia="Times New Roman" w:hAnsi="Times New Roman" w:cs="Times New Roman"/>
                <w:i/>
                <w:color w:val="000000"/>
                <w:sz w:val="24"/>
                <w:szCs w:val="24"/>
                <w:lang w:eastAsia="bg-BG"/>
              </w:rPr>
            </w:pPr>
          </w:p>
        </w:tc>
        <w:tc>
          <w:tcPr>
            <w:tcW w:w="695" w:type="dxa"/>
          </w:tcPr>
          <w:p w14:paraId="70D68EB3" w14:textId="77777777" w:rsidR="00540A2A" w:rsidRPr="00F36A87" w:rsidRDefault="00540A2A" w:rsidP="00540A2A">
            <w:pPr>
              <w:jc w:val="right"/>
              <w:rPr>
                <w:rFonts w:ascii="Times New Roman" w:hAnsi="Times New Roman" w:cs="Times New Roman"/>
                <w:sz w:val="24"/>
                <w:szCs w:val="24"/>
              </w:rPr>
            </w:pPr>
          </w:p>
        </w:tc>
      </w:tr>
      <w:tr w:rsidR="00540A2A" w:rsidRPr="002C36F8" w14:paraId="20B789D3" w14:textId="77777777" w:rsidTr="00540A2A">
        <w:tc>
          <w:tcPr>
            <w:tcW w:w="816" w:type="dxa"/>
          </w:tcPr>
          <w:p w14:paraId="518CE0CD" w14:textId="77777777" w:rsidR="00540A2A" w:rsidRPr="00D44A58" w:rsidRDefault="00540A2A" w:rsidP="00540A2A">
            <w:pPr>
              <w:jc w:val="both"/>
              <w:rPr>
                <w:rFonts w:ascii="Times New Roman" w:eastAsia="Times New Roman" w:hAnsi="Times New Roman" w:cs="Times New Roman"/>
                <w:b/>
                <w:color w:val="000000"/>
                <w:sz w:val="24"/>
                <w:szCs w:val="24"/>
                <w:lang w:eastAsia="bg-BG"/>
              </w:rPr>
            </w:pPr>
            <w:r w:rsidRPr="00D44A58">
              <w:rPr>
                <w:rFonts w:ascii="Times New Roman" w:eastAsia="Times New Roman" w:hAnsi="Times New Roman" w:cs="Times New Roman"/>
                <w:b/>
                <w:color w:val="000000"/>
                <w:sz w:val="24"/>
                <w:szCs w:val="24"/>
                <w:lang w:eastAsia="bg-BG"/>
              </w:rPr>
              <w:t>4.</w:t>
            </w:r>
          </w:p>
        </w:tc>
        <w:tc>
          <w:tcPr>
            <w:tcW w:w="7551" w:type="dxa"/>
          </w:tcPr>
          <w:p w14:paraId="24990AE4" w14:textId="77777777" w:rsidR="00540A2A" w:rsidRPr="00D44A58" w:rsidRDefault="00540A2A" w:rsidP="00540A2A">
            <w:pPr>
              <w:jc w:val="both"/>
              <w:rPr>
                <w:rFonts w:ascii="Times New Roman" w:eastAsia="Times New Roman" w:hAnsi="Times New Roman" w:cs="Times New Roman"/>
                <w:b/>
                <w:color w:val="000000"/>
                <w:sz w:val="24"/>
                <w:szCs w:val="24"/>
                <w:lang w:eastAsia="bg-BG"/>
              </w:rPr>
            </w:pPr>
            <w:r w:rsidRPr="00D44A58">
              <w:rPr>
                <w:rFonts w:ascii="Times New Roman" w:hAnsi="Times New Roman" w:cs="Times New Roman"/>
                <w:b/>
                <w:sz w:val="24"/>
                <w:szCs w:val="24"/>
              </w:rPr>
              <w:t>Инвестиционна подкрепа по линия на оперативни и други програми, свързани с алтернативните горива и алтернативните технологии на задвижване</w:t>
            </w:r>
            <w:r w:rsidRPr="00D44A58" w:rsidDel="00027BEF">
              <w:rPr>
                <w:rFonts w:ascii="Times New Roman" w:eastAsia="Times New Roman" w:hAnsi="Times New Roman" w:cs="Times New Roman"/>
                <w:b/>
                <w:color w:val="000000"/>
                <w:sz w:val="24"/>
                <w:szCs w:val="24"/>
                <w:lang w:eastAsia="bg-BG"/>
              </w:rPr>
              <w:t xml:space="preserve"> </w:t>
            </w:r>
          </w:p>
        </w:tc>
        <w:tc>
          <w:tcPr>
            <w:tcW w:w="695" w:type="dxa"/>
          </w:tcPr>
          <w:p w14:paraId="1E438E51"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22</w:t>
            </w:r>
          </w:p>
        </w:tc>
      </w:tr>
      <w:tr w:rsidR="00540A2A" w:rsidRPr="002C36F8" w14:paraId="59C9E4DE" w14:textId="77777777" w:rsidTr="00540A2A">
        <w:tc>
          <w:tcPr>
            <w:tcW w:w="816" w:type="dxa"/>
          </w:tcPr>
          <w:p w14:paraId="3C2F39AC"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4.1</w:t>
            </w:r>
          </w:p>
        </w:tc>
        <w:tc>
          <w:tcPr>
            <w:tcW w:w="7551" w:type="dxa"/>
          </w:tcPr>
          <w:p w14:paraId="7AC4430A" w14:textId="77777777" w:rsidR="00540A2A" w:rsidRPr="007E397A" w:rsidRDefault="00540A2A" w:rsidP="00540A2A">
            <w:pPr>
              <w:rPr>
                <w:rFonts w:ascii="Times New Roman" w:eastAsia="Times New Roman" w:hAnsi="Times New Roman" w:cs="Times New Roman"/>
                <w:i/>
                <w:color w:val="000000"/>
                <w:sz w:val="24"/>
                <w:szCs w:val="24"/>
                <w:lang w:eastAsia="bg-BG"/>
              </w:rPr>
            </w:pPr>
            <w:r w:rsidRPr="007E397A">
              <w:rPr>
                <w:rFonts w:ascii="Times New Roman" w:hAnsi="Times New Roman" w:cs="Times New Roman"/>
                <w:i/>
                <w:sz w:val="24"/>
                <w:szCs w:val="24"/>
              </w:rPr>
              <w:t>Механизъм за частично субсидиране закупуването на електрически и хибридни превозни средства от публичната администрация</w:t>
            </w:r>
          </w:p>
        </w:tc>
        <w:tc>
          <w:tcPr>
            <w:tcW w:w="695" w:type="dxa"/>
          </w:tcPr>
          <w:p w14:paraId="564CC261"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22</w:t>
            </w:r>
          </w:p>
        </w:tc>
      </w:tr>
      <w:tr w:rsidR="00540A2A" w:rsidRPr="002C36F8" w14:paraId="7CBB8C6C" w14:textId="77777777" w:rsidTr="00540A2A">
        <w:tc>
          <w:tcPr>
            <w:tcW w:w="816" w:type="dxa"/>
          </w:tcPr>
          <w:p w14:paraId="315E0C7D"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4.2</w:t>
            </w:r>
          </w:p>
        </w:tc>
        <w:tc>
          <w:tcPr>
            <w:tcW w:w="7551" w:type="dxa"/>
          </w:tcPr>
          <w:p w14:paraId="0011EA36" w14:textId="77777777" w:rsidR="00540A2A" w:rsidRPr="00013405" w:rsidRDefault="00540A2A" w:rsidP="00540A2A">
            <w:pPr>
              <w:widowControl w:val="0"/>
              <w:ind w:right="40"/>
              <w:jc w:val="both"/>
              <w:rPr>
                <w:rFonts w:ascii="Times New Roman" w:eastAsia="Times New Roman" w:hAnsi="Times New Roman" w:cs="Times New Roman"/>
                <w:i/>
                <w:sz w:val="24"/>
                <w:szCs w:val="24"/>
              </w:rPr>
            </w:pPr>
            <w:r w:rsidRPr="00013405">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перативна програма</w:t>
            </w:r>
            <w:r w:rsidRPr="00013405">
              <w:rPr>
                <w:rFonts w:ascii="Times New Roman" w:eastAsia="Times New Roman" w:hAnsi="Times New Roman" w:cs="Times New Roman"/>
                <w:i/>
                <w:sz w:val="24"/>
                <w:szCs w:val="24"/>
              </w:rPr>
              <w:t xml:space="preserve"> „Околна среда</w:t>
            </w:r>
            <w:r>
              <w:rPr>
                <w:rFonts w:ascii="Times New Roman" w:eastAsia="Times New Roman" w:hAnsi="Times New Roman" w:cs="Times New Roman"/>
                <w:i/>
                <w:sz w:val="24"/>
                <w:szCs w:val="24"/>
              </w:rPr>
              <w:t>“</w:t>
            </w:r>
            <w:r w:rsidRPr="00013405">
              <w:rPr>
                <w:rFonts w:ascii="Times New Roman" w:eastAsia="Times New Roman" w:hAnsi="Times New Roman" w:cs="Times New Roman"/>
                <w:i/>
                <w:sz w:val="24"/>
                <w:szCs w:val="24"/>
              </w:rPr>
              <w:t xml:space="preserve"> 2014</w:t>
            </w:r>
            <w:r>
              <w:rPr>
                <w:rFonts w:ascii="Times New Roman" w:eastAsia="Times New Roman" w:hAnsi="Times New Roman" w:cs="Times New Roman"/>
                <w:i/>
                <w:sz w:val="24"/>
                <w:szCs w:val="24"/>
              </w:rPr>
              <w:t xml:space="preserve"> – </w:t>
            </w:r>
            <w:r w:rsidRPr="00013405">
              <w:rPr>
                <w:rFonts w:ascii="Times New Roman" w:eastAsia="Times New Roman" w:hAnsi="Times New Roman" w:cs="Times New Roman"/>
                <w:i/>
                <w:sz w:val="24"/>
                <w:szCs w:val="24"/>
              </w:rPr>
              <w:t>2020 г.</w:t>
            </w:r>
          </w:p>
          <w:p w14:paraId="4A52C214" w14:textId="77777777" w:rsidR="00540A2A" w:rsidRPr="00013405" w:rsidRDefault="00540A2A" w:rsidP="00540A2A">
            <w:pPr>
              <w:rPr>
                <w:i/>
                <w:sz w:val="24"/>
                <w:szCs w:val="24"/>
              </w:rPr>
            </w:pPr>
          </w:p>
        </w:tc>
        <w:tc>
          <w:tcPr>
            <w:tcW w:w="695" w:type="dxa"/>
          </w:tcPr>
          <w:p w14:paraId="63EC5667"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24</w:t>
            </w:r>
          </w:p>
        </w:tc>
      </w:tr>
      <w:tr w:rsidR="00540A2A" w:rsidRPr="002C36F8" w14:paraId="59B9BFEE" w14:textId="77777777" w:rsidTr="00540A2A">
        <w:tc>
          <w:tcPr>
            <w:tcW w:w="816" w:type="dxa"/>
          </w:tcPr>
          <w:p w14:paraId="420717BA"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4.3</w:t>
            </w:r>
          </w:p>
        </w:tc>
        <w:tc>
          <w:tcPr>
            <w:tcW w:w="7551" w:type="dxa"/>
          </w:tcPr>
          <w:p w14:paraId="2526043A" w14:textId="77777777" w:rsidR="00540A2A" w:rsidRPr="00013405" w:rsidRDefault="00540A2A" w:rsidP="00540A2A">
            <w:pPr>
              <w:rPr>
                <w:i/>
                <w:sz w:val="24"/>
                <w:szCs w:val="24"/>
              </w:rPr>
            </w:pPr>
            <w:r w:rsidRPr="00013405">
              <w:rPr>
                <w:rFonts w:ascii="Times New Roman" w:eastAsia="Times New Roman" w:hAnsi="Times New Roman" w:cs="Times New Roman"/>
                <w:i/>
                <w:sz w:val="24"/>
                <w:szCs w:val="24"/>
              </w:rPr>
              <w:t>Оперативна програма „Региони в растеж“ 2014</w:t>
            </w:r>
            <w:r>
              <w:rPr>
                <w:rFonts w:ascii="Times New Roman" w:eastAsia="Times New Roman" w:hAnsi="Times New Roman" w:cs="Times New Roman"/>
                <w:i/>
                <w:sz w:val="24"/>
                <w:szCs w:val="24"/>
              </w:rPr>
              <w:t xml:space="preserve"> – </w:t>
            </w:r>
            <w:r w:rsidRPr="00013405">
              <w:rPr>
                <w:rFonts w:ascii="Times New Roman" w:eastAsia="Times New Roman" w:hAnsi="Times New Roman" w:cs="Times New Roman"/>
                <w:i/>
                <w:sz w:val="24"/>
                <w:szCs w:val="24"/>
              </w:rPr>
              <w:t>2020</w:t>
            </w:r>
            <w:r>
              <w:rPr>
                <w:rFonts w:ascii="Times New Roman" w:eastAsia="Times New Roman" w:hAnsi="Times New Roman" w:cs="Times New Roman"/>
                <w:i/>
                <w:sz w:val="24"/>
                <w:szCs w:val="24"/>
              </w:rPr>
              <w:t xml:space="preserve"> г.</w:t>
            </w:r>
          </w:p>
        </w:tc>
        <w:tc>
          <w:tcPr>
            <w:tcW w:w="695" w:type="dxa"/>
          </w:tcPr>
          <w:p w14:paraId="3E7CEDC0"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24</w:t>
            </w:r>
          </w:p>
        </w:tc>
      </w:tr>
      <w:tr w:rsidR="00540A2A" w:rsidRPr="002C36F8" w14:paraId="56A259A1" w14:textId="77777777" w:rsidTr="00540A2A">
        <w:tc>
          <w:tcPr>
            <w:tcW w:w="816" w:type="dxa"/>
          </w:tcPr>
          <w:p w14:paraId="4604FDDA"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4.4</w:t>
            </w:r>
          </w:p>
          <w:p w14:paraId="488B7FB8"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p>
        </w:tc>
        <w:tc>
          <w:tcPr>
            <w:tcW w:w="7551" w:type="dxa"/>
          </w:tcPr>
          <w:p w14:paraId="2AAF826C" w14:textId="77777777" w:rsidR="00540A2A" w:rsidRPr="007E397A" w:rsidRDefault="00540A2A" w:rsidP="00540A2A">
            <w:pPr>
              <w:rPr>
                <w:rFonts w:ascii="Times New Roman" w:hAnsi="Times New Roman" w:cs="Times New Roman"/>
                <w:i/>
                <w:sz w:val="24"/>
                <w:szCs w:val="24"/>
              </w:rPr>
            </w:pPr>
            <w:r w:rsidRPr="007E397A">
              <w:rPr>
                <w:rFonts w:ascii="Times New Roman" w:hAnsi="Times New Roman" w:cs="Times New Roman"/>
                <w:i/>
                <w:sz w:val="24"/>
                <w:szCs w:val="24"/>
              </w:rPr>
              <w:t>Финансиране на проекти в областта на алтернативните горива и технологии</w:t>
            </w:r>
            <w:r>
              <w:rPr>
                <w:rFonts w:ascii="Times New Roman" w:hAnsi="Times New Roman" w:cs="Times New Roman"/>
                <w:i/>
                <w:sz w:val="24"/>
                <w:szCs w:val="24"/>
              </w:rPr>
              <w:t xml:space="preserve"> чрез фонд „Научни изследвания“</w:t>
            </w:r>
          </w:p>
        </w:tc>
        <w:tc>
          <w:tcPr>
            <w:tcW w:w="695" w:type="dxa"/>
          </w:tcPr>
          <w:p w14:paraId="2A2B3523"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25</w:t>
            </w:r>
          </w:p>
        </w:tc>
      </w:tr>
      <w:tr w:rsidR="00540A2A" w:rsidRPr="002C36F8" w14:paraId="00576860" w14:textId="77777777" w:rsidTr="00540A2A">
        <w:tc>
          <w:tcPr>
            <w:tcW w:w="816" w:type="dxa"/>
          </w:tcPr>
          <w:p w14:paraId="2D554E21" w14:textId="77777777" w:rsidR="00540A2A" w:rsidRPr="007E397A" w:rsidRDefault="00540A2A" w:rsidP="00540A2A">
            <w:pPr>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4.5</w:t>
            </w:r>
          </w:p>
        </w:tc>
        <w:tc>
          <w:tcPr>
            <w:tcW w:w="7551" w:type="dxa"/>
          </w:tcPr>
          <w:p w14:paraId="3CA31D42" w14:textId="77777777" w:rsidR="00540A2A" w:rsidRPr="007E397A" w:rsidRDefault="00540A2A" w:rsidP="00540A2A">
            <w:pPr>
              <w:widowControl w:val="0"/>
              <w:ind w:right="40"/>
              <w:jc w:val="both"/>
              <w:rPr>
                <w:rFonts w:ascii="Times New Roman" w:eastAsia="Times New Roman" w:hAnsi="Times New Roman" w:cs="Times New Roman"/>
                <w:i/>
                <w:color w:val="000000"/>
                <w:sz w:val="24"/>
                <w:szCs w:val="24"/>
                <w:lang w:eastAsia="bg-BG"/>
              </w:rPr>
            </w:pPr>
            <w:r w:rsidRPr="007E397A">
              <w:rPr>
                <w:rFonts w:ascii="Times New Roman" w:eastAsia="Times New Roman" w:hAnsi="Times New Roman" w:cs="Times New Roman"/>
                <w:i/>
                <w:color w:val="000000"/>
                <w:sz w:val="24"/>
                <w:szCs w:val="24"/>
                <w:lang w:eastAsia="bg-BG"/>
              </w:rPr>
              <w:t xml:space="preserve">Оперативна програма „Наука и образование за интелигентен растеж" 2014 </w:t>
            </w:r>
            <w:r>
              <w:rPr>
                <w:rFonts w:ascii="Times New Roman" w:eastAsia="Times New Roman" w:hAnsi="Times New Roman" w:cs="Times New Roman"/>
                <w:i/>
                <w:color w:val="000000"/>
                <w:sz w:val="24"/>
                <w:szCs w:val="24"/>
                <w:lang w:eastAsia="bg-BG"/>
              </w:rPr>
              <w:t>–</w:t>
            </w:r>
            <w:r w:rsidRPr="007E397A">
              <w:rPr>
                <w:rFonts w:ascii="Times New Roman" w:eastAsia="Times New Roman" w:hAnsi="Times New Roman" w:cs="Times New Roman"/>
                <w:i/>
                <w:color w:val="000000"/>
                <w:sz w:val="24"/>
                <w:szCs w:val="24"/>
                <w:lang w:eastAsia="bg-BG"/>
              </w:rPr>
              <w:t xml:space="preserve"> 2020 г. </w:t>
            </w:r>
          </w:p>
          <w:p w14:paraId="58A63B93" w14:textId="77777777" w:rsidR="00540A2A" w:rsidRPr="007E397A" w:rsidRDefault="00540A2A" w:rsidP="00540A2A">
            <w:pPr>
              <w:rPr>
                <w:rFonts w:ascii="Times New Roman" w:hAnsi="Times New Roman" w:cs="Times New Roman"/>
                <w:i/>
                <w:sz w:val="24"/>
                <w:szCs w:val="24"/>
              </w:rPr>
            </w:pPr>
          </w:p>
        </w:tc>
        <w:tc>
          <w:tcPr>
            <w:tcW w:w="695" w:type="dxa"/>
          </w:tcPr>
          <w:p w14:paraId="7C4864FE"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26</w:t>
            </w:r>
          </w:p>
        </w:tc>
      </w:tr>
      <w:tr w:rsidR="00540A2A" w:rsidRPr="002C36F8" w14:paraId="2B7A62DC" w14:textId="77777777" w:rsidTr="00540A2A">
        <w:tc>
          <w:tcPr>
            <w:tcW w:w="816" w:type="dxa"/>
          </w:tcPr>
          <w:p w14:paraId="344BE758" w14:textId="77777777" w:rsidR="00540A2A" w:rsidRPr="00482076" w:rsidRDefault="00540A2A" w:rsidP="00540A2A">
            <w:pPr>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val="en-US" w:eastAsia="bg-BG"/>
              </w:rPr>
              <w:t>4</w:t>
            </w:r>
            <w:r>
              <w:rPr>
                <w:rFonts w:ascii="Times New Roman" w:eastAsia="Times New Roman" w:hAnsi="Times New Roman" w:cs="Times New Roman"/>
                <w:i/>
                <w:color w:val="000000"/>
                <w:sz w:val="24"/>
                <w:szCs w:val="24"/>
                <w:lang w:eastAsia="bg-BG"/>
              </w:rPr>
              <w:t>.6.</w:t>
            </w:r>
          </w:p>
        </w:tc>
        <w:tc>
          <w:tcPr>
            <w:tcW w:w="7551" w:type="dxa"/>
          </w:tcPr>
          <w:p w14:paraId="5EF6E4D9" w14:textId="77777777" w:rsidR="00540A2A" w:rsidRPr="007E397A" w:rsidRDefault="00540A2A" w:rsidP="00540A2A">
            <w:pPr>
              <w:widowControl w:val="0"/>
              <w:ind w:right="40"/>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Програма за развитие на селските райони 2014 - 2020 г.</w:t>
            </w:r>
          </w:p>
        </w:tc>
        <w:tc>
          <w:tcPr>
            <w:tcW w:w="695" w:type="dxa"/>
          </w:tcPr>
          <w:p w14:paraId="40B644CE"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27</w:t>
            </w:r>
          </w:p>
        </w:tc>
      </w:tr>
      <w:tr w:rsidR="00540A2A" w:rsidRPr="002C36F8" w14:paraId="43C3606C" w14:textId="77777777" w:rsidTr="00540A2A">
        <w:tc>
          <w:tcPr>
            <w:tcW w:w="816" w:type="dxa"/>
          </w:tcPr>
          <w:p w14:paraId="112F6B77" w14:textId="77777777" w:rsidR="00540A2A" w:rsidRPr="00D44A58" w:rsidRDefault="00540A2A" w:rsidP="00540A2A">
            <w:pPr>
              <w:jc w:val="both"/>
              <w:rPr>
                <w:rFonts w:ascii="Times New Roman" w:hAnsi="Times New Roman" w:cs="Times New Roman"/>
                <w:b/>
                <w:sz w:val="24"/>
                <w:szCs w:val="24"/>
              </w:rPr>
            </w:pPr>
            <w:r w:rsidRPr="00D44A58">
              <w:rPr>
                <w:rFonts w:ascii="Times New Roman" w:hAnsi="Times New Roman" w:cs="Times New Roman"/>
                <w:b/>
                <w:sz w:val="24"/>
                <w:szCs w:val="24"/>
              </w:rPr>
              <w:t>5.</w:t>
            </w:r>
          </w:p>
        </w:tc>
        <w:tc>
          <w:tcPr>
            <w:tcW w:w="7551" w:type="dxa"/>
          </w:tcPr>
          <w:p w14:paraId="633A6A07" w14:textId="77777777" w:rsidR="00540A2A" w:rsidRPr="00D44A58" w:rsidRDefault="00540A2A" w:rsidP="00540A2A">
            <w:pPr>
              <w:jc w:val="both"/>
              <w:rPr>
                <w:rFonts w:ascii="Times New Roman" w:hAnsi="Times New Roman" w:cs="Times New Roman"/>
                <w:b/>
                <w:sz w:val="24"/>
                <w:szCs w:val="24"/>
              </w:rPr>
            </w:pPr>
            <w:r w:rsidRPr="00D44A58">
              <w:rPr>
                <w:rFonts w:ascii="Times New Roman" w:hAnsi="Times New Roman" w:cs="Times New Roman"/>
                <w:b/>
                <w:sz w:val="24"/>
                <w:szCs w:val="24"/>
              </w:rPr>
              <w:t xml:space="preserve">Актуално състояние на потреблението в сектор „Транспорт“ </w:t>
            </w:r>
          </w:p>
          <w:p w14:paraId="5302786A" w14:textId="77777777" w:rsidR="00540A2A" w:rsidRPr="007E397A" w:rsidRDefault="00540A2A" w:rsidP="00540A2A">
            <w:pPr>
              <w:jc w:val="both"/>
              <w:rPr>
                <w:rFonts w:ascii="Times New Roman" w:hAnsi="Times New Roman" w:cs="Times New Roman"/>
                <w:b/>
                <w:i/>
                <w:sz w:val="24"/>
                <w:szCs w:val="24"/>
              </w:rPr>
            </w:pPr>
          </w:p>
        </w:tc>
        <w:tc>
          <w:tcPr>
            <w:tcW w:w="695" w:type="dxa"/>
          </w:tcPr>
          <w:p w14:paraId="20D26D9A"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28</w:t>
            </w:r>
          </w:p>
        </w:tc>
      </w:tr>
      <w:tr w:rsidR="00540A2A" w:rsidRPr="002C36F8" w14:paraId="72217ADE" w14:textId="77777777" w:rsidTr="00540A2A">
        <w:tc>
          <w:tcPr>
            <w:tcW w:w="816" w:type="dxa"/>
          </w:tcPr>
          <w:p w14:paraId="3956E0E8" w14:textId="77777777" w:rsidR="00540A2A" w:rsidRPr="00482076" w:rsidRDefault="00540A2A" w:rsidP="00540A2A">
            <w:pPr>
              <w:jc w:val="both"/>
              <w:rPr>
                <w:rFonts w:ascii="Times New Roman" w:hAnsi="Times New Roman" w:cs="Times New Roman"/>
                <w:i/>
                <w:sz w:val="24"/>
                <w:szCs w:val="24"/>
              </w:rPr>
            </w:pPr>
            <w:r w:rsidRPr="00482076">
              <w:rPr>
                <w:rFonts w:ascii="Times New Roman" w:hAnsi="Times New Roman" w:cs="Times New Roman"/>
                <w:i/>
                <w:sz w:val="24"/>
                <w:szCs w:val="24"/>
              </w:rPr>
              <w:t>5.1</w:t>
            </w:r>
          </w:p>
        </w:tc>
        <w:tc>
          <w:tcPr>
            <w:tcW w:w="7551" w:type="dxa"/>
          </w:tcPr>
          <w:p w14:paraId="54FEFDAB" w14:textId="77777777" w:rsidR="00540A2A" w:rsidRPr="008045CD" w:rsidRDefault="00540A2A" w:rsidP="00540A2A">
            <w:pPr>
              <w:rPr>
                <w:rFonts w:ascii="Times New Roman" w:hAnsi="Times New Roman" w:cs="Times New Roman"/>
                <w:i/>
                <w:sz w:val="24"/>
                <w:szCs w:val="24"/>
              </w:rPr>
            </w:pPr>
            <w:r w:rsidRPr="00482076">
              <w:rPr>
                <w:rFonts w:ascii="Times New Roman" w:hAnsi="Times New Roman" w:cs="Times New Roman"/>
                <w:i/>
                <w:sz w:val="24"/>
                <w:szCs w:val="24"/>
              </w:rPr>
              <w:t>Обща информация за потребление на енергия и горива в сектор „Транспорт”</w:t>
            </w:r>
          </w:p>
        </w:tc>
        <w:tc>
          <w:tcPr>
            <w:tcW w:w="695" w:type="dxa"/>
          </w:tcPr>
          <w:p w14:paraId="55567DB5"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28</w:t>
            </w:r>
          </w:p>
        </w:tc>
      </w:tr>
      <w:tr w:rsidR="00540A2A" w:rsidRPr="002C36F8" w14:paraId="5B5E5C20" w14:textId="77777777" w:rsidTr="00540A2A">
        <w:tc>
          <w:tcPr>
            <w:tcW w:w="816" w:type="dxa"/>
          </w:tcPr>
          <w:p w14:paraId="097388FE" w14:textId="77777777" w:rsidR="00540A2A" w:rsidRPr="002C36F8" w:rsidRDefault="00540A2A" w:rsidP="00540A2A">
            <w:pPr>
              <w:ind w:right="72"/>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5.1.1</w:t>
            </w:r>
            <w:r w:rsidRPr="002C36F8">
              <w:rPr>
                <w:rFonts w:ascii="Times New Roman" w:eastAsia="Times New Roman" w:hAnsi="Times New Roman" w:cs="Times New Roman"/>
                <w:i/>
                <w:sz w:val="24"/>
                <w:szCs w:val="24"/>
                <w:lang w:eastAsia="bg-BG"/>
              </w:rPr>
              <w:t xml:space="preserve"> </w:t>
            </w:r>
          </w:p>
        </w:tc>
        <w:tc>
          <w:tcPr>
            <w:tcW w:w="7551" w:type="dxa"/>
          </w:tcPr>
          <w:p w14:paraId="305B32F2" w14:textId="77777777" w:rsidR="00540A2A" w:rsidRPr="002C36F8" w:rsidRDefault="00540A2A" w:rsidP="00540A2A">
            <w:pPr>
              <w:jc w:val="both"/>
              <w:rPr>
                <w:rFonts w:ascii="Times New Roman" w:hAnsi="Times New Roman" w:cs="Times New Roman"/>
                <w:sz w:val="24"/>
                <w:szCs w:val="24"/>
              </w:rPr>
            </w:pPr>
            <w:r w:rsidRPr="002C36F8">
              <w:rPr>
                <w:rFonts w:ascii="Times New Roman" w:eastAsia="Times New Roman" w:hAnsi="Times New Roman" w:cs="Times New Roman"/>
                <w:i/>
                <w:sz w:val="24"/>
                <w:szCs w:val="24"/>
                <w:lang w:eastAsia="bg-BG"/>
              </w:rPr>
              <w:t>Потребление на безоловен бензин/дизелово гориво</w:t>
            </w:r>
          </w:p>
        </w:tc>
        <w:tc>
          <w:tcPr>
            <w:tcW w:w="695" w:type="dxa"/>
          </w:tcPr>
          <w:p w14:paraId="35BE2A02"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29</w:t>
            </w:r>
          </w:p>
        </w:tc>
      </w:tr>
      <w:tr w:rsidR="00540A2A" w:rsidRPr="002C36F8" w14:paraId="5ACE5CD2" w14:textId="77777777" w:rsidTr="00540A2A">
        <w:tc>
          <w:tcPr>
            <w:tcW w:w="816" w:type="dxa"/>
          </w:tcPr>
          <w:p w14:paraId="4E0129D1" w14:textId="77777777" w:rsidR="00540A2A" w:rsidRPr="002C36F8" w:rsidRDefault="00540A2A" w:rsidP="00540A2A">
            <w:r>
              <w:rPr>
                <w:rFonts w:ascii="Times New Roman" w:eastAsia="Times New Roman" w:hAnsi="Times New Roman" w:cs="Times New Roman"/>
                <w:i/>
                <w:sz w:val="24"/>
                <w:szCs w:val="24"/>
                <w:lang w:eastAsia="bg-BG"/>
              </w:rPr>
              <w:t>5.1.2</w:t>
            </w:r>
            <w:r w:rsidRPr="002C36F8">
              <w:rPr>
                <w:rFonts w:ascii="Times New Roman" w:eastAsia="Times New Roman" w:hAnsi="Times New Roman" w:cs="Times New Roman"/>
                <w:i/>
                <w:sz w:val="24"/>
                <w:szCs w:val="24"/>
                <w:lang w:eastAsia="bg-BG"/>
              </w:rPr>
              <w:t xml:space="preserve"> </w:t>
            </w:r>
          </w:p>
        </w:tc>
        <w:tc>
          <w:tcPr>
            <w:tcW w:w="7551" w:type="dxa"/>
          </w:tcPr>
          <w:p w14:paraId="1DAE09E0" w14:textId="77777777" w:rsidR="00540A2A" w:rsidRPr="002C36F8" w:rsidRDefault="00540A2A" w:rsidP="00540A2A">
            <w:pPr>
              <w:jc w:val="both"/>
              <w:rPr>
                <w:rFonts w:ascii="Times New Roman" w:hAnsi="Times New Roman" w:cs="Times New Roman"/>
                <w:sz w:val="24"/>
                <w:szCs w:val="24"/>
              </w:rPr>
            </w:pPr>
            <w:r w:rsidRPr="002C36F8">
              <w:rPr>
                <w:rFonts w:ascii="Times New Roman" w:eastAsia="Times New Roman" w:hAnsi="Times New Roman" w:cs="Times New Roman"/>
                <w:i/>
                <w:sz w:val="24"/>
                <w:szCs w:val="24"/>
                <w:lang w:eastAsia="bg-BG"/>
              </w:rPr>
              <w:t>Потребление на пропан-бутан/природен газ</w:t>
            </w:r>
          </w:p>
        </w:tc>
        <w:tc>
          <w:tcPr>
            <w:tcW w:w="695" w:type="dxa"/>
          </w:tcPr>
          <w:p w14:paraId="38BD8CC6" w14:textId="77777777" w:rsidR="00540A2A" w:rsidRPr="0079603F" w:rsidRDefault="00540A2A" w:rsidP="00540A2A">
            <w:pPr>
              <w:jc w:val="right"/>
              <w:rPr>
                <w:rFonts w:ascii="Times New Roman" w:hAnsi="Times New Roman" w:cs="Times New Roman"/>
                <w:b/>
                <w:sz w:val="24"/>
                <w:szCs w:val="24"/>
                <w:lang w:val="en-US"/>
              </w:rPr>
            </w:pPr>
            <w:r w:rsidRPr="0079603F">
              <w:rPr>
                <w:rFonts w:ascii="Times New Roman" w:hAnsi="Times New Roman" w:cs="Times New Roman"/>
                <w:b/>
                <w:sz w:val="24"/>
                <w:szCs w:val="24"/>
                <w:lang w:val="en-US"/>
              </w:rPr>
              <w:t>30</w:t>
            </w:r>
          </w:p>
        </w:tc>
      </w:tr>
      <w:tr w:rsidR="00540A2A" w:rsidRPr="002C36F8" w14:paraId="29D0DD2E" w14:textId="77777777" w:rsidTr="00540A2A">
        <w:tc>
          <w:tcPr>
            <w:tcW w:w="816" w:type="dxa"/>
          </w:tcPr>
          <w:p w14:paraId="39CBDCC6" w14:textId="77777777" w:rsidR="00540A2A" w:rsidRPr="002C36F8" w:rsidRDefault="00540A2A" w:rsidP="00540A2A">
            <w:pPr>
              <w:ind w:right="72"/>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5.1.3</w:t>
            </w:r>
            <w:r w:rsidRPr="002C36F8">
              <w:rPr>
                <w:rFonts w:ascii="Times New Roman" w:eastAsia="Times New Roman" w:hAnsi="Times New Roman" w:cs="Times New Roman"/>
                <w:i/>
                <w:sz w:val="24"/>
                <w:szCs w:val="24"/>
                <w:lang w:eastAsia="bg-BG"/>
              </w:rPr>
              <w:t xml:space="preserve"> </w:t>
            </w:r>
          </w:p>
        </w:tc>
        <w:tc>
          <w:tcPr>
            <w:tcW w:w="7551" w:type="dxa"/>
          </w:tcPr>
          <w:p w14:paraId="5CE174C4" w14:textId="77777777" w:rsidR="00540A2A" w:rsidRPr="002C36F8" w:rsidRDefault="00540A2A" w:rsidP="00540A2A">
            <w:pPr>
              <w:jc w:val="both"/>
              <w:rPr>
                <w:rFonts w:ascii="Times New Roman" w:hAnsi="Times New Roman" w:cs="Times New Roman"/>
                <w:sz w:val="24"/>
                <w:szCs w:val="24"/>
              </w:rPr>
            </w:pPr>
            <w:r w:rsidRPr="002C36F8">
              <w:rPr>
                <w:rFonts w:ascii="Times New Roman" w:eastAsia="Times New Roman" w:hAnsi="Times New Roman" w:cs="Times New Roman"/>
                <w:i/>
                <w:sz w:val="24"/>
                <w:szCs w:val="24"/>
                <w:lang w:eastAsia="bg-BG"/>
              </w:rPr>
              <w:t>Потребление на биогорива</w:t>
            </w:r>
          </w:p>
        </w:tc>
        <w:tc>
          <w:tcPr>
            <w:tcW w:w="695" w:type="dxa"/>
          </w:tcPr>
          <w:p w14:paraId="50495F11"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30</w:t>
            </w:r>
          </w:p>
        </w:tc>
      </w:tr>
      <w:tr w:rsidR="00540A2A" w:rsidRPr="002C36F8" w14:paraId="347D527E" w14:textId="77777777" w:rsidTr="00540A2A">
        <w:tc>
          <w:tcPr>
            <w:tcW w:w="816" w:type="dxa"/>
          </w:tcPr>
          <w:p w14:paraId="4CC1E48F" w14:textId="77777777" w:rsidR="00540A2A" w:rsidRPr="002C36F8" w:rsidRDefault="00540A2A" w:rsidP="00540A2A">
            <w:pPr>
              <w:jc w:val="both"/>
              <w:rPr>
                <w:rFonts w:ascii="Times New Roman" w:eastAsia="Times New Roman" w:hAnsi="Times New Roman" w:cs="Times New Roman"/>
                <w:b/>
                <w:i/>
                <w:noProof/>
                <w:sz w:val="24"/>
                <w:szCs w:val="24"/>
                <w:lang w:eastAsia="en-GB"/>
              </w:rPr>
            </w:pPr>
            <w:r>
              <w:rPr>
                <w:rFonts w:ascii="Times New Roman" w:eastAsia="Times New Roman" w:hAnsi="Times New Roman" w:cs="Times New Roman"/>
                <w:b/>
                <w:i/>
                <w:noProof/>
                <w:sz w:val="24"/>
                <w:szCs w:val="24"/>
                <w:lang w:eastAsia="en-GB"/>
              </w:rPr>
              <w:lastRenderedPageBreak/>
              <w:t>6.</w:t>
            </w:r>
          </w:p>
        </w:tc>
        <w:tc>
          <w:tcPr>
            <w:tcW w:w="7551" w:type="dxa"/>
          </w:tcPr>
          <w:p w14:paraId="456A1A4A" w14:textId="77777777" w:rsidR="00540A2A" w:rsidRPr="00D44A58" w:rsidRDefault="00540A2A" w:rsidP="00540A2A">
            <w:pPr>
              <w:jc w:val="both"/>
              <w:rPr>
                <w:rFonts w:ascii="Times New Roman" w:eastAsia="Times New Roman" w:hAnsi="Times New Roman" w:cs="Times New Roman"/>
                <w:b/>
                <w:noProof/>
                <w:sz w:val="24"/>
                <w:szCs w:val="24"/>
                <w:lang w:eastAsia="en-GB"/>
              </w:rPr>
            </w:pPr>
            <w:r w:rsidRPr="00D44A58">
              <w:rPr>
                <w:rFonts w:ascii="Times New Roman" w:eastAsia="Times New Roman" w:hAnsi="Times New Roman" w:cs="Times New Roman"/>
                <w:b/>
                <w:noProof/>
                <w:sz w:val="24"/>
                <w:szCs w:val="24"/>
                <w:lang w:eastAsia="en-GB"/>
              </w:rPr>
              <w:t>Разпределение на автомобилния парк по вида на използваното гориво</w:t>
            </w:r>
          </w:p>
          <w:p w14:paraId="127F68A5" w14:textId="77777777" w:rsidR="00540A2A" w:rsidRPr="00C55039" w:rsidRDefault="00540A2A" w:rsidP="00540A2A">
            <w:pPr>
              <w:jc w:val="both"/>
              <w:rPr>
                <w:rFonts w:ascii="Times New Roman" w:hAnsi="Times New Roman" w:cs="Times New Roman"/>
                <w:i/>
                <w:sz w:val="24"/>
                <w:szCs w:val="24"/>
              </w:rPr>
            </w:pPr>
          </w:p>
        </w:tc>
        <w:tc>
          <w:tcPr>
            <w:tcW w:w="695" w:type="dxa"/>
          </w:tcPr>
          <w:p w14:paraId="3CDE3AAA"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31</w:t>
            </w:r>
          </w:p>
        </w:tc>
      </w:tr>
      <w:tr w:rsidR="00540A2A" w:rsidRPr="002C36F8" w14:paraId="2BFE4884" w14:textId="77777777" w:rsidTr="00540A2A">
        <w:tc>
          <w:tcPr>
            <w:tcW w:w="816" w:type="dxa"/>
          </w:tcPr>
          <w:p w14:paraId="46D2713B" w14:textId="77777777" w:rsidR="00540A2A" w:rsidRPr="00D12651" w:rsidRDefault="00540A2A" w:rsidP="00540A2A">
            <w:pPr>
              <w:jc w:val="both"/>
              <w:rPr>
                <w:rFonts w:ascii="Times New Roman" w:eastAsia="Times New Roman" w:hAnsi="Times New Roman" w:cs="Times New Roman"/>
                <w:b/>
                <w:i/>
                <w:noProof/>
                <w:sz w:val="24"/>
                <w:szCs w:val="24"/>
                <w:lang w:eastAsia="en-GB"/>
              </w:rPr>
            </w:pPr>
            <w:r>
              <w:rPr>
                <w:rFonts w:ascii="Times New Roman" w:eastAsia="Times New Roman" w:hAnsi="Times New Roman" w:cs="Times New Roman"/>
                <w:b/>
                <w:i/>
                <w:noProof/>
                <w:sz w:val="24"/>
                <w:szCs w:val="24"/>
                <w:lang w:val="en-US" w:eastAsia="en-GB"/>
              </w:rPr>
              <w:t>7</w:t>
            </w:r>
            <w:r>
              <w:rPr>
                <w:rFonts w:ascii="Times New Roman" w:eastAsia="Times New Roman" w:hAnsi="Times New Roman" w:cs="Times New Roman"/>
                <w:b/>
                <w:i/>
                <w:noProof/>
                <w:sz w:val="24"/>
                <w:szCs w:val="24"/>
                <w:lang w:eastAsia="en-GB"/>
              </w:rPr>
              <w:t>.</w:t>
            </w:r>
          </w:p>
        </w:tc>
        <w:tc>
          <w:tcPr>
            <w:tcW w:w="7551" w:type="dxa"/>
          </w:tcPr>
          <w:p w14:paraId="124ECCE3" w14:textId="77777777" w:rsidR="00540A2A" w:rsidRPr="00D44A58" w:rsidRDefault="00540A2A" w:rsidP="00540A2A">
            <w:pPr>
              <w:jc w:val="both"/>
              <w:rPr>
                <w:rFonts w:ascii="Times New Roman" w:eastAsia="Times New Roman" w:hAnsi="Times New Roman" w:cs="Times New Roman"/>
                <w:b/>
                <w:noProof/>
                <w:sz w:val="24"/>
                <w:szCs w:val="24"/>
                <w:lang w:eastAsia="en-GB"/>
              </w:rPr>
            </w:pPr>
            <w:r w:rsidRPr="00D44A58">
              <w:rPr>
                <w:rFonts w:ascii="Times New Roman" w:eastAsia="Times New Roman" w:hAnsi="Times New Roman" w:cs="Times New Roman"/>
                <w:b/>
                <w:noProof/>
                <w:sz w:val="24"/>
                <w:szCs w:val="24"/>
                <w:lang w:eastAsia="en-GB"/>
              </w:rPr>
              <w:t>Актуално състояние на зарядната инфраструктура за алтернативни горива в автомобилния транспорт</w:t>
            </w:r>
          </w:p>
        </w:tc>
        <w:tc>
          <w:tcPr>
            <w:tcW w:w="695" w:type="dxa"/>
          </w:tcPr>
          <w:p w14:paraId="7416DBE1"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39</w:t>
            </w:r>
          </w:p>
        </w:tc>
      </w:tr>
      <w:tr w:rsidR="00540A2A" w:rsidRPr="002C36F8" w14:paraId="5348DB33" w14:textId="77777777" w:rsidTr="00540A2A">
        <w:tc>
          <w:tcPr>
            <w:tcW w:w="816" w:type="dxa"/>
          </w:tcPr>
          <w:p w14:paraId="5530BA81" w14:textId="77777777" w:rsidR="00540A2A" w:rsidRPr="000D5F4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7</w:t>
            </w:r>
            <w:r w:rsidRPr="000D5F4A">
              <w:rPr>
                <w:rFonts w:ascii="Times New Roman" w:eastAsia="Times New Roman" w:hAnsi="Times New Roman" w:cs="Times New Roman"/>
                <w:i/>
                <w:noProof/>
                <w:sz w:val="24"/>
                <w:szCs w:val="24"/>
                <w:lang w:eastAsia="en-GB"/>
              </w:rPr>
              <w:t>.1</w:t>
            </w:r>
          </w:p>
        </w:tc>
        <w:tc>
          <w:tcPr>
            <w:tcW w:w="7551" w:type="dxa"/>
          </w:tcPr>
          <w:p w14:paraId="496FDCCD" w14:textId="77777777" w:rsidR="00540A2A" w:rsidRPr="000D5F4A" w:rsidRDefault="00540A2A" w:rsidP="00540A2A">
            <w:pPr>
              <w:jc w:val="both"/>
              <w:rPr>
                <w:rFonts w:ascii="Times New Roman" w:eastAsia="Times New Roman" w:hAnsi="Times New Roman" w:cs="Times New Roman"/>
                <w:i/>
                <w:noProof/>
                <w:sz w:val="24"/>
                <w:szCs w:val="24"/>
                <w:lang w:eastAsia="en-GB"/>
              </w:rPr>
            </w:pPr>
            <w:r w:rsidRPr="000D5F4A">
              <w:rPr>
                <w:rFonts w:ascii="Times New Roman" w:eastAsia="Times New Roman" w:hAnsi="Times New Roman" w:cs="Times New Roman"/>
                <w:i/>
                <w:noProof/>
                <w:sz w:val="24"/>
                <w:szCs w:val="24"/>
                <w:lang w:eastAsia="en-GB"/>
              </w:rPr>
              <w:t>Зарядна инфраструктура за електрически превозни средства</w:t>
            </w:r>
          </w:p>
        </w:tc>
        <w:tc>
          <w:tcPr>
            <w:tcW w:w="695" w:type="dxa"/>
          </w:tcPr>
          <w:p w14:paraId="63767A90"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39</w:t>
            </w:r>
          </w:p>
        </w:tc>
      </w:tr>
      <w:tr w:rsidR="00540A2A" w:rsidRPr="002C36F8" w14:paraId="7D3893BE" w14:textId="77777777" w:rsidTr="00540A2A">
        <w:tc>
          <w:tcPr>
            <w:tcW w:w="816" w:type="dxa"/>
          </w:tcPr>
          <w:p w14:paraId="2D0E1B28" w14:textId="77777777" w:rsidR="00540A2A" w:rsidRPr="000D5F4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7</w:t>
            </w:r>
            <w:r w:rsidRPr="000D5F4A">
              <w:rPr>
                <w:rFonts w:ascii="Times New Roman" w:eastAsia="Times New Roman" w:hAnsi="Times New Roman" w:cs="Times New Roman"/>
                <w:i/>
                <w:noProof/>
                <w:sz w:val="24"/>
                <w:szCs w:val="24"/>
                <w:lang w:eastAsia="en-GB"/>
              </w:rPr>
              <w:t>.2</w:t>
            </w:r>
          </w:p>
        </w:tc>
        <w:tc>
          <w:tcPr>
            <w:tcW w:w="7551" w:type="dxa"/>
          </w:tcPr>
          <w:p w14:paraId="11348907" w14:textId="77777777" w:rsidR="00540A2A" w:rsidRPr="000D5F4A" w:rsidRDefault="00540A2A" w:rsidP="00540A2A">
            <w:pPr>
              <w:jc w:val="both"/>
              <w:rPr>
                <w:rFonts w:ascii="Times New Roman" w:eastAsia="Times New Roman" w:hAnsi="Times New Roman" w:cs="Times New Roman"/>
                <w:i/>
                <w:noProof/>
                <w:sz w:val="24"/>
                <w:szCs w:val="24"/>
                <w:lang w:eastAsia="en-GB"/>
              </w:rPr>
            </w:pPr>
            <w:r w:rsidRPr="000D5F4A">
              <w:rPr>
                <w:rFonts w:ascii="Times New Roman" w:eastAsia="Times New Roman" w:hAnsi="Times New Roman" w:cs="Times New Roman"/>
                <w:i/>
                <w:noProof/>
                <w:sz w:val="24"/>
                <w:szCs w:val="24"/>
                <w:lang w:eastAsia="en-GB"/>
              </w:rPr>
              <w:t>Зарядна инфраструктура за компресиран природен газ</w:t>
            </w:r>
          </w:p>
        </w:tc>
        <w:tc>
          <w:tcPr>
            <w:tcW w:w="695" w:type="dxa"/>
          </w:tcPr>
          <w:p w14:paraId="27798D90"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42</w:t>
            </w:r>
          </w:p>
        </w:tc>
      </w:tr>
      <w:tr w:rsidR="00540A2A" w:rsidRPr="002C36F8" w14:paraId="00C4DBBC" w14:textId="77777777" w:rsidTr="00540A2A">
        <w:tc>
          <w:tcPr>
            <w:tcW w:w="816" w:type="dxa"/>
          </w:tcPr>
          <w:p w14:paraId="7E88D655" w14:textId="77777777" w:rsidR="00540A2A" w:rsidRPr="000D5F4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7</w:t>
            </w:r>
            <w:r w:rsidRPr="000D5F4A">
              <w:rPr>
                <w:rFonts w:ascii="Times New Roman" w:eastAsia="Times New Roman" w:hAnsi="Times New Roman" w:cs="Times New Roman"/>
                <w:i/>
                <w:noProof/>
                <w:sz w:val="24"/>
                <w:szCs w:val="24"/>
                <w:lang w:eastAsia="en-GB"/>
              </w:rPr>
              <w:t>.3</w:t>
            </w:r>
          </w:p>
        </w:tc>
        <w:tc>
          <w:tcPr>
            <w:tcW w:w="7551" w:type="dxa"/>
          </w:tcPr>
          <w:p w14:paraId="629373E3" w14:textId="77777777" w:rsidR="00540A2A" w:rsidRPr="000D5F4A" w:rsidRDefault="00540A2A" w:rsidP="00540A2A">
            <w:pPr>
              <w:jc w:val="both"/>
              <w:rPr>
                <w:rFonts w:ascii="Times New Roman" w:eastAsia="Times New Roman" w:hAnsi="Times New Roman" w:cs="Times New Roman"/>
                <w:i/>
                <w:noProof/>
                <w:sz w:val="24"/>
                <w:szCs w:val="24"/>
                <w:lang w:eastAsia="en-GB"/>
              </w:rPr>
            </w:pPr>
            <w:r w:rsidRPr="000D5F4A">
              <w:rPr>
                <w:rFonts w:ascii="Times New Roman" w:eastAsia="Times New Roman" w:hAnsi="Times New Roman" w:cs="Times New Roman"/>
                <w:i/>
                <w:noProof/>
                <w:sz w:val="24"/>
                <w:szCs w:val="24"/>
                <w:lang w:eastAsia="en-GB"/>
              </w:rPr>
              <w:t>Зарядна инфраструктура за втечнен природен газ</w:t>
            </w:r>
          </w:p>
        </w:tc>
        <w:tc>
          <w:tcPr>
            <w:tcW w:w="695" w:type="dxa"/>
          </w:tcPr>
          <w:p w14:paraId="4DD1B2CA"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44</w:t>
            </w:r>
          </w:p>
        </w:tc>
      </w:tr>
      <w:tr w:rsidR="00540A2A" w:rsidRPr="002C36F8" w14:paraId="707B8D8F" w14:textId="77777777" w:rsidTr="00540A2A">
        <w:tc>
          <w:tcPr>
            <w:tcW w:w="816" w:type="dxa"/>
          </w:tcPr>
          <w:p w14:paraId="1B2E6170" w14:textId="77777777" w:rsidR="00540A2A" w:rsidRPr="000D5F4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7</w:t>
            </w:r>
            <w:r w:rsidRPr="000D5F4A">
              <w:rPr>
                <w:rFonts w:ascii="Times New Roman" w:eastAsia="Times New Roman" w:hAnsi="Times New Roman" w:cs="Times New Roman"/>
                <w:i/>
                <w:noProof/>
                <w:sz w:val="24"/>
                <w:szCs w:val="24"/>
                <w:lang w:eastAsia="en-GB"/>
              </w:rPr>
              <w:t>.4</w:t>
            </w:r>
          </w:p>
        </w:tc>
        <w:tc>
          <w:tcPr>
            <w:tcW w:w="7551" w:type="dxa"/>
          </w:tcPr>
          <w:p w14:paraId="5D5CCA9F" w14:textId="77777777" w:rsidR="00540A2A" w:rsidRPr="000D5F4A" w:rsidRDefault="00540A2A" w:rsidP="00540A2A">
            <w:pPr>
              <w:jc w:val="both"/>
              <w:rPr>
                <w:rFonts w:ascii="Times New Roman" w:eastAsia="Times New Roman" w:hAnsi="Times New Roman" w:cs="Times New Roman"/>
                <w:i/>
                <w:noProof/>
                <w:sz w:val="24"/>
                <w:szCs w:val="24"/>
                <w:lang w:eastAsia="en-GB"/>
              </w:rPr>
            </w:pPr>
            <w:r w:rsidRPr="000D5F4A">
              <w:rPr>
                <w:rFonts w:ascii="Times New Roman" w:eastAsia="Times New Roman" w:hAnsi="Times New Roman" w:cs="Times New Roman"/>
                <w:i/>
                <w:noProof/>
                <w:sz w:val="24"/>
                <w:szCs w:val="24"/>
                <w:lang w:eastAsia="en-GB"/>
              </w:rPr>
              <w:t>Зарядна инфраструктура за втечнен нефтен газ</w:t>
            </w:r>
          </w:p>
        </w:tc>
        <w:tc>
          <w:tcPr>
            <w:tcW w:w="695" w:type="dxa"/>
          </w:tcPr>
          <w:p w14:paraId="4BD61F4C"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44</w:t>
            </w:r>
          </w:p>
        </w:tc>
      </w:tr>
      <w:tr w:rsidR="00540A2A" w:rsidRPr="00D44A58" w14:paraId="3464604D" w14:textId="77777777" w:rsidTr="00540A2A">
        <w:tc>
          <w:tcPr>
            <w:tcW w:w="816" w:type="dxa"/>
          </w:tcPr>
          <w:p w14:paraId="4EF296D1" w14:textId="77777777" w:rsidR="00540A2A" w:rsidRPr="000D5F4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7</w:t>
            </w:r>
            <w:r w:rsidRPr="000D5F4A">
              <w:rPr>
                <w:rFonts w:ascii="Times New Roman" w:eastAsia="Times New Roman" w:hAnsi="Times New Roman" w:cs="Times New Roman"/>
                <w:i/>
                <w:noProof/>
                <w:sz w:val="24"/>
                <w:szCs w:val="24"/>
                <w:lang w:eastAsia="en-GB"/>
              </w:rPr>
              <w:t>.5</w:t>
            </w:r>
          </w:p>
        </w:tc>
        <w:tc>
          <w:tcPr>
            <w:tcW w:w="7551" w:type="dxa"/>
          </w:tcPr>
          <w:p w14:paraId="4B90B11B" w14:textId="77777777" w:rsidR="00540A2A" w:rsidRPr="00113F39" w:rsidRDefault="00540A2A" w:rsidP="00540A2A">
            <w:pPr>
              <w:jc w:val="both"/>
              <w:rPr>
                <w:rFonts w:ascii="Times New Roman" w:eastAsia="Times New Roman" w:hAnsi="Times New Roman" w:cs="Times New Roman"/>
                <w:i/>
                <w:sz w:val="24"/>
                <w:szCs w:val="24"/>
                <w:lang w:eastAsia="bg-BG"/>
              </w:rPr>
            </w:pPr>
            <w:r w:rsidRPr="000D5F4A">
              <w:rPr>
                <w:rFonts w:ascii="Times New Roman" w:eastAsia="Times New Roman" w:hAnsi="Times New Roman" w:cs="Times New Roman"/>
                <w:i/>
                <w:sz w:val="24"/>
                <w:szCs w:val="24"/>
                <w:lang w:eastAsia="bg-BG"/>
              </w:rPr>
              <w:t>Предизвикателства пред разгръщането</w:t>
            </w:r>
            <w:r w:rsidRPr="00113F39">
              <w:rPr>
                <w:rFonts w:ascii="Times New Roman" w:eastAsia="Times New Roman" w:hAnsi="Times New Roman" w:cs="Times New Roman"/>
                <w:i/>
                <w:sz w:val="24"/>
                <w:szCs w:val="24"/>
                <w:lang w:eastAsia="bg-BG"/>
              </w:rPr>
              <w:t xml:space="preserve"> на водородните технологии</w:t>
            </w:r>
            <w:r w:rsidRPr="000D5F4A">
              <w:rPr>
                <w:rFonts w:ascii="Times New Roman" w:eastAsia="Times New Roman" w:hAnsi="Times New Roman" w:cs="Times New Roman"/>
                <w:i/>
                <w:sz w:val="24"/>
                <w:szCs w:val="24"/>
                <w:lang w:eastAsia="bg-BG"/>
              </w:rPr>
              <w:t xml:space="preserve"> в транспортния сектор</w:t>
            </w:r>
          </w:p>
          <w:p w14:paraId="08E74934" w14:textId="77777777" w:rsidR="00540A2A" w:rsidRPr="002C36F8" w:rsidRDefault="00540A2A" w:rsidP="00540A2A">
            <w:pPr>
              <w:jc w:val="both"/>
              <w:rPr>
                <w:rFonts w:ascii="Times New Roman" w:eastAsia="Times New Roman" w:hAnsi="Times New Roman" w:cs="Times New Roman"/>
                <w:b/>
                <w:i/>
                <w:noProof/>
                <w:sz w:val="24"/>
                <w:szCs w:val="24"/>
                <w:lang w:eastAsia="en-GB"/>
              </w:rPr>
            </w:pPr>
          </w:p>
        </w:tc>
        <w:tc>
          <w:tcPr>
            <w:tcW w:w="695" w:type="dxa"/>
          </w:tcPr>
          <w:p w14:paraId="2BF0150D"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45</w:t>
            </w:r>
          </w:p>
        </w:tc>
      </w:tr>
      <w:tr w:rsidR="00540A2A" w:rsidRPr="002C36F8" w14:paraId="3331C906" w14:textId="77777777" w:rsidTr="00540A2A">
        <w:tc>
          <w:tcPr>
            <w:tcW w:w="816" w:type="dxa"/>
          </w:tcPr>
          <w:p w14:paraId="09CF35E1" w14:textId="77777777" w:rsidR="00540A2A" w:rsidRPr="00D44A58" w:rsidRDefault="00540A2A" w:rsidP="00540A2A">
            <w:pPr>
              <w:jc w:val="both"/>
              <w:rPr>
                <w:rFonts w:ascii="Times New Roman" w:eastAsia="Times New Roman" w:hAnsi="Times New Roman" w:cs="Times New Roman"/>
                <w:b/>
                <w:noProof/>
                <w:sz w:val="24"/>
                <w:szCs w:val="24"/>
                <w:lang w:val="en-US" w:eastAsia="en-GB"/>
              </w:rPr>
            </w:pPr>
            <w:r w:rsidRPr="00D44A58">
              <w:rPr>
                <w:rFonts w:ascii="Times New Roman" w:eastAsia="Times New Roman" w:hAnsi="Times New Roman" w:cs="Times New Roman"/>
                <w:b/>
                <w:noProof/>
                <w:sz w:val="24"/>
                <w:szCs w:val="24"/>
                <w:lang w:eastAsia="en-GB"/>
              </w:rPr>
              <w:t>8.</w:t>
            </w:r>
          </w:p>
        </w:tc>
        <w:tc>
          <w:tcPr>
            <w:tcW w:w="7551" w:type="dxa"/>
          </w:tcPr>
          <w:p w14:paraId="6D52AC49" w14:textId="77777777" w:rsidR="00540A2A" w:rsidRPr="00D44A58" w:rsidRDefault="00540A2A" w:rsidP="00540A2A">
            <w:pPr>
              <w:jc w:val="both"/>
              <w:rPr>
                <w:rFonts w:ascii="Times New Roman" w:eastAsia="Times New Roman" w:hAnsi="Times New Roman" w:cs="Times New Roman"/>
                <w:b/>
                <w:sz w:val="24"/>
                <w:szCs w:val="24"/>
                <w:lang w:eastAsia="bg-BG"/>
              </w:rPr>
            </w:pPr>
            <w:r w:rsidRPr="00D44A58">
              <w:rPr>
                <w:rFonts w:ascii="Times New Roman" w:eastAsia="Times New Roman" w:hAnsi="Times New Roman" w:cs="Times New Roman"/>
                <w:b/>
                <w:sz w:val="24"/>
                <w:szCs w:val="24"/>
                <w:lang w:eastAsia="bg-BG"/>
              </w:rPr>
              <w:t>Актуално състояние на инфраструктурата за алтернативни горива във водния транспорт</w:t>
            </w:r>
          </w:p>
        </w:tc>
        <w:tc>
          <w:tcPr>
            <w:tcW w:w="695" w:type="dxa"/>
          </w:tcPr>
          <w:p w14:paraId="17A86B87"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47</w:t>
            </w:r>
          </w:p>
        </w:tc>
      </w:tr>
      <w:tr w:rsidR="00540A2A" w:rsidRPr="002C36F8" w14:paraId="531B2124" w14:textId="77777777" w:rsidTr="00540A2A">
        <w:trPr>
          <w:trHeight w:val="579"/>
        </w:trPr>
        <w:tc>
          <w:tcPr>
            <w:tcW w:w="816" w:type="dxa"/>
          </w:tcPr>
          <w:p w14:paraId="17F9C0C0"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8.1</w:t>
            </w:r>
          </w:p>
        </w:tc>
        <w:tc>
          <w:tcPr>
            <w:tcW w:w="7551" w:type="dxa"/>
          </w:tcPr>
          <w:p w14:paraId="636449DC"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Наземно електроснабдяване в морските пристанища и пристанищата по вътрешните водни пътища </w:t>
            </w:r>
          </w:p>
        </w:tc>
        <w:tc>
          <w:tcPr>
            <w:tcW w:w="695" w:type="dxa"/>
          </w:tcPr>
          <w:p w14:paraId="19725B09"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48</w:t>
            </w:r>
          </w:p>
        </w:tc>
      </w:tr>
      <w:tr w:rsidR="00540A2A" w:rsidRPr="002C36F8" w14:paraId="7E3C6132" w14:textId="77777777" w:rsidTr="00540A2A">
        <w:tc>
          <w:tcPr>
            <w:tcW w:w="816" w:type="dxa"/>
          </w:tcPr>
          <w:p w14:paraId="52D336BF"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8.1.1</w:t>
            </w:r>
          </w:p>
        </w:tc>
        <w:tc>
          <w:tcPr>
            <w:tcW w:w="7551" w:type="dxa"/>
          </w:tcPr>
          <w:p w14:paraId="0BE820F8"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Морски пристанища по основната TEN-T мрежа</w:t>
            </w:r>
          </w:p>
        </w:tc>
        <w:tc>
          <w:tcPr>
            <w:tcW w:w="695" w:type="dxa"/>
          </w:tcPr>
          <w:p w14:paraId="63458CEE"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48</w:t>
            </w:r>
          </w:p>
        </w:tc>
      </w:tr>
      <w:tr w:rsidR="00540A2A" w:rsidRPr="002C36F8" w14:paraId="0E97B4A5" w14:textId="77777777" w:rsidTr="00540A2A">
        <w:tc>
          <w:tcPr>
            <w:tcW w:w="816" w:type="dxa"/>
          </w:tcPr>
          <w:p w14:paraId="6D69BA17"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8.1.2</w:t>
            </w:r>
          </w:p>
        </w:tc>
        <w:tc>
          <w:tcPr>
            <w:tcW w:w="7551" w:type="dxa"/>
          </w:tcPr>
          <w:p w14:paraId="0C14F92C"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Морски пристанища извън основната TEN-T мрежа</w:t>
            </w:r>
          </w:p>
        </w:tc>
        <w:tc>
          <w:tcPr>
            <w:tcW w:w="695" w:type="dxa"/>
          </w:tcPr>
          <w:p w14:paraId="1BA7C75B"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48</w:t>
            </w:r>
          </w:p>
        </w:tc>
      </w:tr>
      <w:tr w:rsidR="00540A2A" w:rsidRPr="002C36F8" w14:paraId="73F3D5A3" w14:textId="77777777" w:rsidTr="00540A2A">
        <w:tc>
          <w:tcPr>
            <w:tcW w:w="816" w:type="dxa"/>
          </w:tcPr>
          <w:p w14:paraId="6CF9D576"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8.1.3</w:t>
            </w:r>
          </w:p>
        </w:tc>
        <w:tc>
          <w:tcPr>
            <w:tcW w:w="7551" w:type="dxa"/>
          </w:tcPr>
          <w:p w14:paraId="477F008F"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Пристанища по вътрешните водни пътища в рамките на основната TEN-T мрежа</w:t>
            </w:r>
          </w:p>
        </w:tc>
        <w:tc>
          <w:tcPr>
            <w:tcW w:w="695" w:type="dxa"/>
          </w:tcPr>
          <w:p w14:paraId="6E454EFB"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49</w:t>
            </w:r>
          </w:p>
        </w:tc>
      </w:tr>
      <w:tr w:rsidR="00540A2A" w:rsidRPr="002C36F8" w14:paraId="04BEC447" w14:textId="77777777" w:rsidTr="00540A2A">
        <w:tc>
          <w:tcPr>
            <w:tcW w:w="816" w:type="dxa"/>
          </w:tcPr>
          <w:p w14:paraId="6C57C220"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8.1.4</w:t>
            </w:r>
          </w:p>
        </w:tc>
        <w:tc>
          <w:tcPr>
            <w:tcW w:w="7551" w:type="dxa"/>
          </w:tcPr>
          <w:p w14:paraId="7DBF45D3" w14:textId="77777777" w:rsidR="00540A2A" w:rsidRPr="002C36F8" w:rsidRDefault="003117F0" w:rsidP="00540A2A">
            <w:hyperlink w:anchor="page26" w:history="1">
              <w:r w:rsidR="00540A2A" w:rsidRPr="002C36F8">
                <w:rPr>
                  <w:rFonts w:ascii="Times New Roman" w:eastAsia="Times New Roman" w:hAnsi="Times New Roman" w:cs="Times New Roman"/>
                  <w:i/>
                  <w:color w:val="000000"/>
                  <w:sz w:val="24"/>
                  <w:szCs w:val="24"/>
                  <w:lang w:eastAsia="bg-BG"/>
                </w:rPr>
                <w:t>Пристанища по вътрешните водни пътища извън основната TEN-T мрежа.</w:t>
              </w:r>
            </w:hyperlink>
          </w:p>
        </w:tc>
        <w:tc>
          <w:tcPr>
            <w:tcW w:w="695" w:type="dxa"/>
          </w:tcPr>
          <w:p w14:paraId="2DE6A7C4"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49</w:t>
            </w:r>
          </w:p>
        </w:tc>
      </w:tr>
      <w:tr w:rsidR="00540A2A" w:rsidRPr="002C36F8" w14:paraId="62683439" w14:textId="77777777" w:rsidTr="00540A2A">
        <w:tc>
          <w:tcPr>
            <w:tcW w:w="816" w:type="dxa"/>
          </w:tcPr>
          <w:p w14:paraId="257C8281"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8.2.</w:t>
            </w:r>
          </w:p>
        </w:tc>
        <w:tc>
          <w:tcPr>
            <w:tcW w:w="7551" w:type="dxa"/>
          </w:tcPr>
          <w:p w14:paraId="34A756DF" w14:textId="77777777" w:rsidR="00540A2A" w:rsidRPr="002C36F8" w:rsidRDefault="00540A2A" w:rsidP="00540A2A">
            <w:pPr>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Снабдяване на водния транспорт с втечнен природен газ</w:t>
            </w:r>
          </w:p>
        </w:tc>
        <w:tc>
          <w:tcPr>
            <w:tcW w:w="695" w:type="dxa"/>
          </w:tcPr>
          <w:p w14:paraId="12BC71D8"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49</w:t>
            </w:r>
          </w:p>
        </w:tc>
      </w:tr>
      <w:tr w:rsidR="00540A2A" w:rsidRPr="002C36F8" w14:paraId="3D77DD10" w14:textId="77777777" w:rsidTr="00540A2A">
        <w:tc>
          <w:tcPr>
            <w:tcW w:w="816" w:type="dxa"/>
          </w:tcPr>
          <w:p w14:paraId="52A856DB" w14:textId="77777777" w:rsidR="00540A2A" w:rsidRPr="00D44A58" w:rsidRDefault="00540A2A" w:rsidP="00540A2A">
            <w:pPr>
              <w:jc w:val="both"/>
              <w:rPr>
                <w:rFonts w:ascii="Times New Roman" w:eastAsia="Times New Roman" w:hAnsi="Times New Roman" w:cs="Times New Roman"/>
                <w:b/>
                <w:noProof/>
                <w:sz w:val="24"/>
                <w:szCs w:val="24"/>
                <w:lang w:eastAsia="en-GB"/>
              </w:rPr>
            </w:pPr>
            <w:r w:rsidRPr="00D44A58">
              <w:rPr>
                <w:rFonts w:ascii="Times New Roman" w:eastAsia="Times New Roman" w:hAnsi="Times New Roman" w:cs="Times New Roman"/>
                <w:b/>
                <w:noProof/>
                <w:sz w:val="24"/>
                <w:szCs w:val="24"/>
                <w:lang w:eastAsia="en-GB"/>
              </w:rPr>
              <w:t>9.</w:t>
            </w:r>
          </w:p>
        </w:tc>
        <w:tc>
          <w:tcPr>
            <w:tcW w:w="7551" w:type="dxa"/>
          </w:tcPr>
          <w:p w14:paraId="1F18FBD5" w14:textId="77777777" w:rsidR="00540A2A" w:rsidRPr="00D44A58" w:rsidRDefault="00540A2A" w:rsidP="00540A2A">
            <w:pPr>
              <w:rPr>
                <w:rFonts w:ascii="Times New Roman" w:eastAsia="Times New Roman" w:hAnsi="Times New Roman" w:cs="Times New Roman"/>
                <w:b/>
                <w:color w:val="000000"/>
                <w:sz w:val="24"/>
                <w:szCs w:val="24"/>
                <w:lang w:eastAsia="bg-BG"/>
              </w:rPr>
            </w:pPr>
            <w:r w:rsidRPr="00D44A58">
              <w:rPr>
                <w:rFonts w:ascii="Times New Roman" w:eastAsia="Times New Roman" w:hAnsi="Times New Roman" w:cs="Times New Roman"/>
                <w:b/>
                <w:color w:val="000000"/>
                <w:sz w:val="24"/>
                <w:szCs w:val="24"/>
                <w:lang w:eastAsia="bg-BG"/>
              </w:rPr>
              <w:t>Актуално състояние на инфраструктурата за алтернативни горива във въздушния транспорт</w:t>
            </w:r>
          </w:p>
        </w:tc>
        <w:tc>
          <w:tcPr>
            <w:tcW w:w="695" w:type="dxa"/>
          </w:tcPr>
          <w:p w14:paraId="1C81DFEA"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53</w:t>
            </w:r>
          </w:p>
        </w:tc>
      </w:tr>
      <w:tr w:rsidR="00540A2A" w:rsidRPr="002C36F8" w14:paraId="42D35934" w14:textId="77777777" w:rsidTr="00540A2A">
        <w:tc>
          <w:tcPr>
            <w:tcW w:w="816" w:type="dxa"/>
          </w:tcPr>
          <w:p w14:paraId="3A688C79" w14:textId="77777777" w:rsidR="00540A2A" w:rsidRPr="002C36F8" w:rsidRDefault="00540A2A" w:rsidP="00540A2A">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9.1</w:t>
            </w:r>
          </w:p>
        </w:tc>
        <w:tc>
          <w:tcPr>
            <w:tcW w:w="7551" w:type="dxa"/>
          </w:tcPr>
          <w:p w14:paraId="57E1D9BE"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t>Електрозахранване на летищата</w:t>
            </w:r>
          </w:p>
        </w:tc>
        <w:tc>
          <w:tcPr>
            <w:tcW w:w="695" w:type="dxa"/>
          </w:tcPr>
          <w:p w14:paraId="0E6B3B6C"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53</w:t>
            </w:r>
          </w:p>
        </w:tc>
      </w:tr>
      <w:tr w:rsidR="00540A2A" w:rsidRPr="002C36F8" w14:paraId="6D4E5F2E" w14:textId="77777777" w:rsidTr="00540A2A">
        <w:tc>
          <w:tcPr>
            <w:tcW w:w="816" w:type="dxa"/>
          </w:tcPr>
          <w:p w14:paraId="4111F7DB" w14:textId="77777777" w:rsidR="00540A2A" w:rsidRPr="002C36F8" w:rsidRDefault="00540A2A" w:rsidP="00540A2A">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9.1.1</w:t>
            </w:r>
          </w:p>
        </w:tc>
        <w:tc>
          <w:tcPr>
            <w:tcW w:w="7551" w:type="dxa"/>
          </w:tcPr>
          <w:p w14:paraId="695E6FD6" w14:textId="77777777" w:rsidR="00540A2A" w:rsidRPr="002C36F8" w:rsidRDefault="00540A2A" w:rsidP="00540A2A">
            <w:pPr>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t xml:space="preserve">Летища в основната </w:t>
            </w:r>
            <w:r w:rsidRPr="002C36F8">
              <w:rPr>
                <w:rFonts w:ascii="Times New Roman" w:eastAsia="Times New Roman" w:hAnsi="Times New Roman" w:cs="Times New Roman"/>
                <w:i/>
                <w:sz w:val="24"/>
                <w:szCs w:val="24"/>
                <w:lang w:val="en-US" w:eastAsia="bg-BG"/>
              </w:rPr>
              <w:t>TEN</w:t>
            </w:r>
            <w:r w:rsidRPr="002C36F8">
              <w:rPr>
                <w:rFonts w:ascii="Times New Roman" w:eastAsia="Times New Roman" w:hAnsi="Times New Roman" w:cs="Times New Roman"/>
                <w:i/>
                <w:sz w:val="24"/>
                <w:szCs w:val="24"/>
                <w:lang w:val="ru-RU" w:eastAsia="bg-BG"/>
              </w:rPr>
              <w:t>-</w:t>
            </w:r>
            <w:r w:rsidRPr="002C36F8">
              <w:rPr>
                <w:rFonts w:ascii="Times New Roman" w:eastAsia="Times New Roman" w:hAnsi="Times New Roman" w:cs="Times New Roman"/>
                <w:i/>
                <w:sz w:val="24"/>
                <w:szCs w:val="24"/>
                <w:lang w:val="en-US" w:eastAsia="bg-BG"/>
              </w:rPr>
              <w:t>T</w:t>
            </w:r>
            <w:r w:rsidRPr="002C36F8">
              <w:rPr>
                <w:rFonts w:ascii="Times New Roman" w:eastAsia="Times New Roman" w:hAnsi="Times New Roman" w:cs="Times New Roman"/>
                <w:i/>
                <w:sz w:val="24"/>
                <w:szCs w:val="24"/>
                <w:lang w:eastAsia="bg-BG"/>
              </w:rPr>
              <w:t xml:space="preserve"> мрежа</w:t>
            </w:r>
          </w:p>
        </w:tc>
        <w:tc>
          <w:tcPr>
            <w:tcW w:w="695" w:type="dxa"/>
          </w:tcPr>
          <w:p w14:paraId="66F5586E"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54</w:t>
            </w:r>
          </w:p>
        </w:tc>
      </w:tr>
      <w:tr w:rsidR="00540A2A" w:rsidRPr="002C36F8" w14:paraId="15022F66" w14:textId="77777777" w:rsidTr="00540A2A">
        <w:tc>
          <w:tcPr>
            <w:tcW w:w="816" w:type="dxa"/>
          </w:tcPr>
          <w:p w14:paraId="72A66523" w14:textId="77777777" w:rsidR="00540A2A" w:rsidRPr="002C36F8" w:rsidRDefault="00540A2A" w:rsidP="00540A2A">
            <w:pPr>
              <w:jc w:val="both"/>
              <w:rPr>
                <w:rFonts w:ascii="Times New Roman" w:eastAsia="Times New Roman" w:hAnsi="Times New Roman" w:cs="Times New Roman"/>
                <w:i/>
                <w:noProof/>
                <w:sz w:val="24"/>
                <w:szCs w:val="24"/>
                <w:lang w:eastAsia="en-GB"/>
              </w:rPr>
            </w:pPr>
          </w:p>
        </w:tc>
        <w:tc>
          <w:tcPr>
            <w:tcW w:w="7551" w:type="dxa"/>
          </w:tcPr>
          <w:p w14:paraId="7482F29D" w14:textId="77777777" w:rsidR="00540A2A" w:rsidRPr="002C36F8" w:rsidRDefault="00540A2A" w:rsidP="00540A2A">
            <w:pPr>
              <w:jc w:val="both"/>
              <w:rPr>
                <w:rFonts w:ascii="Times New Roman" w:eastAsia="Times New Roman" w:hAnsi="Times New Roman" w:cs="Times New Roman"/>
                <w:i/>
                <w:iCs/>
                <w:sz w:val="24"/>
                <w:szCs w:val="24"/>
                <w:lang w:eastAsia="bg-BG"/>
              </w:rPr>
            </w:pPr>
            <w:r w:rsidRPr="002C36F8">
              <w:rPr>
                <w:rFonts w:ascii="Times New Roman" w:eastAsia="Times New Roman" w:hAnsi="Times New Roman" w:cs="Times New Roman"/>
                <w:i/>
                <w:iCs/>
                <w:sz w:val="24"/>
                <w:szCs w:val="24"/>
                <w:lang w:eastAsia="bg-BG"/>
              </w:rPr>
              <w:t xml:space="preserve"> Стационарно наземно електрозахранване </w:t>
            </w:r>
            <w:r w:rsidRPr="008045CD">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Fixed</w:t>
            </w:r>
            <w:r w:rsidRPr="008045CD">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Electrical</w:t>
            </w:r>
            <w:r w:rsidRPr="008045CD">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Ground</w:t>
            </w:r>
            <w:r w:rsidRPr="008045CD">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Power</w:t>
            </w:r>
            <w:r w:rsidRPr="008045CD">
              <w:rPr>
                <w:rFonts w:ascii="Times New Roman" w:eastAsia="Times New Roman" w:hAnsi="Times New Roman" w:cs="Times New Roman"/>
                <w:i/>
                <w:iCs/>
                <w:sz w:val="24"/>
                <w:szCs w:val="24"/>
                <w:lang w:eastAsia="bg-BG"/>
              </w:rPr>
              <w:t xml:space="preserve"> - </w:t>
            </w:r>
            <w:r w:rsidRPr="002C36F8">
              <w:rPr>
                <w:rFonts w:ascii="Times New Roman" w:eastAsia="Times New Roman" w:hAnsi="Times New Roman" w:cs="Times New Roman"/>
                <w:i/>
                <w:iCs/>
                <w:sz w:val="24"/>
                <w:szCs w:val="24"/>
                <w:lang w:val="en-US" w:eastAsia="bg-BG"/>
              </w:rPr>
              <w:t>FEGP</w:t>
            </w:r>
            <w:r w:rsidRPr="008045CD">
              <w:rPr>
                <w:rFonts w:ascii="Times New Roman" w:eastAsia="Times New Roman" w:hAnsi="Times New Roman" w:cs="Times New Roman"/>
                <w:i/>
                <w:iCs/>
                <w:sz w:val="24"/>
                <w:szCs w:val="24"/>
                <w:lang w:eastAsia="bg-BG"/>
              </w:rPr>
              <w:t>)</w:t>
            </w:r>
          </w:p>
        </w:tc>
        <w:tc>
          <w:tcPr>
            <w:tcW w:w="695" w:type="dxa"/>
          </w:tcPr>
          <w:p w14:paraId="5EA25776"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54</w:t>
            </w:r>
          </w:p>
        </w:tc>
      </w:tr>
      <w:tr w:rsidR="00540A2A" w:rsidRPr="00D44A58" w14:paraId="76948607" w14:textId="77777777" w:rsidTr="00540A2A">
        <w:tc>
          <w:tcPr>
            <w:tcW w:w="816" w:type="dxa"/>
          </w:tcPr>
          <w:p w14:paraId="0FE11441" w14:textId="77777777" w:rsidR="00540A2A" w:rsidRPr="002C36F8" w:rsidRDefault="00540A2A" w:rsidP="00540A2A">
            <w:pPr>
              <w:jc w:val="both"/>
              <w:rPr>
                <w:rFonts w:ascii="Times New Roman" w:eastAsia="Times New Roman" w:hAnsi="Times New Roman" w:cs="Times New Roman"/>
                <w:i/>
                <w:noProof/>
                <w:sz w:val="24"/>
                <w:szCs w:val="24"/>
                <w:lang w:eastAsia="en-GB"/>
              </w:rPr>
            </w:pPr>
          </w:p>
        </w:tc>
        <w:tc>
          <w:tcPr>
            <w:tcW w:w="7551" w:type="dxa"/>
          </w:tcPr>
          <w:p w14:paraId="48D2BDEE" w14:textId="77777777" w:rsidR="00540A2A" w:rsidRPr="002C36F8" w:rsidRDefault="00540A2A" w:rsidP="00540A2A">
            <w:pPr>
              <w:ind w:left="819" w:hanging="819"/>
              <w:jc w:val="both"/>
              <w:rPr>
                <w:rFonts w:ascii="Times New Roman" w:eastAsia="Times New Roman" w:hAnsi="Times New Roman" w:cs="Times New Roman"/>
                <w:i/>
                <w:iCs/>
                <w:sz w:val="24"/>
                <w:szCs w:val="24"/>
                <w:lang w:eastAsia="bg-BG"/>
              </w:rPr>
            </w:pPr>
            <w:r w:rsidRPr="002C36F8">
              <w:rPr>
                <w:rFonts w:ascii="Times New Roman" w:eastAsia="Times New Roman" w:hAnsi="Times New Roman" w:cs="Times New Roman"/>
                <w:i/>
                <w:iCs/>
                <w:sz w:val="24"/>
                <w:szCs w:val="24"/>
                <w:lang w:eastAsia="bg-BG"/>
              </w:rPr>
              <w:t xml:space="preserve"> Стационарни системи за кондициониране на въздух </w:t>
            </w:r>
            <w:r w:rsidRPr="008045CD">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Pre</w:t>
            </w:r>
            <w:r w:rsidRPr="008045CD">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Conditioned</w:t>
            </w:r>
            <w:r w:rsidRPr="008045CD">
              <w:rPr>
                <w:rFonts w:ascii="Times New Roman" w:eastAsia="Times New Roman" w:hAnsi="Times New Roman" w:cs="Times New Roman"/>
                <w:bCs/>
                <w:sz w:val="24"/>
                <w:szCs w:val="24"/>
                <w:lang w:eastAsia="bg-BG"/>
              </w:rPr>
              <w:t xml:space="preserve"> </w:t>
            </w:r>
            <w:r w:rsidRPr="002C36F8">
              <w:rPr>
                <w:rFonts w:ascii="Times New Roman" w:eastAsia="Times New Roman" w:hAnsi="Times New Roman" w:cs="Times New Roman"/>
                <w:bCs/>
                <w:sz w:val="24"/>
                <w:szCs w:val="24"/>
                <w:lang w:val="en-US" w:eastAsia="bg-BG"/>
              </w:rPr>
              <w:t>Air</w:t>
            </w:r>
            <w:r w:rsidRPr="008045CD">
              <w:rPr>
                <w:rFonts w:ascii="Times New Roman" w:eastAsia="Times New Roman" w:hAnsi="Times New Roman" w:cs="Times New Roman"/>
                <w:bCs/>
                <w:sz w:val="24"/>
                <w:szCs w:val="24"/>
                <w:lang w:eastAsia="bg-BG"/>
              </w:rPr>
              <w:t xml:space="preserve"> </w:t>
            </w:r>
            <w:r w:rsidRPr="002C36F8">
              <w:rPr>
                <w:rFonts w:ascii="Times New Roman" w:eastAsia="Times New Roman" w:hAnsi="Times New Roman" w:cs="Times New Roman"/>
                <w:i/>
                <w:iCs/>
                <w:sz w:val="24"/>
                <w:szCs w:val="24"/>
                <w:lang w:val="en-US" w:eastAsia="bg-BG"/>
              </w:rPr>
              <w:t>PC</w:t>
            </w:r>
            <w:r w:rsidRPr="008045CD">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A</w:t>
            </w:r>
            <w:r w:rsidRPr="008045CD">
              <w:rPr>
                <w:rFonts w:ascii="Times New Roman" w:eastAsia="Times New Roman" w:hAnsi="Times New Roman" w:cs="Times New Roman"/>
                <w:i/>
                <w:iCs/>
                <w:sz w:val="24"/>
                <w:szCs w:val="24"/>
                <w:lang w:eastAsia="bg-BG"/>
              </w:rPr>
              <w:t>)</w:t>
            </w:r>
          </w:p>
        </w:tc>
        <w:tc>
          <w:tcPr>
            <w:tcW w:w="695" w:type="dxa"/>
          </w:tcPr>
          <w:p w14:paraId="57CD35C4"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54</w:t>
            </w:r>
          </w:p>
        </w:tc>
      </w:tr>
      <w:tr w:rsidR="00540A2A" w:rsidRPr="002C36F8" w14:paraId="7C99CD7F" w14:textId="77777777" w:rsidTr="00540A2A">
        <w:tc>
          <w:tcPr>
            <w:tcW w:w="816" w:type="dxa"/>
          </w:tcPr>
          <w:p w14:paraId="3AE6B4FA" w14:textId="77777777" w:rsidR="00540A2A" w:rsidRPr="002C36F8" w:rsidRDefault="00540A2A" w:rsidP="00540A2A">
            <w:pPr>
              <w:jc w:val="both"/>
              <w:rPr>
                <w:rFonts w:ascii="Times New Roman" w:eastAsia="Times New Roman" w:hAnsi="Times New Roman" w:cs="Times New Roman"/>
                <w:i/>
                <w:noProof/>
                <w:sz w:val="24"/>
                <w:szCs w:val="24"/>
                <w:lang w:eastAsia="en-GB"/>
              </w:rPr>
            </w:pPr>
          </w:p>
        </w:tc>
        <w:tc>
          <w:tcPr>
            <w:tcW w:w="7551" w:type="dxa"/>
          </w:tcPr>
          <w:p w14:paraId="3FB9AD2B" w14:textId="77777777" w:rsidR="00540A2A" w:rsidRPr="002C36F8" w:rsidRDefault="00540A2A" w:rsidP="00540A2A">
            <w:pPr>
              <w:ind w:left="819" w:hanging="819"/>
            </w:pPr>
            <w:r w:rsidRPr="002C36F8">
              <w:rPr>
                <w:rFonts w:ascii="Times New Roman" w:eastAsia="Times New Roman" w:hAnsi="Times New Roman" w:cs="Times New Roman"/>
                <w:i/>
                <w:iCs/>
                <w:sz w:val="24"/>
                <w:szCs w:val="24"/>
                <w:lang w:eastAsia="bg-BG"/>
              </w:rPr>
              <w:t xml:space="preserve"> Мобилни електроагрегати и кондиционери </w:t>
            </w:r>
            <w:r w:rsidRPr="008045CD">
              <w:rPr>
                <w:rFonts w:ascii="Times New Roman" w:eastAsia="Times New Roman" w:hAnsi="Times New Roman" w:cs="Times New Roman"/>
                <w:i/>
                <w:sz w:val="24"/>
                <w:szCs w:val="24"/>
                <w:lang w:eastAsia="bg-BG"/>
              </w:rPr>
              <w:t>(</w:t>
            </w:r>
            <w:r w:rsidRPr="002C36F8">
              <w:rPr>
                <w:rFonts w:ascii="Times New Roman" w:eastAsia="Times New Roman" w:hAnsi="Times New Roman" w:cs="Times New Roman"/>
                <w:i/>
                <w:sz w:val="24"/>
                <w:szCs w:val="24"/>
                <w:lang w:val="en-US" w:eastAsia="bg-BG"/>
              </w:rPr>
              <w:t>Ground</w:t>
            </w:r>
            <w:r w:rsidRPr="008045CD">
              <w:rPr>
                <w:rFonts w:ascii="Times New Roman" w:eastAsia="Times New Roman" w:hAnsi="Times New Roman" w:cs="Times New Roman"/>
                <w:i/>
                <w:sz w:val="24"/>
                <w:szCs w:val="24"/>
                <w:lang w:eastAsia="bg-BG"/>
              </w:rPr>
              <w:t xml:space="preserve"> </w:t>
            </w:r>
            <w:r w:rsidRPr="002C36F8">
              <w:rPr>
                <w:rFonts w:ascii="Times New Roman" w:eastAsia="Times New Roman" w:hAnsi="Times New Roman" w:cs="Times New Roman"/>
                <w:i/>
                <w:sz w:val="24"/>
                <w:szCs w:val="24"/>
                <w:lang w:val="en-US" w:eastAsia="bg-BG"/>
              </w:rPr>
              <w:t>Power</w:t>
            </w:r>
            <w:r w:rsidRPr="008045CD">
              <w:rPr>
                <w:rFonts w:ascii="Times New Roman" w:eastAsia="Times New Roman" w:hAnsi="Times New Roman" w:cs="Times New Roman"/>
                <w:i/>
                <w:sz w:val="24"/>
                <w:szCs w:val="24"/>
                <w:lang w:eastAsia="bg-BG"/>
              </w:rPr>
              <w:t xml:space="preserve"> </w:t>
            </w:r>
            <w:r w:rsidRPr="002C36F8">
              <w:rPr>
                <w:rFonts w:ascii="Times New Roman" w:eastAsia="Times New Roman" w:hAnsi="Times New Roman" w:cs="Times New Roman"/>
                <w:i/>
                <w:sz w:val="24"/>
                <w:szCs w:val="24"/>
                <w:lang w:val="en-US" w:eastAsia="bg-BG"/>
              </w:rPr>
              <w:t>Unit</w:t>
            </w:r>
            <w:r w:rsidRPr="008045CD">
              <w:rPr>
                <w:rFonts w:ascii="Times New Roman" w:eastAsia="Times New Roman" w:hAnsi="Times New Roman" w:cs="Times New Roman"/>
                <w:i/>
                <w:sz w:val="24"/>
                <w:szCs w:val="24"/>
                <w:lang w:eastAsia="bg-BG"/>
              </w:rPr>
              <w:t xml:space="preserve"> </w:t>
            </w:r>
            <w:r w:rsidRPr="002C36F8">
              <w:rPr>
                <w:rFonts w:ascii="Times New Roman" w:eastAsia="Times New Roman" w:hAnsi="Times New Roman" w:cs="Times New Roman"/>
                <w:i/>
                <w:sz w:val="24"/>
                <w:szCs w:val="24"/>
                <w:lang w:eastAsia="bg-BG"/>
              </w:rPr>
              <w:t xml:space="preserve">- </w:t>
            </w:r>
            <w:r w:rsidRPr="002C36F8">
              <w:rPr>
                <w:rFonts w:ascii="Times New Roman" w:eastAsia="Times New Roman" w:hAnsi="Times New Roman" w:cs="Times New Roman"/>
                <w:i/>
                <w:sz w:val="24"/>
                <w:szCs w:val="24"/>
                <w:lang w:val="en-US" w:eastAsia="bg-BG"/>
              </w:rPr>
              <w:t>GPU</w:t>
            </w:r>
            <w:r w:rsidRPr="008045CD">
              <w:rPr>
                <w:rFonts w:ascii="Times New Roman" w:eastAsia="Times New Roman" w:hAnsi="Times New Roman" w:cs="Times New Roman"/>
                <w:i/>
                <w:sz w:val="24"/>
                <w:szCs w:val="24"/>
                <w:lang w:eastAsia="bg-BG"/>
              </w:rPr>
              <w:t>)</w:t>
            </w:r>
          </w:p>
        </w:tc>
        <w:tc>
          <w:tcPr>
            <w:tcW w:w="695" w:type="dxa"/>
          </w:tcPr>
          <w:p w14:paraId="51351600"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55</w:t>
            </w:r>
          </w:p>
        </w:tc>
      </w:tr>
      <w:tr w:rsidR="00540A2A" w:rsidRPr="002C36F8" w14:paraId="3B70ED4E" w14:textId="77777777" w:rsidTr="00540A2A">
        <w:tc>
          <w:tcPr>
            <w:tcW w:w="816" w:type="dxa"/>
          </w:tcPr>
          <w:p w14:paraId="336D76A0" w14:textId="77777777" w:rsidR="00540A2A" w:rsidRPr="002C36F8" w:rsidRDefault="00540A2A" w:rsidP="00540A2A">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9.1.2</w:t>
            </w:r>
          </w:p>
        </w:tc>
        <w:tc>
          <w:tcPr>
            <w:tcW w:w="7551" w:type="dxa"/>
          </w:tcPr>
          <w:p w14:paraId="096CAAC6"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sz w:val="24"/>
                <w:szCs w:val="24"/>
                <w:lang w:eastAsia="bg-BG"/>
              </w:rPr>
              <w:t xml:space="preserve">Летища извън основната </w:t>
            </w:r>
            <w:r w:rsidRPr="002C36F8">
              <w:rPr>
                <w:rFonts w:ascii="Times New Roman" w:eastAsia="Times New Roman" w:hAnsi="Times New Roman" w:cs="Times New Roman"/>
                <w:i/>
                <w:sz w:val="24"/>
                <w:szCs w:val="24"/>
                <w:lang w:val="en-US" w:eastAsia="bg-BG"/>
              </w:rPr>
              <w:t>TEN</w:t>
            </w:r>
            <w:r w:rsidRPr="002C36F8">
              <w:rPr>
                <w:rFonts w:ascii="Times New Roman" w:eastAsia="Times New Roman" w:hAnsi="Times New Roman" w:cs="Times New Roman"/>
                <w:i/>
                <w:sz w:val="24"/>
                <w:szCs w:val="24"/>
                <w:lang w:val="ru-RU" w:eastAsia="bg-BG"/>
              </w:rPr>
              <w:t>-</w:t>
            </w:r>
            <w:r w:rsidRPr="002C36F8">
              <w:rPr>
                <w:rFonts w:ascii="Times New Roman" w:eastAsia="Times New Roman" w:hAnsi="Times New Roman" w:cs="Times New Roman"/>
                <w:i/>
                <w:sz w:val="24"/>
                <w:szCs w:val="24"/>
                <w:lang w:val="en-US" w:eastAsia="bg-BG"/>
              </w:rPr>
              <w:t>T</w:t>
            </w:r>
            <w:r w:rsidRPr="002C36F8">
              <w:rPr>
                <w:rFonts w:ascii="Times New Roman" w:eastAsia="Times New Roman" w:hAnsi="Times New Roman" w:cs="Times New Roman"/>
                <w:i/>
                <w:sz w:val="24"/>
                <w:szCs w:val="24"/>
                <w:lang w:eastAsia="bg-BG"/>
              </w:rPr>
              <w:t xml:space="preserve"> мрежа</w:t>
            </w:r>
          </w:p>
        </w:tc>
        <w:tc>
          <w:tcPr>
            <w:tcW w:w="695" w:type="dxa"/>
          </w:tcPr>
          <w:p w14:paraId="28E02ED2"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55</w:t>
            </w:r>
          </w:p>
        </w:tc>
      </w:tr>
      <w:tr w:rsidR="00540A2A" w:rsidRPr="002C36F8" w14:paraId="0996EA7D" w14:textId="77777777" w:rsidTr="00540A2A">
        <w:tc>
          <w:tcPr>
            <w:tcW w:w="816" w:type="dxa"/>
          </w:tcPr>
          <w:p w14:paraId="764C99F5" w14:textId="77777777" w:rsidR="00540A2A" w:rsidRPr="00D44A58" w:rsidRDefault="00540A2A" w:rsidP="00540A2A">
            <w:pPr>
              <w:jc w:val="both"/>
              <w:rPr>
                <w:rFonts w:ascii="Times New Roman" w:eastAsia="Times New Roman" w:hAnsi="Times New Roman" w:cs="Times New Roman"/>
                <w:b/>
                <w:i/>
                <w:noProof/>
                <w:sz w:val="24"/>
                <w:szCs w:val="24"/>
                <w:lang w:eastAsia="en-GB"/>
              </w:rPr>
            </w:pPr>
            <w:r w:rsidRPr="00D44A58">
              <w:rPr>
                <w:rFonts w:ascii="Times New Roman" w:eastAsia="Times New Roman" w:hAnsi="Times New Roman" w:cs="Times New Roman"/>
                <w:b/>
                <w:i/>
                <w:noProof/>
                <w:sz w:val="24"/>
                <w:szCs w:val="24"/>
                <w:lang w:val="en-US" w:eastAsia="en-GB"/>
              </w:rPr>
              <w:t>10</w:t>
            </w:r>
            <w:r w:rsidRPr="00D44A58">
              <w:rPr>
                <w:rFonts w:ascii="Times New Roman" w:eastAsia="Times New Roman" w:hAnsi="Times New Roman" w:cs="Times New Roman"/>
                <w:b/>
                <w:i/>
                <w:noProof/>
                <w:sz w:val="24"/>
                <w:szCs w:val="24"/>
                <w:lang w:eastAsia="en-GB"/>
              </w:rPr>
              <w:t>.</w:t>
            </w:r>
          </w:p>
        </w:tc>
        <w:tc>
          <w:tcPr>
            <w:tcW w:w="7551" w:type="dxa"/>
          </w:tcPr>
          <w:p w14:paraId="73BB36EC" w14:textId="77777777" w:rsidR="00540A2A" w:rsidRPr="00D44A58" w:rsidRDefault="00540A2A" w:rsidP="00540A2A">
            <w:pPr>
              <w:jc w:val="both"/>
              <w:rPr>
                <w:rFonts w:ascii="Times New Roman" w:eastAsia="Times New Roman" w:hAnsi="Times New Roman" w:cs="Times New Roman"/>
                <w:b/>
                <w:color w:val="000000"/>
                <w:sz w:val="24"/>
                <w:szCs w:val="24"/>
                <w:lang w:eastAsia="bg-BG"/>
              </w:rPr>
            </w:pPr>
            <w:r w:rsidRPr="00D44A58">
              <w:rPr>
                <w:rFonts w:ascii="Times New Roman" w:hAnsi="Times New Roman" w:cs="Times New Roman"/>
                <w:b/>
                <w:sz w:val="24"/>
                <w:szCs w:val="24"/>
              </w:rPr>
              <w:t>Прогнози за навлизането на превозни средства с електрическо и водородно задвижване и за разгръщането на съответната зарядна инфраструктура в България</w:t>
            </w:r>
          </w:p>
        </w:tc>
        <w:tc>
          <w:tcPr>
            <w:tcW w:w="695" w:type="dxa"/>
          </w:tcPr>
          <w:p w14:paraId="703703BA"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55</w:t>
            </w:r>
          </w:p>
        </w:tc>
      </w:tr>
      <w:tr w:rsidR="00540A2A" w:rsidRPr="002C36F8" w14:paraId="1D96A0F5" w14:textId="77777777" w:rsidTr="00540A2A">
        <w:tc>
          <w:tcPr>
            <w:tcW w:w="816" w:type="dxa"/>
          </w:tcPr>
          <w:p w14:paraId="7DAE70E2"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10.1</w:t>
            </w:r>
          </w:p>
        </w:tc>
        <w:tc>
          <w:tcPr>
            <w:tcW w:w="7551" w:type="dxa"/>
          </w:tcPr>
          <w:p w14:paraId="282D8623" w14:textId="77777777" w:rsidR="00540A2A" w:rsidRDefault="00540A2A" w:rsidP="00540A2A">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Прогнозни цели и потенциални мерки за насърчаване навлизането на електрическите превозни средства</w:t>
            </w:r>
          </w:p>
          <w:p w14:paraId="757FC640" w14:textId="77777777" w:rsidR="00540A2A" w:rsidRPr="002C36F8" w:rsidRDefault="00540A2A" w:rsidP="00540A2A">
            <w:pPr>
              <w:jc w:val="both"/>
              <w:rPr>
                <w:rFonts w:ascii="Times New Roman" w:eastAsia="Times New Roman" w:hAnsi="Times New Roman" w:cs="Times New Roman"/>
                <w:i/>
                <w:color w:val="000000"/>
                <w:sz w:val="24"/>
                <w:szCs w:val="24"/>
                <w:lang w:eastAsia="bg-BG"/>
              </w:rPr>
            </w:pPr>
          </w:p>
        </w:tc>
        <w:tc>
          <w:tcPr>
            <w:tcW w:w="695" w:type="dxa"/>
          </w:tcPr>
          <w:p w14:paraId="41E587C6"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56</w:t>
            </w:r>
          </w:p>
        </w:tc>
      </w:tr>
      <w:tr w:rsidR="00540A2A" w:rsidRPr="002C36F8" w14:paraId="553F1B2C" w14:textId="77777777" w:rsidTr="00540A2A">
        <w:tc>
          <w:tcPr>
            <w:tcW w:w="816" w:type="dxa"/>
          </w:tcPr>
          <w:p w14:paraId="36A98B4E" w14:textId="77777777" w:rsidR="00540A2A"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10.2</w:t>
            </w:r>
          </w:p>
        </w:tc>
        <w:tc>
          <w:tcPr>
            <w:tcW w:w="7551" w:type="dxa"/>
          </w:tcPr>
          <w:p w14:paraId="215200EF" w14:textId="77777777" w:rsidR="00540A2A" w:rsidRDefault="00540A2A" w:rsidP="00540A2A">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Прогнозни цели и потенциални мерки за разгръщането на зарядна инфраструктура за електрически превозни средства</w:t>
            </w:r>
          </w:p>
          <w:p w14:paraId="61FAA33E" w14:textId="77777777" w:rsidR="00540A2A" w:rsidRDefault="00540A2A" w:rsidP="00540A2A">
            <w:pPr>
              <w:jc w:val="both"/>
              <w:rPr>
                <w:rFonts w:ascii="Times New Roman" w:eastAsia="Times New Roman" w:hAnsi="Times New Roman" w:cs="Times New Roman"/>
                <w:i/>
                <w:sz w:val="24"/>
                <w:szCs w:val="24"/>
                <w:lang w:eastAsia="bg-BG"/>
              </w:rPr>
            </w:pPr>
          </w:p>
        </w:tc>
        <w:tc>
          <w:tcPr>
            <w:tcW w:w="695" w:type="dxa"/>
          </w:tcPr>
          <w:p w14:paraId="67557A3B"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59</w:t>
            </w:r>
          </w:p>
        </w:tc>
      </w:tr>
      <w:tr w:rsidR="00540A2A" w:rsidRPr="002C36F8" w14:paraId="461ADAF8" w14:textId="77777777" w:rsidTr="00540A2A">
        <w:tc>
          <w:tcPr>
            <w:tcW w:w="816" w:type="dxa"/>
          </w:tcPr>
          <w:p w14:paraId="71025CD8" w14:textId="77777777" w:rsidR="00540A2A" w:rsidRPr="002C36F8" w:rsidRDefault="00540A2A" w:rsidP="00540A2A">
            <w:pPr>
              <w:jc w:val="both"/>
              <w:rPr>
                <w:rFonts w:ascii="Times New Roman" w:eastAsia="Times New Roman" w:hAnsi="Times New Roman" w:cs="Times New Roman"/>
                <w:i/>
                <w:noProof/>
                <w:sz w:val="24"/>
                <w:szCs w:val="24"/>
                <w:lang w:eastAsia="en-GB"/>
              </w:rPr>
            </w:pPr>
            <w:r>
              <w:rPr>
                <w:rFonts w:ascii="Times New Roman" w:eastAsia="Times New Roman" w:hAnsi="Times New Roman" w:cs="Times New Roman"/>
                <w:i/>
                <w:noProof/>
                <w:sz w:val="24"/>
                <w:szCs w:val="24"/>
                <w:lang w:eastAsia="en-GB"/>
              </w:rPr>
              <w:t>10.3</w:t>
            </w:r>
          </w:p>
        </w:tc>
        <w:tc>
          <w:tcPr>
            <w:tcW w:w="7551" w:type="dxa"/>
          </w:tcPr>
          <w:p w14:paraId="02B0BFF6" w14:textId="77777777" w:rsidR="00540A2A" w:rsidRPr="00A47F27" w:rsidRDefault="00540A2A" w:rsidP="00540A2A">
            <w:pPr>
              <w:jc w:val="both"/>
              <w:rPr>
                <w:rFonts w:ascii="Times New Roman" w:hAnsi="Times New Roman" w:cs="Times New Roman"/>
                <w:i/>
                <w:sz w:val="24"/>
                <w:szCs w:val="24"/>
              </w:rPr>
            </w:pPr>
            <w:r w:rsidRPr="00A47F27">
              <w:rPr>
                <w:rFonts w:ascii="Times New Roman" w:hAnsi="Times New Roman" w:cs="Times New Roman"/>
                <w:i/>
                <w:sz w:val="24"/>
                <w:szCs w:val="24"/>
              </w:rPr>
              <w:t>Прогноз</w:t>
            </w:r>
            <w:r>
              <w:rPr>
                <w:rFonts w:ascii="Times New Roman" w:hAnsi="Times New Roman" w:cs="Times New Roman"/>
                <w:i/>
                <w:sz w:val="24"/>
                <w:szCs w:val="24"/>
              </w:rPr>
              <w:t>н</w:t>
            </w:r>
            <w:r w:rsidRPr="00A47F27">
              <w:rPr>
                <w:rFonts w:ascii="Times New Roman" w:hAnsi="Times New Roman" w:cs="Times New Roman"/>
                <w:i/>
                <w:sz w:val="24"/>
                <w:szCs w:val="24"/>
              </w:rPr>
              <w:t xml:space="preserve">и </w:t>
            </w:r>
            <w:r>
              <w:rPr>
                <w:rFonts w:ascii="Times New Roman" w:hAnsi="Times New Roman" w:cs="Times New Roman"/>
                <w:i/>
                <w:sz w:val="24"/>
                <w:szCs w:val="24"/>
              </w:rPr>
              <w:t xml:space="preserve">цели </w:t>
            </w:r>
            <w:r w:rsidRPr="00A47F27">
              <w:rPr>
                <w:rFonts w:ascii="Times New Roman" w:hAnsi="Times New Roman" w:cs="Times New Roman"/>
                <w:i/>
                <w:sz w:val="24"/>
                <w:szCs w:val="24"/>
              </w:rPr>
              <w:t>за навлизане на превозни средства, с водородно задвижване и за разгръщането на зарядна инфраструктура на водород</w:t>
            </w:r>
          </w:p>
          <w:p w14:paraId="51C0ECA6" w14:textId="77777777" w:rsidR="00540A2A" w:rsidRDefault="00540A2A" w:rsidP="00540A2A">
            <w:pPr>
              <w:jc w:val="both"/>
              <w:rPr>
                <w:rFonts w:ascii="Times New Roman" w:eastAsia="Times New Roman" w:hAnsi="Times New Roman" w:cs="Times New Roman"/>
                <w:i/>
                <w:sz w:val="24"/>
                <w:szCs w:val="24"/>
                <w:lang w:eastAsia="bg-BG"/>
              </w:rPr>
            </w:pPr>
          </w:p>
        </w:tc>
        <w:tc>
          <w:tcPr>
            <w:tcW w:w="695" w:type="dxa"/>
          </w:tcPr>
          <w:p w14:paraId="7143838E"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62</w:t>
            </w:r>
          </w:p>
        </w:tc>
      </w:tr>
      <w:tr w:rsidR="00540A2A" w:rsidRPr="002C36F8" w14:paraId="4AC539C9" w14:textId="77777777" w:rsidTr="00540A2A">
        <w:tc>
          <w:tcPr>
            <w:tcW w:w="816" w:type="dxa"/>
          </w:tcPr>
          <w:p w14:paraId="0F4F23A7" w14:textId="77777777" w:rsidR="00540A2A" w:rsidRPr="00D44A58" w:rsidRDefault="00540A2A" w:rsidP="00540A2A">
            <w:pPr>
              <w:jc w:val="both"/>
              <w:rPr>
                <w:rFonts w:ascii="Times New Roman" w:eastAsia="Times New Roman" w:hAnsi="Times New Roman" w:cs="Times New Roman"/>
                <w:b/>
                <w:i/>
                <w:noProof/>
                <w:sz w:val="24"/>
                <w:szCs w:val="24"/>
                <w:lang w:eastAsia="en-GB"/>
              </w:rPr>
            </w:pPr>
            <w:r w:rsidRPr="00D44A58">
              <w:rPr>
                <w:rFonts w:ascii="Times New Roman" w:eastAsia="Times New Roman" w:hAnsi="Times New Roman" w:cs="Times New Roman"/>
                <w:b/>
                <w:i/>
                <w:noProof/>
                <w:sz w:val="24"/>
                <w:szCs w:val="24"/>
                <w:lang w:eastAsia="en-GB"/>
              </w:rPr>
              <w:t>11.</w:t>
            </w:r>
          </w:p>
        </w:tc>
        <w:tc>
          <w:tcPr>
            <w:tcW w:w="7551" w:type="dxa"/>
          </w:tcPr>
          <w:p w14:paraId="6A17830D" w14:textId="77777777" w:rsidR="00540A2A" w:rsidRPr="00D44A58" w:rsidRDefault="00540A2A" w:rsidP="00540A2A">
            <w:pPr>
              <w:jc w:val="both"/>
              <w:rPr>
                <w:b/>
                <w:sz w:val="24"/>
                <w:szCs w:val="24"/>
              </w:rPr>
            </w:pPr>
            <w:r w:rsidRPr="00D44A58">
              <w:rPr>
                <w:rFonts w:ascii="Times New Roman" w:hAnsi="Times New Roman" w:cs="Times New Roman"/>
                <w:b/>
                <w:sz w:val="24"/>
                <w:szCs w:val="24"/>
              </w:rPr>
              <w:t>Възможности и потенциални мерки, свързани с изграждането на зарядна инфраструктура за компресиран и втечнен природен газ и насърчаване използването на превозни средства, задвижвани с компресиран и втечнен природен газ</w:t>
            </w:r>
          </w:p>
          <w:p w14:paraId="230B6B35" w14:textId="77777777" w:rsidR="00540A2A" w:rsidRDefault="00540A2A" w:rsidP="00540A2A">
            <w:pPr>
              <w:jc w:val="both"/>
              <w:rPr>
                <w:rFonts w:ascii="Times New Roman" w:eastAsia="Times New Roman" w:hAnsi="Times New Roman" w:cs="Times New Roman"/>
                <w:i/>
                <w:sz w:val="24"/>
                <w:szCs w:val="24"/>
                <w:lang w:eastAsia="bg-BG"/>
              </w:rPr>
            </w:pPr>
          </w:p>
        </w:tc>
        <w:tc>
          <w:tcPr>
            <w:tcW w:w="695" w:type="dxa"/>
          </w:tcPr>
          <w:p w14:paraId="081C8FCC"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63</w:t>
            </w:r>
          </w:p>
        </w:tc>
      </w:tr>
      <w:tr w:rsidR="00540A2A" w:rsidRPr="00D44A58" w14:paraId="5CE95110" w14:textId="77777777" w:rsidTr="00540A2A">
        <w:tc>
          <w:tcPr>
            <w:tcW w:w="816" w:type="dxa"/>
          </w:tcPr>
          <w:p w14:paraId="0B46A219" w14:textId="77777777" w:rsidR="00540A2A" w:rsidRPr="00D44A58" w:rsidRDefault="00540A2A" w:rsidP="00540A2A">
            <w:pPr>
              <w:jc w:val="both"/>
              <w:rPr>
                <w:rFonts w:ascii="Times New Roman" w:eastAsia="Times New Roman" w:hAnsi="Times New Roman" w:cs="Times New Roman"/>
                <w:b/>
                <w:noProof/>
                <w:sz w:val="24"/>
                <w:szCs w:val="24"/>
                <w:lang w:eastAsia="en-GB"/>
              </w:rPr>
            </w:pPr>
            <w:r w:rsidRPr="00D44A58">
              <w:rPr>
                <w:rFonts w:ascii="Times New Roman" w:eastAsia="Times New Roman" w:hAnsi="Times New Roman" w:cs="Times New Roman"/>
                <w:b/>
                <w:noProof/>
                <w:sz w:val="24"/>
                <w:szCs w:val="24"/>
                <w:lang w:eastAsia="en-GB"/>
              </w:rPr>
              <w:lastRenderedPageBreak/>
              <w:t>12.</w:t>
            </w:r>
          </w:p>
        </w:tc>
        <w:tc>
          <w:tcPr>
            <w:tcW w:w="7551" w:type="dxa"/>
          </w:tcPr>
          <w:p w14:paraId="2FC556E6" w14:textId="77777777" w:rsidR="00540A2A" w:rsidRPr="00D44A58" w:rsidRDefault="00540A2A" w:rsidP="00540A2A">
            <w:pPr>
              <w:jc w:val="both"/>
              <w:rPr>
                <w:rFonts w:ascii="Times New Roman" w:eastAsia="Times New Roman" w:hAnsi="Times New Roman" w:cs="Times New Roman"/>
                <w:b/>
                <w:sz w:val="24"/>
                <w:szCs w:val="24"/>
                <w:lang w:eastAsia="bg-BG"/>
              </w:rPr>
            </w:pPr>
            <w:r w:rsidRPr="00D44A58">
              <w:rPr>
                <w:rFonts w:ascii="Times New Roman" w:eastAsia="Times New Roman" w:hAnsi="Times New Roman" w:cs="Times New Roman"/>
                <w:b/>
                <w:sz w:val="24"/>
                <w:szCs w:val="24"/>
                <w:lang w:eastAsia="bg-BG"/>
              </w:rPr>
              <w:t xml:space="preserve">Прогнози и мерки по отношение на </w:t>
            </w:r>
            <w:r w:rsidRPr="00D44A58">
              <w:rPr>
                <w:rFonts w:ascii="Times New Roman" w:eastAsia="Times New Roman" w:hAnsi="Times New Roman" w:cs="Times New Roman"/>
                <w:b/>
                <w:color w:val="000000"/>
                <w:sz w:val="24"/>
                <w:szCs w:val="24"/>
                <w:lang w:eastAsia="bg-BG"/>
              </w:rPr>
              <w:t>наземно електроснабдяване в морските пристанища и пристанищата по вътрешните водни пътища</w:t>
            </w:r>
          </w:p>
        </w:tc>
        <w:tc>
          <w:tcPr>
            <w:tcW w:w="695" w:type="dxa"/>
          </w:tcPr>
          <w:p w14:paraId="40A389C6"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65</w:t>
            </w:r>
          </w:p>
        </w:tc>
      </w:tr>
      <w:tr w:rsidR="00540A2A" w:rsidRPr="00D44A58" w14:paraId="37C92766" w14:textId="77777777" w:rsidTr="00540A2A">
        <w:tc>
          <w:tcPr>
            <w:tcW w:w="816" w:type="dxa"/>
          </w:tcPr>
          <w:p w14:paraId="7DD7AE5F" w14:textId="77777777" w:rsidR="00540A2A" w:rsidRPr="00D44A58" w:rsidRDefault="00540A2A" w:rsidP="00540A2A">
            <w:pPr>
              <w:jc w:val="both"/>
              <w:rPr>
                <w:rFonts w:ascii="Times New Roman" w:eastAsia="Times New Roman" w:hAnsi="Times New Roman" w:cs="Times New Roman"/>
                <w:b/>
                <w:noProof/>
                <w:sz w:val="24"/>
                <w:szCs w:val="24"/>
                <w:lang w:eastAsia="en-GB"/>
              </w:rPr>
            </w:pPr>
            <w:r w:rsidRPr="00D44A58">
              <w:rPr>
                <w:rFonts w:ascii="Times New Roman" w:eastAsia="Times New Roman" w:hAnsi="Times New Roman" w:cs="Times New Roman"/>
                <w:b/>
                <w:noProof/>
                <w:sz w:val="24"/>
                <w:szCs w:val="24"/>
                <w:lang w:eastAsia="en-GB"/>
              </w:rPr>
              <w:t>13.</w:t>
            </w:r>
          </w:p>
        </w:tc>
        <w:tc>
          <w:tcPr>
            <w:tcW w:w="7551" w:type="dxa"/>
          </w:tcPr>
          <w:p w14:paraId="5649715D" w14:textId="77777777" w:rsidR="00540A2A" w:rsidRPr="00D44A58" w:rsidRDefault="00540A2A" w:rsidP="00540A2A">
            <w:pPr>
              <w:jc w:val="both"/>
              <w:rPr>
                <w:rFonts w:ascii="Times New Roman" w:eastAsia="Times New Roman" w:hAnsi="Times New Roman" w:cs="Times New Roman"/>
                <w:b/>
                <w:sz w:val="24"/>
                <w:szCs w:val="24"/>
                <w:lang w:eastAsia="bg-BG"/>
              </w:rPr>
            </w:pPr>
            <w:r w:rsidRPr="00D44A58">
              <w:rPr>
                <w:rFonts w:ascii="Times New Roman" w:eastAsia="Times New Roman" w:hAnsi="Times New Roman" w:cs="Times New Roman"/>
                <w:b/>
                <w:sz w:val="24"/>
                <w:szCs w:val="24"/>
                <w:lang w:eastAsia="bg-BG"/>
              </w:rPr>
              <w:t xml:space="preserve">Прогнози и мерки по отношение снабдяването с втечнен природен газ на </w:t>
            </w:r>
            <w:r w:rsidRPr="00D44A58">
              <w:rPr>
                <w:rFonts w:ascii="Times New Roman" w:eastAsia="Times New Roman" w:hAnsi="Times New Roman" w:cs="Times New Roman"/>
                <w:b/>
                <w:color w:val="000000"/>
                <w:sz w:val="24"/>
                <w:szCs w:val="24"/>
                <w:lang w:eastAsia="bg-BG"/>
              </w:rPr>
              <w:t>морските пристанища и пристанищата по вътрешните водни пътища</w:t>
            </w:r>
          </w:p>
        </w:tc>
        <w:tc>
          <w:tcPr>
            <w:tcW w:w="695" w:type="dxa"/>
          </w:tcPr>
          <w:p w14:paraId="5A8EEA8E"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66</w:t>
            </w:r>
          </w:p>
        </w:tc>
      </w:tr>
      <w:tr w:rsidR="00540A2A" w:rsidRPr="00D44A58" w14:paraId="76D7A6F4" w14:textId="77777777" w:rsidTr="00540A2A">
        <w:tc>
          <w:tcPr>
            <w:tcW w:w="816" w:type="dxa"/>
          </w:tcPr>
          <w:p w14:paraId="3AF9376A" w14:textId="77777777" w:rsidR="00540A2A" w:rsidRPr="002C36F8" w:rsidRDefault="00540A2A" w:rsidP="00540A2A">
            <w:pPr>
              <w:jc w:val="both"/>
              <w:rPr>
                <w:rFonts w:ascii="Times New Roman" w:hAnsi="Times New Roman" w:cs="Times New Roman"/>
                <w:b/>
                <w:sz w:val="24"/>
                <w:szCs w:val="24"/>
              </w:rPr>
            </w:pPr>
            <w:r>
              <w:rPr>
                <w:rFonts w:ascii="Times New Roman" w:hAnsi="Times New Roman" w:cs="Times New Roman"/>
                <w:b/>
                <w:sz w:val="24"/>
                <w:szCs w:val="24"/>
              </w:rPr>
              <w:t>14</w:t>
            </w:r>
          </w:p>
        </w:tc>
        <w:tc>
          <w:tcPr>
            <w:tcW w:w="7551" w:type="dxa"/>
          </w:tcPr>
          <w:p w14:paraId="05CFC2AA" w14:textId="77777777" w:rsidR="00540A2A" w:rsidRPr="002C36F8" w:rsidRDefault="00540A2A" w:rsidP="00540A2A">
            <w:pPr>
              <w:jc w:val="both"/>
              <w:rPr>
                <w:rFonts w:ascii="Times New Roman" w:hAnsi="Times New Roman" w:cs="Times New Roman"/>
                <w:b/>
                <w:sz w:val="24"/>
                <w:szCs w:val="24"/>
              </w:rPr>
            </w:pPr>
            <w:r w:rsidRPr="002C36F8">
              <w:rPr>
                <w:rFonts w:ascii="Times New Roman" w:hAnsi="Times New Roman" w:cs="Times New Roman"/>
                <w:b/>
                <w:sz w:val="24"/>
                <w:szCs w:val="24"/>
              </w:rPr>
              <w:t>Заключение</w:t>
            </w:r>
          </w:p>
          <w:p w14:paraId="0E6BAF7B" w14:textId="77777777" w:rsidR="00540A2A" w:rsidRPr="002C36F8" w:rsidRDefault="00540A2A" w:rsidP="00540A2A">
            <w:pPr>
              <w:jc w:val="both"/>
              <w:rPr>
                <w:rFonts w:ascii="Times New Roman" w:hAnsi="Times New Roman" w:cs="Times New Roman"/>
                <w:b/>
                <w:sz w:val="24"/>
                <w:szCs w:val="24"/>
              </w:rPr>
            </w:pPr>
          </w:p>
        </w:tc>
        <w:tc>
          <w:tcPr>
            <w:tcW w:w="695" w:type="dxa"/>
          </w:tcPr>
          <w:p w14:paraId="5437AC3E" w14:textId="77777777" w:rsidR="00540A2A" w:rsidRPr="00D44A58" w:rsidRDefault="00540A2A" w:rsidP="00540A2A">
            <w:pPr>
              <w:jc w:val="right"/>
              <w:rPr>
                <w:rFonts w:ascii="Times New Roman" w:hAnsi="Times New Roman" w:cs="Times New Roman"/>
                <w:b/>
                <w:sz w:val="24"/>
                <w:szCs w:val="24"/>
                <w:lang w:val="en-US"/>
              </w:rPr>
            </w:pPr>
            <w:r w:rsidRPr="00D44A58">
              <w:rPr>
                <w:rFonts w:ascii="Times New Roman" w:hAnsi="Times New Roman" w:cs="Times New Roman"/>
                <w:b/>
                <w:sz w:val="24"/>
                <w:szCs w:val="24"/>
                <w:lang w:val="en-US"/>
              </w:rPr>
              <w:t>68</w:t>
            </w:r>
          </w:p>
        </w:tc>
      </w:tr>
    </w:tbl>
    <w:p w14:paraId="4A2CD613" w14:textId="77777777" w:rsidR="00540A2A" w:rsidRPr="002C36F8" w:rsidRDefault="00540A2A" w:rsidP="00540A2A">
      <w:pPr>
        <w:spacing w:after="0"/>
        <w:jc w:val="both"/>
        <w:rPr>
          <w:rFonts w:ascii="Times New Roman" w:hAnsi="Times New Roman" w:cs="Times New Roman"/>
          <w:b/>
          <w:sz w:val="24"/>
          <w:szCs w:val="24"/>
        </w:rPr>
      </w:pPr>
    </w:p>
    <w:p w14:paraId="351D856C" w14:textId="77777777" w:rsidR="00E66958" w:rsidRDefault="00E66958" w:rsidP="0083639C">
      <w:pPr>
        <w:spacing w:after="0"/>
        <w:jc w:val="both"/>
        <w:rPr>
          <w:rFonts w:ascii="Times New Roman" w:hAnsi="Times New Roman" w:cs="Times New Roman"/>
          <w:sz w:val="24"/>
          <w:szCs w:val="24"/>
        </w:rPr>
      </w:pPr>
    </w:p>
    <w:p w14:paraId="48945700" w14:textId="77777777" w:rsidR="00540A2A" w:rsidRDefault="00540A2A" w:rsidP="0083639C">
      <w:pPr>
        <w:spacing w:after="0"/>
        <w:jc w:val="both"/>
        <w:rPr>
          <w:rFonts w:ascii="Times New Roman" w:hAnsi="Times New Roman" w:cs="Times New Roman"/>
          <w:sz w:val="24"/>
          <w:szCs w:val="24"/>
        </w:rPr>
      </w:pPr>
    </w:p>
    <w:p w14:paraId="7DDA81E0" w14:textId="77777777" w:rsidR="00540A2A" w:rsidRPr="002C36F8" w:rsidRDefault="00540A2A" w:rsidP="00540A2A">
      <w:pPr>
        <w:rPr>
          <w:rFonts w:ascii="Times New Roman" w:hAnsi="Times New Roman" w:cs="Times New Roman"/>
          <w:sz w:val="24"/>
          <w:szCs w:val="24"/>
        </w:rPr>
      </w:pPr>
      <w:r>
        <w:rPr>
          <w:rFonts w:ascii="Times New Roman" w:hAnsi="Times New Roman" w:cs="Times New Roman"/>
          <w:sz w:val="24"/>
          <w:szCs w:val="24"/>
        </w:rPr>
        <w:br w:type="page"/>
      </w:r>
    </w:p>
    <w:p w14:paraId="42B55746" w14:textId="77777777" w:rsidR="007C469F" w:rsidRDefault="007C469F" w:rsidP="001A0506">
      <w:pPr>
        <w:pStyle w:val="ListParagraph"/>
        <w:numPr>
          <w:ilvl w:val="0"/>
          <w:numId w:val="25"/>
        </w:numPr>
        <w:spacing w:after="0"/>
        <w:jc w:val="both"/>
        <w:rPr>
          <w:rFonts w:ascii="Times New Roman" w:hAnsi="Times New Roman" w:cs="Times New Roman"/>
          <w:b/>
          <w:sz w:val="24"/>
          <w:szCs w:val="24"/>
        </w:rPr>
        <w:sectPr w:rsidR="007C469F" w:rsidSect="00540A2A">
          <w:footerReference w:type="default" r:id="rId8"/>
          <w:headerReference w:type="first" r:id="rId9"/>
          <w:footerReference w:type="first" r:id="rId10"/>
          <w:pgSz w:w="11906" w:h="16838"/>
          <w:pgMar w:top="1276" w:right="1417" w:bottom="1276" w:left="1417" w:header="708" w:footer="708" w:gutter="0"/>
          <w:pgNumType w:start="4"/>
          <w:cols w:space="708"/>
          <w:titlePg/>
          <w:docGrid w:linePitch="360"/>
        </w:sectPr>
      </w:pPr>
    </w:p>
    <w:p w14:paraId="41E1FDA8" w14:textId="77777777" w:rsidR="00A76C8D" w:rsidRDefault="00C82A8A" w:rsidP="001A0506">
      <w:pPr>
        <w:pStyle w:val="ListParagraph"/>
        <w:numPr>
          <w:ilvl w:val="0"/>
          <w:numId w:val="25"/>
        </w:numPr>
        <w:spacing w:after="0"/>
        <w:jc w:val="both"/>
        <w:rPr>
          <w:rFonts w:ascii="Times New Roman" w:hAnsi="Times New Roman" w:cs="Times New Roman"/>
          <w:b/>
          <w:sz w:val="24"/>
          <w:szCs w:val="24"/>
        </w:rPr>
      </w:pPr>
      <w:r w:rsidRPr="00F77523">
        <w:rPr>
          <w:rFonts w:ascii="Times New Roman" w:hAnsi="Times New Roman" w:cs="Times New Roman"/>
          <w:b/>
          <w:sz w:val="24"/>
          <w:szCs w:val="24"/>
        </w:rPr>
        <w:lastRenderedPageBreak/>
        <w:t>ВЪВЕДЕНИЕ</w:t>
      </w:r>
    </w:p>
    <w:p w14:paraId="15CCFF15" w14:textId="77777777" w:rsidR="00E66958" w:rsidRPr="00F77523" w:rsidRDefault="00E66958" w:rsidP="00E66958">
      <w:pPr>
        <w:pStyle w:val="ListParagraph"/>
        <w:spacing w:after="0"/>
        <w:jc w:val="both"/>
        <w:rPr>
          <w:rFonts w:ascii="Times New Roman" w:hAnsi="Times New Roman" w:cs="Times New Roman"/>
          <w:b/>
          <w:sz w:val="24"/>
          <w:szCs w:val="24"/>
        </w:rPr>
      </w:pPr>
    </w:p>
    <w:p w14:paraId="7462956D" w14:textId="77777777" w:rsidR="00E66958" w:rsidRPr="003E4292" w:rsidRDefault="00AF1465" w:rsidP="003E4292">
      <w:pPr>
        <w:spacing w:after="0"/>
        <w:ind w:firstLine="567"/>
        <w:jc w:val="both"/>
        <w:rPr>
          <w:rFonts w:ascii="Times New Roman" w:hAnsi="Times New Roman" w:cs="Times New Roman"/>
          <w:sz w:val="24"/>
          <w:szCs w:val="24"/>
        </w:rPr>
      </w:pPr>
      <w:r w:rsidRPr="00AF1465">
        <w:rPr>
          <w:rFonts w:ascii="Times New Roman" w:hAnsi="Times New Roman" w:cs="Times New Roman"/>
          <w:sz w:val="24"/>
          <w:szCs w:val="24"/>
        </w:rPr>
        <w:t xml:space="preserve">Тенденциите за развитие на транспортния сектор, очертани в стратегическите документи на Европейския </w:t>
      </w:r>
      <w:r w:rsidR="00356703">
        <w:rPr>
          <w:rFonts w:ascii="Times New Roman" w:hAnsi="Times New Roman" w:cs="Times New Roman"/>
          <w:sz w:val="24"/>
          <w:szCs w:val="24"/>
        </w:rPr>
        <w:t>с</w:t>
      </w:r>
      <w:r w:rsidRPr="00AF1465">
        <w:rPr>
          <w:rFonts w:ascii="Times New Roman" w:hAnsi="Times New Roman" w:cs="Times New Roman"/>
          <w:sz w:val="24"/>
          <w:szCs w:val="24"/>
        </w:rPr>
        <w:t xml:space="preserve">ъюз, целят повишаване на неговата конкурентоспособност чрез по-ефективно използване на ресурсите и енергията. В тази връзка основните усилия следва да бъдат насочени към намаляване на зависимостта на транспортната система от изкопаеми горива, което в голяма степен се свързва с изготвянето на </w:t>
      </w:r>
      <w:r w:rsidR="00356703">
        <w:rPr>
          <w:rFonts w:ascii="Times New Roman" w:hAnsi="Times New Roman" w:cs="Times New Roman"/>
          <w:sz w:val="24"/>
          <w:szCs w:val="24"/>
        </w:rPr>
        <w:t>Н</w:t>
      </w:r>
      <w:r w:rsidRPr="00AF1465">
        <w:rPr>
          <w:rFonts w:ascii="Times New Roman" w:hAnsi="Times New Roman" w:cs="Times New Roman"/>
          <w:sz w:val="24"/>
          <w:szCs w:val="24"/>
        </w:rPr>
        <w:t>ационална рамка на политиката за използването на алтернативни горива, както и с разгръщането и изграждането на подходяща инфраструктура</w:t>
      </w:r>
      <w:r w:rsidR="003E4292">
        <w:rPr>
          <w:rFonts w:ascii="Times New Roman" w:hAnsi="Times New Roman" w:cs="Times New Roman"/>
          <w:sz w:val="24"/>
          <w:szCs w:val="24"/>
        </w:rPr>
        <w:t>.</w:t>
      </w:r>
    </w:p>
    <w:p w14:paraId="2DCBE57F" w14:textId="035EA932" w:rsidR="002800B2" w:rsidRPr="002800B2" w:rsidRDefault="00C82A8A" w:rsidP="002800B2">
      <w:pPr>
        <w:spacing w:after="0"/>
        <w:ind w:firstLine="567"/>
        <w:jc w:val="both"/>
        <w:rPr>
          <w:rFonts w:ascii="Times New Roman" w:hAnsi="Times New Roman" w:cs="Times New Roman"/>
          <w:bCs/>
          <w:sz w:val="24"/>
          <w:szCs w:val="24"/>
          <w:lang w:val="x-none"/>
        </w:rPr>
      </w:pPr>
      <w:r w:rsidRPr="002C36F8">
        <w:rPr>
          <w:rFonts w:ascii="Times New Roman" w:hAnsi="Times New Roman" w:cs="Times New Roman"/>
          <w:bCs/>
          <w:sz w:val="24"/>
          <w:szCs w:val="24"/>
        </w:rPr>
        <w:t xml:space="preserve">Националната рамка на политиката </w:t>
      </w:r>
      <w:r w:rsidR="00710D7F">
        <w:rPr>
          <w:rFonts w:ascii="Times New Roman" w:hAnsi="Times New Roman" w:cs="Times New Roman"/>
          <w:bCs/>
          <w:sz w:val="24"/>
          <w:szCs w:val="24"/>
        </w:rPr>
        <w:t xml:space="preserve">се разработва в съответствие с изискванията на чл. 3 от Директива 2014/94/ЕС </w:t>
      </w:r>
      <w:r w:rsidR="00356703" w:rsidRPr="00356703">
        <w:rPr>
          <w:rFonts w:ascii="Times New Roman" w:hAnsi="Times New Roman" w:cs="Times New Roman"/>
          <w:bCs/>
          <w:sz w:val="24"/>
          <w:szCs w:val="24"/>
        </w:rPr>
        <w:t>на Европейския парламент и на Съвета от 22 октомври 2014 година за разгръщането на инфраструктура за алтернативни горива (Директива 2014/94/ЕС)</w:t>
      </w:r>
      <w:r w:rsidR="00710D7F">
        <w:rPr>
          <w:rFonts w:ascii="Times New Roman" w:hAnsi="Times New Roman" w:cs="Times New Roman"/>
          <w:bCs/>
          <w:sz w:val="24"/>
          <w:szCs w:val="24"/>
        </w:rPr>
        <w:t xml:space="preserve">. Тя </w:t>
      </w:r>
      <w:r w:rsidRPr="002C36F8">
        <w:rPr>
          <w:rFonts w:ascii="Times New Roman" w:hAnsi="Times New Roman" w:cs="Times New Roman"/>
          <w:bCs/>
          <w:sz w:val="24"/>
          <w:szCs w:val="24"/>
        </w:rPr>
        <w:t xml:space="preserve">изразява </w:t>
      </w:r>
      <w:r w:rsidRPr="002C36F8">
        <w:rPr>
          <w:rFonts w:ascii="Times New Roman" w:hAnsi="Times New Roman" w:cs="Times New Roman"/>
          <w:bCs/>
          <w:sz w:val="24"/>
          <w:szCs w:val="24"/>
          <w:lang w:val="ru-RU"/>
        </w:rPr>
        <w:t xml:space="preserve">волята на държавата активно да подкрепи </w:t>
      </w:r>
      <w:r w:rsidRPr="002C36F8">
        <w:rPr>
          <w:rFonts w:ascii="Times New Roman" w:hAnsi="Times New Roman" w:cs="Times New Roman"/>
          <w:bCs/>
          <w:sz w:val="24"/>
          <w:szCs w:val="24"/>
        </w:rPr>
        <w:t xml:space="preserve">развитието </w:t>
      </w:r>
      <w:r w:rsidRPr="002C36F8">
        <w:rPr>
          <w:rFonts w:ascii="Times New Roman" w:hAnsi="Times New Roman" w:cs="Times New Roman"/>
          <w:bCs/>
          <w:sz w:val="24"/>
          <w:szCs w:val="24"/>
          <w:lang w:val="ru-RU"/>
        </w:rPr>
        <w:t xml:space="preserve">на </w:t>
      </w:r>
      <w:r w:rsidRPr="002C36F8">
        <w:rPr>
          <w:rFonts w:ascii="Times New Roman" w:hAnsi="Times New Roman" w:cs="Times New Roman"/>
          <w:bCs/>
          <w:sz w:val="24"/>
          <w:szCs w:val="24"/>
        </w:rPr>
        <w:t xml:space="preserve">алтернативни горива </w:t>
      </w:r>
      <w:r w:rsidR="00ED3171">
        <w:rPr>
          <w:rFonts w:ascii="Times New Roman" w:hAnsi="Times New Roman" w:cs="Times New Roman"/>
          <w:bCs/>
          <w:sz w:val="24"/>
          <w:szCs w:val="24"/>
          <w:lang w:val="ru-RU"/>
        </w:rPr>
        <w:t xml:space="preserve">в транспорта с оглед </w:t>
      </w:r>
      <w:r w:rsidR="00ED3171">
        <w:rPr>
          <w:rFonts w:ascii="Times New Roman" w:hAnsi="Times New Roman" w:cs="Times New Roman"/>
          <w:bCs/>
          <w:sz w:val="24"/>
          <w:szCs w:val="24"/>
        </w:rPr>
        <w:t>осъществяване на</w:t>
      </w:r>
      <w:r w:rsidR="00710D7F">
        <w:rPr>
          <w:rFonts w:ascii="Times New Roman" w:hAnsi="Times New Roman" w:cs="Times New Roman"/>
          <w:bCs/>
          <w:sz w:val="24"/>
          <w:szCs w:val="24"/>
        </w:rPr>
        <w:t xml:space="preserve"> дефи</w:t>
      </w:r>
      <w:r w:rsidRPr="002C36F8">
        <w:rPr>
          <w:rFonts w:ascii="Times New Roman" w:hAnsi="Times New Roman" w:cs="Times New Roman"/>
          <w:bCs/>
          <w:sz w:val="24"/>
          <w:szCs w:val="24"/>
        </w:rPr>
        <w:t xml:space="preserve">нираните национални </w:t>
      </w:r>
      <w:r w:rsidRPr="002C36F8">
        <w:rPr>
          <w:rFonts w:ascii="Times New Roman" w:hAnsi="Times New Roman" w:cs="Times New Roman"/>
          <w:bCs/>
          <w:sz w:val="24"/>
          <w:szCs w:val="24"/>
          <w:lang w:val="ru-RU"/>
        </w:rPr>
        <w:t xml:space="preserve">цели в </w:t>
      </w:r>
      <w:r w:rsidRPr="002C36F8">
        <w:rPr>
          <w:rFonts w:ascii="Times New Roman" w:hAnsi="Times New Roman" w:cs="Times New Roman"/>
          <w:bCs/>
          <w:sz w:val="24"/>
          <w:szCs w:val="24"/>
        </w:rPr>
        <w:t xml:space="preserve">областта </w:t>
      </w:r>
      <w:r w:rsidRPr="002C36F8">
        <w:rPr>
          <w:rFonts w:ascii="Times New Roman" w:hAnsi="Times New Roman" w:cs="Times New Roman"/>
          <w:bCs/>
          <w:sz w:val="24"/>
          <w:szCs w:val="24"/>
          <w:lang w:val="ru-RU"/>
        </w:rPr>
        <w:t xml:space="preserve">на </w:t>
      </w:r>
      <w:r w:rsidRPr="002C36F8">
        <w:rPr>
          <w:rFonts w:ascii="Times New Roman" w:hAnsi="Times New Roman" w:cs="Times New Roman"/>
          <w:bCs/>
          <w:sz w:val="24"/>
          <w:szCs w:val="24"/>
        </w:rPr>
        <w:t xml:space="preserve">енергетиката, </w:t>
      </w:r>
      <w:r w:rsidRPr="002C36F8">
        <w:rPr>
          <w:rFonts w:ascii="Times New Roman" w:hAnsi="Times New Roman" w:cs="Times New Roman"/>
          <w:bCs/>
          <w:sz w:val="24"/>
          <w:szCs w:val="24"/>
          <w:lang w:val="ru-RU"/>
        </w:rPr>
        <w:t xml:space="preserve">транспорта и околната среда. </w:t>
      </w:r>
      <w:r w:rsidR="00356703">
        <w:rPr>
          <w:rFonts w:ascii="Times New Roman" w:hAnsi="Times New Roman" w:cs="Times New Roman"/>
          <w:bCs/>
          <w:sz w:val="24"/>
          <w:szCs w:val="24"/>
          <w:lang w:val="ru-RU"/>
        </w:rPr>
        <w:t xml:space="preserve"> </w:t>
      </w:r>
      <w:r w:rsidR="002800B2">
        <w:rPr>
          <w:rFonts w:ascii="Times New Roman" w:hAnsi="Times New Roman" w:cs="Times New Roman"/>
          <w:bCs/>
          <w:sz w:val="24"/>
          <w:szCs w:val="24"/>
        </w:rPr>
        <w:t>Предвидените мерки</w:t>
      </w:r>
      <w:r w:rsidR="002800B2" w:rsidRPr="002800B2">
        <w:rPr>
          <w:rFonts w:ascii="Times New Roman" w:hAnsi="Times New Roman" w:cs="Times New Roman"/>
          <w:bCs/>
          <w:sz w:val="24"/>
          <w:szCs w:val="24"/>
        </w:rPr>
        <w:t xml:space="preserve"> имат прогнозен характер и в случай, че</w:t>
      </w:r>
      <w:r w:rsidR="002800B2">
        <w:rPr>
          <w:rFonts w:ascii="Times New Roman" w:hAnsi="Times New Roman" w:cs="Times New Roman"/>
          <w:bCs/>
          <w:sz w:val="24"/>
          <w:szCs w:val="24"/>
        </w:rPr>
        <w:t xml:space="preserve"> се изискват бюджетни средства те</w:t>
      </w:r>
      <w:r w:rsidR="002800B2" w:rsidRPr="002800B2">
        <w:rPr>
          <w:rFonts w:ascii="Times New Roman" w:hAnsi="Times New Roman" w:cs="Times New Roman"/>
          <w:bCs/>
          <w:sz w:val="24"/>
          <w:szCs w:val="24"/>
        </w:rPr>
        <w:t xml:space="preserve"> ще се изпълняват и финансират според възможностите в рамките на средствата от държавния бюджет за годините от одобрената от МС средносрочна бюджетна прогноза до 2020г., а за годините извън нея посочените мерки за изпълнение и стойностите за тях имат прогнозен характер.  </w:t>
      </w:r>
    </w:p>
    <w:p w14:paraId="24E4BC1F" w14:textId="77777777" w:rsidR="00E66958" w:rsidRDefault="00C82A8A" w:rsidP="003E4292">
      <w:pPr>
        <w:spacing w:after="0"/>
        <w:ind w:firstLine="567"/>
        <w:jc w:val="both"/>
        <w:rPr>
          <w:rFonts w:ascii="Times New Roman" w:hAnsi="Times New Roman" w:cs="Times New Roman"/>
          <w:bCs/>
          <w:sz w:val="24"/>
          <w:szCs w:val="24"/>
          <w:lang w:val="ru-RU"/>
        </w:rPr>
      </w:pPr>
      <w:r w:rsidRPr="002C36F8">
        <w:rPr>
          <w:rFonts w:ascii="Times New Roman" w:hAnsi="Times New Roman" w:cs="Times New Roman"/>
          <w:bCs/>
          <w:sz w:val="24"/>
          <w:szCs w:val="24"/>
          <w:lang w:val="ru-RU"/>
        </w:rPr>
        <w:t>Глобална</w:t>
      </w:r>
      <w:r w:rsidR="00ED3171">
        <w:rPr>
          <w:rFonts w:ascii="Times New Roman" w:hAnsi="Times New Roman" w:cs="Times New Roman"/>
          <w:bCs/>
          <w:sz w:val="24"/>
          <w:szCs w:val="24"/>
          <w:lang w:val="ru-RU"/>
        </w:rPr>
        <w:t>та</w:t>
      </w:r>
      <w:r w:rsidRPr="002C36F8">
        <w:rPr>
          <w:rFonts w:ascii="Times New Roman" w:hAnsi="Times New Roman" w:cs="Times New Roman"/>
          <w:bCs/>
          <w:sz w:val="24"/>
          <w:szCs w:val="24"/>
          <w:lang w:val="ru-RU"/>
        </w:rPr>
        <w:t xml:space="preserve"> цел </w:t>
      </w:r>
      <w:r w:rsidR="00ED3171">
        <w:rPr>
          <w:rFonts w:ascii="Times New Roman" w:hAnsi="Times New Roman" w:cs="Times New Roman"/>
          <w:bCs/>
          <w:sz w:val="24"/>
          <w:szCs w:val="24"/>
          <w:lang w:val="ru-RU"/>
        </w:rPr>
        <w:t xml:space="preserve">на рамката </w:t>
      </w:r>
      <w:r w:rsidRPr="002C36F8">
        <w:rPr>
          <w:rFonts w:ascii="Times New Roman" w:hAnsi="Times New Roman" w:cs="Times New Roman"/>
          <w:bCs/>
          <w:sz w:val="24"/>
          <w:szCs w:val="24"/>
        </w:rPr>
        <w:t xml:space="preserve">е създаването </w:t>
      </w:r>
      <w:r w:rsidRPr="002C36F8">
        <w:rPr>
          <w:rFonts w:ascii="Times New Roman" w:hAnsi="Times New Roman" w:cs="Times New Roman"/>
          <w:bCs/>
          <w:sz w:val="24"/>
          <w:szCs w:val="24"/>
          <w:lang w:val="ru-RU"/>
        </w:rPr>
        <w:t>на достатъчно благоприятна среда з</w:t>
      </w:r>
      <w:r w:rsidR="00ED3171">
        <w:rPr>
          <w:rFonts w:ascii="Times New Roman" w:hAnsi="Times New Roman" w:cs="Times New Roman"/>
          <w:bCs/>
          <w:sz w:val="24"/>
          <w:szCs w:val="24"/>
          <w:lang w:val="ru-RU"/>
        </w:rPr>
        <w:t>а по-широко прилагане на видове</w:t>
      </w:r>
      <w:r w:rsidRPr="002C36F8">
        <w:rPr>
          <w:rFonts w:ascii="Times New Roman" w:hAnsi="Times New Roman" w:cs="Times New Roman"/>
          <w:bCs/>
          <w:sz w:val="24"/>
          <w:szCs w:val="24"/>
          <w:lang w:val="ru-RU"/>
        </w:rPr>
        <w:t xml:space="preserve"> алтернативни </w:t>
      </w:r>
      <w:r w:rsidR="00ED3171">
        <w:rPr>
          <w:rFonts w:ascii="Times New Roman" w:hAnsi="Times New Roman" w:cs="Times New Roman"/>
          <w:bCs/>
          <w:sz w:val="24"/>
          <w:szCs w:val="24"/>
        </w:rPr>
        <w:t>гори</w:t>
      </w:r>
      <w:r w:rsidRPr="002C36F8">
        <w:rPr>
          <w:rFonts w:ascii="Times New Roman" w:hAnsi="Times New Roman" w:cs="Times New Roman"/>
          <w:bCs/>
          <w:sz w:val="24"/>
          <w:szCs w:val="24"/>
        </w:rPr>
        <w:t>ва</w:t>
      </w:r>
      <w:r w:rsidRPr="002C36F8">
        <w:rPr>
          <w:rFonts w:ascii="Times New Roman" w:hAnsi="Times New Roman" w:cs="Times New Roman"/>
          <w:bCs/>
          <w:sz w:val="24"/>
          <w:szCs w:val="24"/>
          <w:lang w:val="ru-RU"/>
        </w:rPr>
        <w:t xml:space="preserve"> и задвижвания в сектора на транспорта и постигането на условия, сравними в областта с други раз</w:t>
      </w:r>
      <w:r w:rsidR="00ED3171">
        <w:rPr>
          <w:rFonts w:ascii="Times New Roman" w:hAnsi="Times New Roman" w:cs="Times New Roman"/>
          <w:bCs/>
          <w:sz w:val="24"/>
          <w:szCs w:val="24"/>
          <w:lang w:val="ru-RU"/>
        </w:rPr>
        <w:t>вити страни от Европейския съюз.</w:t>
      </w:r>
      <w:r w:rsidRPr="002C36F8">
        <w:rPr>
          <w:rFonts w:ascii="Times New Roman" w:hAnsi="Times New Roman" w:cs="Times New Roman"/>
          <w:bCs/>
          <w:sz w:val="24"/>
          <w:szCs w:val="24"/>
          <w:lang w:val="ru-RU"/>
        </w:rPr>
        <w:t xml:space="preserve"> </w:t>
      </w:r>
    </w:p>
    <w:p w14:paraId="7611A4A9" w14:textId="77777777" w:rsidR="00E66958" w:rsidRPr="002C36F8" w:rsidRDefault="00ED3171" w:rsidP="003E4292">
      <w:pPr>
        <w:spacing w:after="0"/>
        <w:ind w:firstLine="567"/>
        <w:jc w:val="both"/>
        <w:rPr>
          <w:rFonts w:ascii="Times New Roman" w:hAnsi="Times New Roman" w:cs="Times New Roman"/>
          <w:bCs/>
          <w:sz w:val="24"/>
          <w:szCs w:val="24"/>
        </w:rPr>
      </w:pPr>
      <w:r>
        <w:rPr>
          <w:rFonts w:ascii="Times New Roman" w:hAnsi="Times New Roman" w:cs="Times New Roman"/>
          <w:bCs/>
          <w:sz w:val="24"/>
          <w:szCs w:val="24"/>
          <w:lang w:val="ru-RU"/>
        </w:rPr>
        <w:t>В</w:t>
      </w:r>
      <w:r w:rsidR="00C82A8A" w:rsidRPr="002C36F8">
        <w:rPr>
          <w:rFonts w:ascii="Times New Roman" w:hAnsi="Times New Roman" w:cs="Times New Roman"/>
          <w:bCs/>
          <w:sz w:val="24"/>
          <w:szCs w:val="24"/>
          <w:lang w:val="ru-RU"/>
        </w:rPr>
        <w:t xml:space="preserve"> дългосрочен </w:t>
      </w:r>
      <w:r w:rsidR="00C82A8A" w:rsidRPr="002C36F8">
        <w:rPr>
          <w:rFonts w:ascii="Times New Roman" w:hAnsi="Times New Roman" w:cs="Times New Roman"/>
          <w:bCs/>
          <w:sz w:val="24"/>
          <w:szCs w:val="24"/>
        </w:rPr>
        <w:t xml:space="preserve">хоризонт </w:t>
      </w:r>
      <w:r w:rsidR="00C82A8A" w:rsidRPr="002C36F8">
        <w:rPr>
          <w:rFonts w:ascii="Times New Roman" w:hAnsi="Times New Roman" w:cs="Times New Roman"/>
          <w:bCs/>
          <w:sz w:val="24"/>
          <w:szCs w:val="24"/>
          <w:lang w:val="ru-RU"/>
        </w:rPr>
        <w:t>(период</w:t>
      </w:r>
      <w:r w:rsidR="00AF1465">
        <w:rPr>
          <w:rFonts w:ascii="Times New Roman" w:hAnsi="Times New Roman" w:cs="Times New Roman"/>
          <w:bCs/>
          <w:sz w:val="24"/>
          <w:szCs w:val="24"/>
          <w:lang w:val="ru-RU"/>
        </w:rPr>
        <w:t>ът</w:t>
      </w:r>
      <w:r w:rsidR="00C82A8A" w:rsidRPr="002C36F8">
        <w:rPr>
          <w:rFonts w:ascii="Times New Roman" w:hAnsi="Times New Roman" w:cs="Times New Roman"/>
          <w:bCs/>
          <w:sz w:val="24"/>
          <w:szCs w:val="24"/>
          <w:lang w:val="ru-RU"/>
        </w:rPr>
        <w:t xml:space="preserve"> след 2030 г.) </w:t>
      </w:r>
      <w:r>
        <w:rPr>
          <w:rFonts w:ascii="Times New Roman" w:hAnsi="Times New Roman" w:cs="Times New Roman"/>
          <w:bCs/>
          <w:sz w:val="24"/>
          <w:szCs w:val="24"/>
          <w:lang w:val="ru-RU"/>
        </w:rPr>
        <w:t>се цели разгръщане на електромобилността,</w:t>
      </w:r>
      <w:r w:rsidR="00C82A8A" w:rsidRPr="002C36F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по-широко използване на </w:t>
      </w:r>
      <w:r w:rsidR="00C82A8A" w:rsidRPr="002C36F8">
        <w:rPr>
          <w:rFonts w:ascii="Times New Roman" w:hAnsi="Times New Roman" w:cs="Times New Roman"/>
          <w:bCs/>
          <w:sz w:val="24"/>
          <w:szCs w:val="24"/>
        </w:rPr>
        <w:t>природния</w:t>
      </w:r>
      <w:r>
        <w:rPr>
          <w:rFonts w:ascii="Times New Roman" w:hAnsi="Times New Roman" w:cs="Times New Roman"/>
          <w:bCs/>
          <w:sz w:val="24"/>
          <w:szCs w:val="24"/>
        </w:rPr>
        <w:t xml:space="preserve"> </w:t>
      </w:r>
      <w:r w:rsidR="00C82A8A" w:rsidRPr="002C36F8">
        <w:rPr>
          <w:rFonts w:ascii="Times New Roman" w:hAnsi="Times New Roman" w:cs="Times New Roman"/>
          <w:bCs/>
          <w:sz w:val="24"/>
          <w:szCs w:val="24"/>
          <w:lang w:val="ru-RU"/>
        </w:rPr>
        <w:t xml:space="preserve">газ </w:t>
      </w:r>
      <w:r w:rsidR="00C82A8A" w:rsidRPr="002C36F8">
        <w:rPr>
          <w:rFonts w:ascii="Times New Roman" w:hAnsi="Times New Roman" w:cs="Times New Roman"/>
          <w:bCs/>
          <w:sz w:val="24"/>
          <w:szCs w:val="24"/>
        </w:rPr>
        <w:t xml:space="preserve">като </w:t>
      </w:r>
      <w:r w:rsidR="00C82A8A" w:rsidRPr="002C36F8">
        <w:rPr>
          <w:rFonts w:ascii="Times New Roman" w:hAnsi="Times New Roman" w:cs="Times New Roman"/>
          <w:bCs/>
          <w:sz w:val="24"/>
          <w:szCs w:val="24"/>
          <w:lang w:val="ru-RU"/>
        </w:rPr>
        <w:t xml:space="preserve">стандартно </w:t>
      </w:r>
      <w:r w:rsidR="00C82A8A" w:rsidRPr="002C36F8">
        <w:rPr>
          <w:rFonts w:ascii="Times New Roman" w:hAnsi="Times New Roman" w:cs="Times New Roman"/>
          <w:bCs/>
          <w:sz w:val="24"/>
          <w:szCs w:val="24"/>
        </w:rPr>
        <w:t>гориво</w:t>
      </w:r>
      <w:r>
        <w:rPr>
          <w:rFonts w:ascii="Times New Roman" w:hAnsi="Times New Roman" w:cs="Times New Roman"/>
          <w:bCs/>
          <w:sz w:val="24"/>
          <w:szCs w:val="24"/>
        </w:rPr>
        <w:t>,</w:t>
      </w:r>
      <w:r w:rsidR="00C82A8A" w:rsidRPr="002C36F8">
        <w:rPr>
          <w:rFonts w:ascii="Times New Roman" w:hAnsi="Times New Roman" w:cs="Times New Roman"/>
          <w:bCs/>
          <w:sz w:val="24"/>
          <w:szCs w:val="24"/>
        </w:rPr>
        <w:t xml:space="preserve"> </w:t>
      </w:r>
      <w:r>
        <w:rPr>
          <w:rFonts w:ascii="Times New Roman" w:hAnsi="Times New Roman" w:cs="Times New Roman"/>
          <w:bCs/>
          <w:sz w:val="24"/>
          <w:szCs w:val="24"/>
          <w:lang w:val="ru-RU"/>
        </w:rPr>
        <w:t>и излизане на</w:t>
      </w:r>
      <w:r w:rsidR="00C82A8A" w:rsidRPr="002C36F8">
        <w:rPr>
          <w:rFonts w:ascii="Times New Roman" w:hAnsi="Times New Roman" w:cs="Times New Roman"/>
          <w:bCs/>
          <w:sz w:val="24"/>
          <w:szCs w:val="24"/>
          <w:lang w:val="ru-RU"/>
        </w:rPr>
        <w:t xml:space="preserve"> водородната те</w:t>
      </w:r>
      <w:r w:rsidR="00F17EF7" w:rsidRPr="002C36F8">
        <w:rPr>
          <w:rFonts w:ascii="Times New Roman" w:hAnsi="Times New Roman" w:cs="Times New Roman"/>
          <w:bCs/>
          <w:sz w:val="24"/>
          <w:szCs w:val="24"/>
          <w:lang w:val="ru-RU"/>
        </w:rPr>
        <w:t xml:space="preserve">хнология </w:t>
      </w:r>
      <w:r w:rsidR="00C82A8A" w:rsidRPr="002C36F8">
        <w:rPr>
          <w:rFonts w:ascii="Times New Roman" w:hAnsi="Times New Roman" w:cs="Times New Roman"/>
          <w:bCs/>
          <w:sz w:val="24"/>
          <w:szCs w:val="24"/>
          <w:lang w:val="ru-RU"/>
        </w:rPr>
        <w:t xml:space="preserve">от </w:t>
      </w:r>
      <w:r w:rsidR="00C82A8A" w:rsidRPr="002C36F8">
        <w:rPr>
          <w:rFonts w:ascii="Times New Roman" w:hAnsi="Times New Roman" w:cs="Times New Roman"/>
          <w:bCs/>
          <w:sz w:val="24"/>
          <w:szCs w:val="24"/>
        </w:rPr>
        <w:t xml:space="preserve">фазата </w:t>
      </w:r>
      <w:r w:rsidR="00C82A8A" w:rsidRPr="002C36F8">
        <w:rPr>
          <w:rFonts w:ascii="Times New Roman" w:hAnsi="Times New Roman" w:cs="Times New Roman"/>
          <w:bCs/>
          <w:sz w:val="24"/>
          <w:szCs w:val="24"/>
          <w:lang w:val="ru-RU"/>
        </w:rPr>
        <w:t xml:space="preserve">на </w:t>
      </w:r>
      <w:r w:rsidR="00C82A8A" w:rsidRPr="002C36F8">
        <w:rPr>
          <w:rFonts w:ascii="Times New Roman" w:hAnsi="Times New Roman" w:cs="Times New Roman"/>
          <w:bCs/>
          <w:sz w:val="24"/>
          <w:szCs w:val="24"/>
        </w:rPr>
        <w:t>изследвания</w:t>
      </w:r>
      <w:r>
        <w:rPr>
          <w:rFonts w:ascii="Times New Roman" w:hAnsi="Times New Roman" w:cs="Times New Roman"/>
          <w:bCs/>
          <w:sz w:val="24"/>
          <w:szCs w:val="24"/>
        </w:rPr>
        <w:t>та</w:t>
      </w:r>
      <w:r w:rsidR="00C82A8A" w:rsidRPr="002C36F8">
        <w:rPr>
          <w:rFonts w:ascii="Times New Roman" w:hAnsi="Times New Roman" w:cs="Times New Roman"/>
          <w:bCs/>
          <w:sz w:val="24"/>
          <w:szCs w:val="24"/>
        </w:rPr>
        <w:t>/развойна</w:t>
      </w:r>
      <w:r>
        <w:rPr>
          <w:rFonts w:ascii="Times New Roman" w:hAnsi="Times New Roman" w:cs="Times New Roman"/>
          <w:bCs/>
          <w:sz w:val="24"/>
          <w:szCs w:val="24"/>
        </w:rPr>
        <w:t>та</w:t>
      </w:r>
      <w:r w:rsidR="00C82A8A" w:rsidRPr="002C36F8">
        <w:rPr>
          <w:rFonts w:ascii="Times New Roman" w:hAnsi="Times New Roman" w:cs="Times New Roman"/>
          <w:bCs/>
          <w:sz w:val="24"/>
          <w:szCs w:val="24"/>
        </w:rPr>
        <w:t xml:space="preserve"> дейност</w:t>
      </w:r>
      <w:r>
        <w:rPr>
          <w:rFonts w:ascii="Times New Roman" w:hAnsi="Times New Roman" w:cs="Times New Roman"/>
          <w:bCs/>
          <w:sz w:val="24"/>
          <w:szCs w:val="24"/>
        </w:rPr>
        <w:t>.</w:t>
      </w:r>
      <w:r w:rsidR="00C82A8A" w:rsidRPr="002C36F8">
        <w:rPr>
          <w:rFonts w:ascii="Times New Roman" w:hAnsi="Times New Roman" w:cs="Times New Roman"/>
          <w:bCs/>
          <w:sz w:val="24"/>
          <w:szCs w:val="24"/>
        </w:rPr>
        <w:t xml:space="preserve"> </w:t>
      </w:r>
      <w:r>
        <w:rPr>
          <w:rFonts w:ascii="Times New Roman" w:hAnsi="Times New Roman" w:cs="Times New Roman"/>
          <w:bCs/>
          <w:sz w:val="24"/>
          <w:szCs w:val="24"/>
        </w:rPr>
        <w:t xml:space="preserve">В тази връзка е необходимо </w:t>
      </w:r>
      <w:r w:rsidR="00C82A8A" w:rsidRPr="002C36F8">
        <w:rPr>
          <w:rFonts w:ascii="Times New Roman" w:hAnsi="Times New Roman" w:cs="Times New Roman"/>
          <w:bCs/>
          <w:sz w:val="24"/>
          <w:szCs w:val="24"/>
        </w:rPr>
        <w:t>да бъдат реализирани определени основни мерки за развитието на тези технологии в средносроче</w:t>
      </w:r>
      <w:r w:rsidR="003E4292">
        <w:rPr>
          <w:rFonts w:ascii="Times New Roman" w:hAnsi="Times New Roman" w:cs="Times New Roman"/>
          <w:bCs/>
          <w:sz w:val="24"/>
          <w:szCs w:val="24"/>
        </w:rPr>
        <w:t>н и дългосрочен хоризонт.</w:t>
      </w:r>
    </w:p>
    <w:p w14:paraId="1DE6D877" w14:textId="7B42D79C" w:rsidR="00E66958" w:rsidRPr="002C36F8" w:rsidRDefault="00C82A8A" w:rsidP="003E4292">
      <w:pPr>
        <w:spacing w:after="0"/>
        <w:ind w:firstLine="567"/>
        <w:jc w:val="both"/>
        <w:rPr>
          <w:rFonts w:ascii="Times New Roman" w:hAnsi="Times New Roman" w:cs="Times New Roman"/>
          <w:bCs/>
          <w:sz w:val="24"/>
          <w:szCs w:val="24"/>
        </w:rPr>
      </w:pPr>
      <w:r w:rsidRPr="002C36F8">
        <w:rPr>
          <w:rFonts w:ascii="Times New Roman" w:hAnsi="Times New Roman" w:cs="Times New Roman"/>
          <w:bCs/>
          <w:sz w:val="24"/>
          <w:szCs w:val="24"/>
        </w:rPr>
        <w:t>Ключовият принцип, върху който е изградена националната рамка на пол</w:t>
      </w:r>
      <w:r w:rsidR="00ED3171">
        <w:rPr>
          <w:rFonts w:ascii="Times New Roman" w:hAnsi="Times New Roman" w:cs="Times New Roman"/>
          <w:bCs/>
          <w:sz w:val="24"/>
          <w:szCs w:val="24"/>
        </w:rPr>
        <w:t>итиката, е принципът на техноло</w:t>
      </w:r>
      <w:r w:rsidRPr="002C36F8">
        <w:rPr>
          <w:rFonts w:ascii="Times New Roman" w:hAnsi="Times New Roman" w:cs="Times New Roman"/>
          <w:bCs/>
          <w:sz w:val="24"/>
          <w:szCs w:val="24"/>
        </w:rPr>
        <w:t>гичната неутралност в смисъл на избягване на подкрепа от страна на публичния сектор само към един вид алтернативни горива. Реализирането на горепосочената глобална цел, от друга страна, трябва да се постига при тези техн</w:t>
      </w:r>
      <w:r w:rsidR="00ED3171">
        <w:rPr>
          <w:rFonts w:ascii="Times New Roman" w:hAnsi="Times New Roman" w:cs="Times New Roman"/>
          <w:bCs/>
          <w:sz w:val="24"/>
          <w:szCs w:val="24"/>
        </w:rPr>
        <w:t xml:space="preserve">ологии, които са на прага на </w:t>
      </w:r>
      <w:r w:rsidR="009D788E">
        <w:rPr>
          <w:rFonts w:ascii="Times New Roman" w:hAnsi="Times New Roman" w:cs="Times New Roman"/>
          <w:bCs/>
          <w:sz w:val="24"/>
          <w:szCs w:val="24"/>
        </w:rPr>
        <w:t>търговското</w:t>
      </w:r>
      <w:r w:rsidR="009D788E" w:rsidRPr="002C36F8">
        <w:rPr>
          <w:rFonts w:ascii="Times New Roman" w:hAnsi="Times New Roman" w:cs="Times New Roman"/>
          <w:bCs/>
          <w:sz w:val="24"/>
          <w:szCs w:val="24"/>
        </w:rPr>
        <w:t xml:space="preserve"> </w:t>
      </w:r>
      <w:r w:rsidRPr="002C36F8">
        <w:rPr>
          <w:rFonts w:ascii="Times New Roman" w:hAnsi="Times New Roman" w:cs="Times New Roman"/>
          <w:bCs/>
          <w:sz w:val="24"/>
          <w:szCs w:val="24"/>
        </w:rPr>
        <w:t>използване и при които активната политика на държавата мож</w:t>
      </w:r>
      <w:r w:rsidR="00ED3171">
        <w:rPr>
          <w:rFonts w:ascii="Times New Roman" w:hAnsi="Times New Roman" w:cs="Times New Roman"/>
          <w:bCs/>
          <w:sz w:val="24"/>
          <w:szCs w:val="24"/>
        </w:rPr>
        <w:t>е да донесе най-голяма добавена</w:t>
      </w:r>
      <w:r w:rsidRPr="002C36F8">
        <w:rPr>
          <w:rFonts w:ascii="Times New Roman" w:hAnsi="Times New Roman" w:cs="Times New Roman"/>
          <w:bCs/>
          <w:sz w:val="24"/>
          <w:szCs w:val="24"/>
        </w:rPr>
        <w:t xml:space="preserve"> стойност (т.е. електромобилност и природен газ) и по-нататък при технологиите, които понастоящем са по-скоро във фаза изпитване/пилотни проекти, но където все пак подкрепата от страна държавата може да помогне в най-скоро време поне до постигането на стадий на полукомерсиално използване (</w:t>
      </w:r>
      <w:r w:rsidR="003E4292">
        <w:rPr>
          <w:rFonts w:ascii="Times New Roman" w:hAnsi="Times New Roman" w:cs="Times New Roman"/>
          <w:bCs/>
          <w:sz w:val="24"/>
          <w:szCs w:val="24"/>
        </w:rPr>
        <w:t>водород/горивни елементи).</w:t>
      </w:r>
    </w:p>
    <w:p w14:paraId="3C0B0474" w14:textId="740A313B" w:rsidR="00E66958" w:rsidRPr="003E4292" w:rsidRDefault="005714D2" w:rsidP="003E4292">
      <w:pPr>
        <w:spacing w:after="0"/>
        <w:ind w:firstLine="567"/>
        <w:jc w:val="both"/>
        <w:rPr>
          <w:rFonts w:ascii="Times New Roman" w:hAnsi="Times New Roman" w:cs="Times New Roman"/>
          <w:sz w:val="24"/>
          <w:szCs w:val="24"/>
        </w:rPr>
      </w:pPr>
      <w:r w:rsidRPr="008045CD">
        <w:rPr>
          <w:rFonts w:ascii="Times New Roman" w:hAnsi="Times New Roman" w:cs="Times New Roman"/>
          <w:sz w:val="24"/>
          <w:szCs w:val="24"/>
        </w:rPr>
        <w:t>Развитие</w:t>
      </w:r>
      <w:r w:rsidRPr="00533217">
        <w:rPr>
          <w:rFonts w:ascii="Times New Roman" w:hAnsi="Times New Roman" w:cs="Times New Roman"/>
          <w:sz w:val="24"/>
          <w:szCs w:val="24"/>
        </w:rPr>
        <w:t>то</w:t>
      </w:r>
      <w:r w:rsidRPr="008045CD">
        <w:rPr>
          <w:rFonts w:ascii="Times New Roman" w:hAnsi="Times New Roman" w:cs="Times New Roman"/>
          <w:sz w:val="24"/>
          <w:szCs w:val="24"/>
        </w:rPr>
        <w:t xml:space="preserve"> на алтернативните технологии на задвижване </w:t>
      </w:r>
      <w:r>
        <w:rPr>
          <w:rFonts w:ascii="Times New Roman" w:hAnsi="Times New Roman" w:cs="Times New Roman"/>
          <w:sz w:val="24"/>
          <w:szCs w:val="24"/>
        </w:rPr>
        <w:t xml:space="preserve">и изграждането на съответна зарядна инфраструктура в </w:t>
      </w:r>
      <w:r w:rsidR="00356703">
        <w:rPr>
          <w:rFonts w:ascii="Times New Roman" w:hAnsi="Times New Roman" w:cs="Times New Roman"/>
          <w:sz w:val="24"/>
          <w:szCs w:val="24"/>
        </w:rPr>
        <w:t xml:space="preserve">Република </w:t>
      </w:r>
      <w:r>
        <w:rPr>
          <w:rFonts w:ascii="Times New Roman" w:hAnsi="Times New Roman" w:cs="Times New Roman"/>
          <w:sz w:val="24"/>
          <w:szCs w:val="24"/>
        </w:rPr>
        <w:t xml:space="preserve">България следва да се разглежда </w:t>
      </w:r>
      <w:r w:rsidRPr="008045CD">
        <w:rPr>
          <w:rFonts w:ascii="Times New Roman" w:hAnsi="Times New Roman" w:cs="Times New Roman"/>
          <w:sz w:val="24"/>
          <w:szCs w:val="24"/>
        </w:rPr>
        <w:t>като еволюционен процес, при който различни</w:t>
      </w:r>
      <w:r>
        <w:rPr>
          <w:rFonts w:ascii="Times New Roman" w:hAnsi="Times New Roman" w:cs="Times New Roman"/>
          <w:sz w:val="24"/>
          <w:szCs w:val="24"/>
        </w:rPr>
        <w:t>те</w:t>
      </w:r>
      <w:r w:rsidRPr="008045CD">
        <w:rPr>
          <w:rFonts w:ascii="Times New Roman" w:hAnsi="Times New Roman" w:cs="Times New Roman"/>
          <w:sz w:val="24"/>
          <w:szCs w:val="24"/>
        </w:rPr>
        <w:t xml:space="preserve"> </w:t>
      </w:r>
      <w:r>
        <w:rPr>
          <w:rFonts w:ascii="Times New Roman" w:hAnsi="Times New Roman" w:cs="Times New Roman"/>
          <w:sz w:val="24"/>
          <w:szCs w:val="24"/>
        </w:rPr>
        <w:t xml:space="preserve">алтернативни </w:t>
      </w:r>
      <w:r w:rsidRPr="008045CD">
        <w:rPr>
          <w:rFonts w:ascii="Times New Roman" w:hAnsi="Times New Roman" w:cs="Times New Roman"/>
          <w:sz w:val="24"/>
          <w:szCs w:val="24"/>
        </w:rPr>
        <w:t xml:space="preserve">горива, ще намерят в различните сегменти на </w:t>
      </w:r>
      <w:r w:rsidR="00C764BC" w:rsidRPr="008045CD">
        <w:rPr>
          <w:rFonts w:ascii="Times New Roman" w:hAnsi="Times New Roman" w:cs="Times New Roman"/>
          <w:sz w:val="24"/>
          <w:szCs w:val="24"/>
        </w:rPr>
        <w:t>пазара своето приложение и техните</w:t>
      </w:r>
      <w:r w:rsidRPr="008045CD">
        <w:rPr>
          <w:rFonts w:ascii="Times New Roman" w:hAnsi="Times New Roman" w:cs="Times New Roman"/>
          <w:sz w:val="24"/>
          <w:szCs w:val="24"/>
        </w:rPr>
        <w:t xml:space="preserve"> взаимовръзки ще са по-скоро допълващи се, отколкото конкурентни</w:t>
      </w:r>
      <w:r>
        <w:rPr>
          <w:rFonts w:ascii="Times New Roman" w:hAnsi="Times New Roman" w:cs="Times New Roman"/>
          <w:sz w:val="24"/>
          <w:szCs w:val="24"/>
        </w:rPr>
        <w:t>.</w:t>
      </w:r>
    </w:p>
    <w:p w14:paraId="0DB6AAF6" w14:textId="77777777" w:rsidR="00F17EF7" w:rsidRPr="00A30791" w:rsidRDefault="00A30791" w:rsidP="00DD0AC2">
      <w:pPr>
        <w:spacing w:after="0"/>
        <w:ind w:firstLine="567"/>
        <w:jc w:val="both"/>
        <w:rPr>
          <w:rFonts w:ascii="Times New Roman" w:hAnsi="Times New Roman" w:cs="Times New Roman"/>
          <w:bCs/>
          <w:sz w:val="24"/>
          <w:szCs w:val="24"/>
        </w:rPr>
      </w:pPr>
      <w:r w:rsidRPr="00A30791">
        <w:rPr>
          <w:rFonts w:ascii="Times New Roman" w:hAnsi="Times New Roman" w:cs="Times New Roman"/>
          <w:bCs/>
          <w:sz w:val="24"/>
          <w:szCs w:val="24"/>
        </w:rPr>
        <w:t xml:space="preserve">В рамката на политиката са </w:t>
      </w:r>
      <w:r w:rsidRPr="00A30791">
        <w:rPr>
          <w:rFonts w:ascii="Times New Roman" w:hAnsi="Times New Roman" w:cs="Times New Roman"/>
          <w:sz w:val="24"/>
          <w:szCs w:val="24"/>
        </w:rPr>
        <w:t xml:space="preserve">разгледани следните основни алтернативни горива с потенциал за дългосрочно заменяне на нефта: електроенергия, водород, биогорива, </w:t>
      </w:r>
      <w:r w:rsidRPr="00A30791">
        <w:rPr>
          <w:rFonts w:ascii="Times New Roman" w:hAnsi="Times New Roman" w:cs="Times New Roman"/>
          <w:sz w:val="24"/>
          <w:szCs w:val="24"/>
        </w:rPr>
        <w:lastRenderedPageBreak/>
        <w:t>природен газ и втечнен нефтен газ и възможността им за използване в автомобилния, водния и въздушния транспорт.</w:t>
      </w:r>
    </w:p>
    <w:p w14:paraId="33C96A85" w14:textId="07CC2148" w:rsidR="00F17EF7" w:rsidRPr="00A30791" w:rsidRDefault="00A30791" w:rsidP="00DD0AC2">
      <w:pPr>
        <w:spacing w:after="0"/>
        <w:ind w:firstLine="567"/>
        <w:jc w:val="both"/>
        <w:rPr>
          <w:rFonts w:ascii="Times New Roman" w:hAnsi="Times New Roman" w:cs="Times New Roman"/>
          <w:bCs/>
          <w:sz w:val="24"/>
          <w:szCs w:val="24"/>
        </w:rPr>
      </w:pPr>
      <w:r w:rsidRPr="00A30791">
        <w:rPr>
          <w:rFonts w:ascii="Times New Roman" w:hAnsi="Times New Roman" w:cs="Times New Roman"/>
          <w:sz w:val="24"/>
          <w:szCs w:val="24"/>
        </w:rPr>
        <w:t xml:space="preserve">Залегналите прогнозни цели в настоящата рамка служат като основа за последващо развитие при отчитане на </w:t>
      </w:r>
      <w:r w:rsidR="00AF1465">
        <w:rPr>
          <w:rFonts w:ascii="Times New Roman" w:hAnsi="Times New Roman" w:cs="Times New Roman"/>
          <w:sz w:val="24"/>
          <w:szCs w:val="24"/>
        </w:rPr>
        <w:t>евентуални възможности</w:t>
      </w:r>
      <w:r w:rsidRPr="00A30791">
        <w:rPr>
          <w:rFonts w:ascii="Times New Roman" w:hAnsi="Times New Roman" w:cs="Times New Roman"/>
          <w:sz w:val="24"/>
          <w:szCs w:val="24"/>
        </w:rPr>
        <w:t xml:space="preserve"> за сътрудничество с други държави</w:t>
      </w:r>
      <w:r w:rsidR="002800B2">
        <w:rPr>
          <w:rFonts w:ascii="Times New Roman" w:hAnsi="Times New Roman" w:cs="Times New Roman"/>
          <w:sz w:val="24"/>
          <w:szCs w:val="24"/>
        </w:rPr>
        <w:t xml:space="preserve"> </w:t>
      </w:r>
      <w:r w:rsidRPr="00A30791">
        <w:rPr>
          <w:rFonts w:ascii="Times New Roman" w:hAnsi="Times New Roman" w:cs="Times New Roman"/>
          <w:sz w:val="24"/>
          <w:szCs w:val="24"/>
        </w:rPr>
        <w:t xml:space="preserve">членки по отношение на осигуряването на необходимото покритие на инфраструктура за алтернативни горива. Разглеждането на възможностите за прилагане на потенциални мерки относно инфраструктурата за алтернативни горива в автомобилния и водния транспорт цели постигането </w:t>
      </w:r>
      <w:r w:rsidR="00356703">
        <w:rPr>
          <w:rFonts w:ascii="Times New Roman" w:hAnsi="Times New Roman" w:cs="Times New Roman"/>
          <w:sz w:val="24"/>
          <w:szCs w:val="24"/>
        </w:rPr>
        <w:t xml:space="preserve">на </w:t>
      </w:r>
      <w:r w:rsidRPr="00A30791">
        <w:rPr>
          <w:rFonts w:ascii="Times New Roman" w:hAnsi="Times New Roman" w:cs="Times New Roman"/>
          <w:sz w:val="24"/>
          <w:szCs w:val="24"/>
        </w:rPr>
        <w:t>едновременно намаляване на зависимостта на транспорта от нефта и смекчаване на негативното му въздействието върху околната среда.</w:t>
      </w:r>
    </w:p>
    <w:p w14:paraId="520515EB" w14:textId="77777777" w:rsidR="002800B2" w:rsidRDefault="002800B2" w:rsidP="002800B2">
      <w:pPr>
        <w:spacing w:after="0"/>
        <w:ind w:firstLine="360"/>
        <w:jc w:val="both"/>
        <w:rPr>
          <w:rFonts w:ascii="Times New Roman" w:hAnsi="Times New Roman" w:cs="Times New Roman"/>
          <w:bCs/>
          <w:sz w:val="24"/>
          <w:szCs w:val="24"/>
        </w:rPr>
      </w:pPr>
    </w:p>
    <w:p w14:paraId="1C0F99E5" w14:textId="77777777" w:rsidR="00F17EF7" w:rsidRPr="00F77523" w:rsidRDefault="00F17EF7" w:rsidP="001A0506">
      <w:pPr>
        <w:pStyle w:val="ListParagraph"/>
        <w:numPr>
          <w:ilvl w:val="0"/>
          <w:numId w:val="25"/>
        </w:numPr>
        <w:spacing w:after="0" w:line="240" w:lineRule="auto"/>
        <w:jc w:val="both"/>
        <w:rPr>
          <w:rFonts w:ascii="Times New Roman" w:hAnsi="Times New Roman" w:cs="Times New Roman"/>
          <w:b/>
          <w:sz w:val="24"/>
          <w:szCs w:val="24"/>
        </w:rPr>
      </w:pPr>
      <w:r w:rsidRPr="00F77523">
        <w:rPr>
          <w:rFonts w:ascii="Times New Roman" w:hAnsi="Times New Roman" w:cs="Times New Roman"/>
          <w:b/>
          <w:sz w:val="24"/>
          <w:szCs w:val="24"/>
        </w:rPr>
        <w:t>СТРАТЕГИЧЕСКА РАМКА</w:t>
      </w:r>
    </w:p>
    <w:p w14:paraId="1D8FB1A6" w14:textId="77777777" w:rsidR="002F699A" w:rsidRPr="002C36F8" w:rsidRDefault="002F699A" w:rsidP="00554E55">
      <w:pPr>
        <w:spacing w:after="0" w:line="240" w:lineRule="auto"/>
        <w:jc w:val="both"/>
        <w:rPr>
          <w:rFonts w:ascii="Times New Roman" w:hAnsi="Times New Roman" w:cs="Times New Roman"/>
          <w:b/>
          <w:sz w:val="24"/>
          <w:szCs w:val="24"/>
        </w:rPr>
      </w:pPr>
    </w:p>
    <w:p w14:paraId="2C9EDD69" w14:textId="77777777" w:rsidR="002F699A" w:rsidRPr="002C36F8" w:rsidRDefault="002F699A" w:rsidP="00554E55">
      <w:pPr>
        <w:spacing w:after="0" w:line="240" w:lineRule="auto"/>
        <w:jc w:val="both"/>
        <w:rPr>
          <w:rFonts w:ascii="Times New Roman" w:hAnsi="Times New Roman" w:cs="Times New Roman"/>
          <w:b/>
          <w:i/>
          <w:sz w:val="24"/>
          <w:szCs w:val="24"/>
          <w:u w:val="single"/>
        </w:rPr>
      </w:pPr>
      <w:r w:rsidRPr="002C36F8">
        <w:rPr>
          <w:rFonts w:ascii="Times New Roman" w:hAnsi="Times New Roman" w:cs="Times New Roman"/>
          <w:b/>
          <w:i/>
          <w:sz w:val="24"/>
          <w:szCs w:val="24"/>
          <w:u w:val="single"/>
        </w:rPr>
        <w:t>2.1 Основни стратегически документи на национално ниво</w:t>
      </w:r>
    </w:p>
    <w:p w14:paraId="65A0D025" w14:textId="77777777" w:rsidR="00554E55" w:rsidRPr="002C36F8" w:rsidRDefault="00554E55" w:rsidP="00554E55">
      <w:pPr>
        <w:spacing w:after="0" w:line="240" w:lineRule="auto"/>
        <w:ind w:firstLine="567"/>
        <w:jc w:val="both"/>
        <w:rPr>
          <w:rFonts w:ascii="Times New Roman" w:hAnsi="Times New Roman" w:cs="Times New Roman"/>
          <w:sz w:val="24"/>
          <w:szCs w:val="24"/>
        </w:rPr>
      </w:pPr>
    </w:p>
    <w:p w14:paraId="655E14D3" w14:textId="77777777" w:rsidR="002F699A" w:rsidRPr="002C36F8" w:rsidRDefault="0089314C" w:rsidP="00554E55">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Основните стратегически документи на национално ниво, в които е засегната тематиката за алтернативните горива и технологии</w:t>
      </w:r>
      <w:r w:rsidR="00554E55" w:rsidRPr="002C36F8">
        <w:rPr>
          <w:rFonts w:ascii="Times New Roman" w:hAnsi="Times New Roman" w:cs="Times New Roman"/>
          <w:sz w:val="24"/>
          <w:szCs w:val="24"/>
        </w:rPr>
        <w:t>,</w:t>
      </w:r>
      <w:r w:rsidRPr="002C36F8">
        <w:rPr>
          <w:rFonts w:ascii="Times New Roman" w:hAnsi="Times New Roman" w:cs="Times New Roman"/>
          <w:sz w:val="24"/>
          <w:szCs w:val="24"/>
        </w:rPr>
        <w:t xml:space="preserve"> са следните:</w:t>
      </w:r>
    </w:p>
    <w:p w14:paraId="6551C661" w14:textId="77777777" w:rsidR="00FC781B" w:rsidRPr="002C36F8" w:rsidRDefault="00FC781B" w:rsidP="00554E55">
      <w:pPr>
        <w:spacing w:after="0" w:line="240" w:lineRule="auto"/>
        <w:ind w:firstLine="567"/>
        <w:jc w:val="both"/>
        <w:rPr>
          <w:rFonts w:ascii="Times New Roman" w:hAnsi="Times New Roman" w:cs="Times New Roman"/>
          <w:sz w:val="24"/>
          <w:szCs w:val="24"/>
        </w:rPr>
      </w:pPr>
    </w:p>
    <w:p w14:paraId="0D346E61" w14:textId="77777777" w:rsidR="00554E55" w:rsidRPr="002C36F8" w:rsidRDefault="0089314C" w:rsidP="001A0506">
      <w:pPr>
        <w:pStyle w:val="ListParagraph"/>
        <w:numPr>
          <w:ilvl w:val="2"/>
          <w:numId w:val="25"/>
        </w:numPr>
        <w:spacing w:after="0" w:line="240" w:lineRule="auto"/>
        <w:ind w:left="567" w:hanging="567"/>
        <w:jc w:val="both"/>
        <w:rPr>
          <w:rFonts w:ascii="Times New Roman" w:hAnsi="Times New Roman" w:cs="Times New Roman"/>
          <w:b/>
          <w:sz w:val="24"/>
          <w:szCs w:val="24"/>
        </w:rPr>
      </w:pPr>
      <w:r w:rsidRPr="002C36F8">
        <w:rPr>
          <w:rFonts w:ascii="Times New Roman" w:hAnsi="Times New Roman" w:cs="Times New Roman"/>
          <w:b/>
          <w:i/>
          <w:sz w:val="24"/>
          <w:szCs w:val="24"/>
        </w:rPr>
        <w:t>Национален план за действие за насърчав</w:t>
      </w:r>
      <w:r w:rsidR="00554E55" w:rsidRPr="002C36F8">
        <w:rPr>
          <w:rFonts w:ascii="Times New Roman" w:hAnsi="Times New Roman" w:cs="Times New Roman"/>
          <w:b/>
          <w:i/>
          <w:sz w:val="24"/>
          <w:szCs w:val="24"/>
        </w:rPr>
        <w:t xml:space="preserve">ане производството и ускореното </w:t>
      </w:r>
      <w:r w:rsidRPr="002C36F8">
        <w:rPr>
          <w:rFonts w:ascii="Times New Roman" w:hAnsi="Times New Roman" w:cs="Times New Roman"/>
          <w:b/>
          <w:i/>
          <w:sz w:val="24"/>
          <w:szCs w:val="24"/>
        </w:rPr>
        <w:t>навлизане на екологични превозни средства, включително на електрическата мобилност в България за периода 2012 – 2014 г.</w:t>
      </w:r>
    </w:p>
    <w:p w14:paraId="2F7B2B5F" w14:textId="3A0C4BEF" w:rsidR="00554E55" w:rsidRPr="002C36F8" w:rsidRDefault="00554E55" w:rsidP="00554E55">
      <w:pPr>
        <w:pStyle w:val="ListParagraph"/>
        <w:spacing w:after="0" w:line="240" w:lineRule="auto"/>
        <w:ind w:left="567"/>
        <w:jc w:val="both"/>
        <w:rPr>
          <w:rFonts w:ascii="Times New Roman" w:hAnsi="Times New Roman" w:cs="Times New Roman"/>
          <w:sz w:val="24"/>
          <w:szCs w:val="24"/>
        </w:rPr>
      </w:pPr>
      <w:r w:rsidRPr="002C36F8">
        <w:rPr>
          <w:rFonts w:ascii="Times New Roman" w:hAnsi="Times New Roman" w:cs="Times New Roman"/>
          <w:i/>
          <w:sz w:val="24"/>
          <w:szCs w:val="24"/>
        </w:rPr>
        <w:t>(</w:t>
      </w:r>
      <w:r w:rsidR="0089314C" w:rsidRPr="002C36F8">
        <w:rPr>
          <w:rFonts w:ascii="Times New Roman" w:hAnsi="Times New Roman" w:cs="Times New Roman"/>
          <w:sz w:val="24"/>
          <w:szCs w:val="24"/>
        </w:rPr>
        <w:t xml:space="preserve">приет </w:t>
      </w:r>
      <w:r w:rsidR="0089314C" w:rsidRPr="002C36F8">
        <w:rPr>
          <w:rFonts w:ascii="Times New Roman" w:hAnsi="Times New Roman" w:cs="Times New Roman"/>
          <w:color w:val="333333"/>
          <w:sz w:val="24"/>
          <w:szCs w:val="24"/>
        </w:rPr>
        <w:t xml:space="preserve">с Решение </w:t>
      </w:r>
      <w:r w:rsidR="0089314C" w:rsidRPr="002C36F8">
        <w:rPr>
          <w:rFonts w:ascii="Times New Roman" w:hAnsi="Times New Roman" w:cs="Times New Roman"/>
          <w:sz w:val="24"/>
          <w:szCs w:val="24"/>
        </w:rPr>
        <w:t>№ 862 на Министерския съвет от 19.10.2012 г.,</w:t>
      </w:r>
      <w:r w:rsidRPr="002C36F8">
        <w:rPr>
          <w:rFonts w:ascii="Times New Roman" w:hAnsi="Times New Roman" w:cs="Times New Roman"/>
          <w:sz w:val="24"/>
          <w:szCs w:val="24"/>
        </w:rPr>
        <w:t>)</w:t>
      </w:r>
      <w:r w:rsidR="002F699A" w:rsidRPr="002C36F8">
        <w:rPr>
          <w:rFonts w:ascii="Times New Roman" w:hAnsi="Times New Roman" w:cs="Times New Roman"/>
          <w:sz w:val="24"/>
          <w:szCs w:val="24"/>
        </w:rPr>
        <w:t>.</w:t>
      </w:r>
    </w:p>
    <w:p w14:paraId="233BB4D4" w14:textId="77777777" w:rsidR="00554E55" w:rsidRPr="002C36F8" w:rsidRDefault="00554E55" w:rsidP="00DD0AC2">
      <w:pPr>
        <w:spacing w:after="0" w:line="240" w:lineRule="auto"/>
        <w:ind w:firstLine="567"/>
        <w:jc w:val="both"/>
        <w:rPr>
          <w:rFonts w:ascii="Times New Roman" w:hAnsi="Times New Roman" w:cs="Times New Roman"/>
          <w:sz w:val="24"/>
          <w:szCs w:val="24"/>
        </w:rPr>
      </w:pPr>
    </w:p>
    <w:p w14:paraId="4494F046" w14:textId="77777777" w:rsidR="0089314C" w:rsidRPr="002C36F8" w:rsidRDefault="0089314C" w:rsidP="00DD0AC2">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Документът определя рамката на политика в областта на електрическата мобилност, както и основните мерки и дейности, които следва да бъдат изпълнени, за да се стимулира производството и търсенето/потреблението на екологични превозни средства у нас.</w:t>
      </w:r>
    </w:p>
    <w:p w14:paraId="20D27D4E" w14:textId="77777777" w:rsidR="0089314C" w:rsidRDefault="0089314C" w:rsidP="00FC781B">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Cs/>
          <w:sz w:val="24"/>
          <w:szCs w:val="24"/>
        </w:rPr>
        <w:t>Планът включва 29 мерки, осигуряващи изпълнението на 7 цели</w:t>
      </w:r>
      <w:r w:rsidRPr="002C36F8">
        <w:rPr>
          <w:rFonts w:ascii="Times New Roman" w:hAnsi="Times New Roman" w:cs="Times New Roman"/>
          <w:sz w:val="24"/>
          <w:szCs w:val="24"/>
        </w:rPr>
        <w:t xml:space="preserve">, а именно: </w:t>
      </w:r>
    </w:p>
    <w:p w14:paraId="461DE4F0" w14:textId="4A973574"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1. Стимулиране на производството на електрически и други екологични превозни средства (ПС), включително на компоненти за тях – 6 мерки; </w:t>
      </w:r>
    </w:p>
    <w:p w14:paraId="03E4AF98" w14:textId="77777777"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2. Стимулиране на </w:t>
      </w:r>
      <w:r w:rsidR="002A1DE7">
        <w:rPr>
          <w:rFonts w:ascii="Times New Roman" w:hAnsi="Times New Roman" w:cs="Times New Roman"/>
          <w:sz w:val="24"/>
          <w:szCs w:val="24"/>
        </w:rPr>
        <w:t>Научно-изследователстата и развойна дейност (</w:t>
      </w:r>
      <w:r w:rsidRPr="002C36F8">
        <w:rPr>
          <w:rFonts w:ascii="Times New Roman" w:hAnsi="Times New Roman" w:cs="Times New Roman"/>
          <w:sz w:val="24"/>
          <w:szCs w:val="24"/>
        </w:rPr>
        <w:t>НИРД</w:t>
      </w:r>
      <w:r w:rsidR="002A1DE7">
        <w:rPr>
          <w:rFonts w:ascii="Times New Roman" w:hAnsi="Times New Roman" w:cs="Times New Roman"/>
          <w:sz w:val="24"/>
          <w:szCs w:val="24"/>
        </w:rPr>
        <w:t>)</w:t>
      </w:r>
      <w:r w:rsidRPr="002C36F8">
        <w:rPr>
          <w:rFonts w:ascii="Times New Roman" w:hAnsi="Times New Roman" w:cs="Times New Roman"/>
          <w:sz w:val="24"/>
          <w:szCs w:val="24"/>
        </w:rPr>
        <w:t xml:space="preserve"> за развитие на екологични ПС и на средства за зареждане – 1 мярка; </w:t>
      </w:r>
    </w:p>
    <w:p w14:paraId="77311CFA" w14:textId="77777777"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3. Стимулиране на търсенето/потреблението на екологични ПС – 6 мерки; </w:t>
      </w:r>
    </w:p>
    <w:p w14:paraId="32319CF4" w14:textId="77777777"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4. Ускорено изграждане на зарядна инфраструктура за електрически ПС (ЕПС) и хибридни ПС (ХПС) – 4 мерки; </w:t>
      </w:r>
    </w:p>
    <w:p w14:paraId="345F197A" w14:textId="77777777"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5. Повишаване на осведомеността и капацитета на заинтересованите страни и населението за същността, целите и ползите от развитие на устойчивата мобилност – 4 мерки; </w:t>
      </w:r>
    </w:p>
    <w:p w14:paraId="3F61392F" w14:textId="77777777" w:rsidR="0089314C" w:rsidRPr="002C36F8" w:rsidRDefault="0089314C" w:rsidP="00FC781B">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6. Насърчаване развитието на устойчива градска мобилност – 6 мерки; </w:t>
      </w:r>
    </w:p>
    <w:p w14:paraId="0FDB8E14" w14:textId="77777777" w:rsidR="00FC781B" w:rsidRPr="002C36F8" w:rsidRDefault="0089314C" w:rsidP="000465E9">
      <w:pPr>
        <w:spacing w:after="0" w:line="240" w:lineRule="auto"/>
        <w:ind w:left="709" w:hanging="425"/>
        <w:jc w:val="both"/>
        <w:rPr>
          <w:rFonts w:ascii="Times New Roman" w:hAnsi="Times New Roman" w:cs="Times New Roman"/>
          <w:sz w:val="24"/>
          <w:szCs w:val="24"/>
        </w:rPr>
      </w:pPr>
      <w:r w:rsidRPr="002C36F8">
        <w:rPr>
          <w:rFonts w:ascii="Times New Roman" w:hAnsi="Times New Roman" w:cs="Times New Roman"/>
          <w:sz w:val="24"/>
          <w:szCs w:val="24"/>
        </w:rPr>
        <w:t xml:space="preserve">7. Насърчаване на производството и използването на алтернативни горива в транспорта, получени от третиране на отпадъци – 2 мерки. </w:t>
      </w:r>
    </w:p>
    <w:p w14:paraId="74E64C1C" w14:textId="77777777" w:rsidR="00FC781B" w:rsidRPr="002C36F8" w:rsidRDefault="00FC781B" w:rsidP="00FC781B">
      <w:pPr>
        <w:spacing w:after="0" w:line="240" w:lineRule="auto"/>
        <w:jc w:val="both"/>
        <w:rPr>
          <w:rFonts w:ascii="Times New Roman" w:hAnsi="Times New Roman" w:cs="Times New Roman"/>
          <w:sz w:val="24"/>
          <w:szCs w:val="24"/>
        </w:rPr>
      </w:pPr>
    </w:p>
    <w:p w14:paraId="4202CCE0" w14:textId="77777777" w:rsidR="00DD0AC2" w:rsidRPr="002C36F8" w:rsidRDefault="0089314C" w:rsidP="001A0506">
      <w:pPr>
        <w:pStyle w:val="ListParagraph"/>
        <w:numPr>
          <w:ilvl w:val="2"/>
          <w:numId w:val="25"/>
        </w:numPr>
        <w:spacing w:after="0" w:line="240" w:lineRule="auto"/>
        <w:ind w:left="567" w:hanging="567"/>
        <w:jc w:val="both"/>
        <w:rPr>
          <w:rFonts w:ascii="Times New Roman" w:hAnsi="Times New Roman" w:cs="Times New Roman"/>
          <w:b/>
          <w:i/>
          <w:sz w:val="24"/>
          <w:szCs w:val="24"/>
        </w:rPr>
      </w:pPr>
      <w:r w:rsidRPr="002C36F8">
        <w:rPr>
          <w:rFonts w:ascii="Times New Roman" w:hAnsi="Times New Roman" w:cs="Times New Roman"/>
          <w:b/>
          <w:i/>
          <w:sz w:val="24"/>
          <w:szCs w:val="24"/>
        </w:rPr>
        <w:t xml:space="preserve">Национална програма за развитие: България 2020 г. </w:t>
      </w:r>
    </w:p>
    <w:p w14:paraId="007A8D36" w14:textId="77777777" w:rsidR="00554E55" w:rsidRPr="002C36F8" w:rsidRDefault="00554E55" w:rsidP="00DD0AC2">
      <w:pPr>
        <w:autoSpaceDE w:val="0"/>
        <w:autoSpaceDN w:val="0"/>
        <w:adjustRightInd w:val="0"/>
        <w:spacing w:after="0" w:line="240" w:lineRule="auto"/>
        <w:ind w:firstLine="567"/>
        <w:jc w:val="both"/>
        <w:rPr>
          <w:rFonts w:ascii="Times New Roman" w:hAnsi="Times New Roman" w:cs="Times New Roman"/>
          <w:sz w:val="24"/>
          <w:szCs w:val="24"/>
        </w:rPr>
      </w:pPr>
    </w:p>
    <w:p w14:paraId="7888104E" w14:textId="77777777" w:rsidR="0089314C" w:rsidRPr="002C36F8" w:rsidRDefault="0089314C" w:rsidP="00DD0AC2">
      <w:pPr>
        <w:autoSpaceDE w:val="0"/>
        <w:autoSpaceDN w:val="0"/>
        <w:adjustRightInd w:val="0"/>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В </w:t>
      </w:r>
      <w:r w:rsidR="008744FA">
        <w:rPr>
          <w:rFonts w:ascii="Times New Roman" w:hAnsi="Times New Roman" w:cs="Times New Roman"/>
          <w:sz w:val="24"/>
          <w:szCs w:val="24"/>
        </w:rPr>
        <w:t>Под-</w:t>
      </w:r>
      <w:r w:rsidR="008744FA" w:rsidRPr="002C36F8">
        <w:rPr>
          <w:rFonts w:ascii="Times New Roman" w:hAnsi="Times New Roman" w:cs="Times New Roman"/>
          <w:sz w:val="24"/>
          <w:szCs w:val="24"/>
        </w:rPr>
        <w:t>приоритет</w:t>
      </w:r>
      <w:r w:rsidRPr="002C36F8">
        <w:rPr>
          <w:rFonts w:ascii="Times New Roman" w:hAnsi="Times New Roman" w:cs="Times New Roman"/>
          <w:sz w:val="24"/>
          <w:szCs w:val="24"/>
        </w:rPr>
        <w:t xml:space="preserve"> 8.4 „</w:t>
      </w:r>
      <w:r w:rsidRPr="002C36F8">
        <w:rPr>
          <w:rFonts w:ascii="Times New Roman" w:hAnsi="Times New Roman" w:cs="Times New Roman"/>
          <w:bCs/>
          <w:iCs/>
          <w:sz w:val="24"/>
          <w:szCs w:val="24"/>
        </w:rPr>
        <w:t>Ограничаване негативното въздействие на транспорта върху околната среда и здравето на хората“</w:t>
      </w:r>
      <w:r w:rsidRPr="002C36F8">
        <w:rPr>
          <w:rFonts w:ascii="Times New Roman" w:hAnsi="Times New Roman" w:cs="Times New Roman"/>
          <w:sz w:val="24"/>
          <w:szCs w:val="24"/>
        </w:rPr>
        <w:t xml:space="preserve"> на Приоритет 8 „Подобряване на транспортната свързаност и достъпа до пазари“ на програмата са заложени мерки за насърчаване използването на хибридни и електрически автомобилен транспорт и стимулиране обновяването на автомобилния парк.</w:t>
      </w:r>
    </w:p>
    <w:p w14:paraId="16E66951" w14:textId="77777777" w:rsidR="00FC781B" w:rsidRPr="002C36F8" w:rsidRDefault="00FC781B" w:rsidP="00FC781B">
      <w:pPr>
        <w:autoSpaceDE w:val="0"/>
        <w:autoSpaceDN w:val="0"/>
        <w:adjustRightInd w:val="0"/>
        <w:spacing w:after="0" w:line="240" w:lineRule="auto"/>
        <w:ind w:firstLine="567"/>
        <w:jc w:val="both"/>
        <w:rPr>
          <w:rFonts w:ascii="Times New Roman" w:hAnsi="Times New Roman" w:cs="Times New Roman"/>
          <w:bCs/>
          <w:iCs/>
          <w:sz w:val="24"/>
          <w:szCs w:val="24"/>
        </w:rPr>
      </w:pPr>
    </w:p>
    <w:p w14:paraId="2062F383" w14:textId="77777777" w:rsidR="00DD0AC2" w:rsidRPr="002C36F8" w:rsidRDefault="0089314C" w:rsidP="001A0506">
      <w:pPr>
        <w:pStyle w:val="ListParagraph"/>
        <w:numPr>
          <w:ilvl w:val="2"/>
          <w:numId w:val="25"/>
        </w:numPr>
        <w:spacing w:after="0" w:line="240" w:lineRule="auto"/>
        <w:ind w:left="567" w:hanging="567"/>
        <w:jc w:val="both"/>
        <w:rPr>
          <w:rFonts w:ascii="Times New Roman" w:hAnsi="Times New Roman" w:cs="Times New Roman"/>
          <w:b/>
          <w:i/>
          <w:sz w:val="24"/>
          <w:szCs w:val="24"/>
        </w:rPr>
      </w:pPr>
      <w:r w:rsidRPr="002C36F8">
        <w:rPr>
          <w:rFonts w:ascii="Times New Roman" w:hAnsi="Times New Roman" w:cs="Times New Roman"/>
          <w:b/>
          <w:i/>
          <w:sz w:val="24"/>
          <w:szCs w:val="24"/>
        </w:rPr>
        <w:lastRenderedPageBreak/>
        <w:t>Трети национален план за действие по изменение на климата за периода 2013 – 2020 г.</w:t>
      </w:r>
    </w:p>
    <w:p w14:paraId="0F24AD14" w14:textId="77777777" w:rsidR="00554E55" w:rsidRPr="002C36F8" w:rsidRDefault="00554E55" w:rsidP="00DD0AC2">
      <w:pPr>
        <w:spacing w:after="0" w:line="240" w:lineRule="auto"/>
        <w:ind w:firstLine="567"/>
        <w:jc w:val="both"/>
        <w:rPr>
          <w:rFonts w:ascii="Times New Roman" w:hAnsi="Times New Roman" w:cs="Times New Roman"/>
          <w:sz w:val="24"/>
          <w:szCs w:val="24"/>
        </w:rPr>
      </w:pPr>
    </w:p>
    <w:p w14:paraId="0D108C7E" w14:textId="77777777" w:rsidR="0089314C" w:rsidRPr="002C36F8" w:rsidRDefault="0089314C" w:rsidP="00DD0AC2">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В плана са предвидени конкретни мерки за намаляване на емисиите парникови газове в транспортния сектор. Те са насочени към постигане на оптимален баланс в използването на потенциала на различните видове транспорт и са обособени в четири приоритетни оси.</w:t>
      </w:r>
    </w:p>
    <w:p w14:paraId="4EEA8867" w14:textId="77777777" w:rsidR="00554E55" w:rsidRPr="002C36F8" w:rsidRDefault="0089314C" w:rsidP="00554E55">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По приоритетна ос 1 „Намаляване на емисиите от транспорта“ е дефинирана мярка (с косвен ефект) „Развитие и стимулиране на ползването на хибриден и електрически автомобилен транспорт“</w:t>
      </w:r>
    </w:p>
    <w:p w14:paraId="167FADF7" w14:textId="77777777" w:rsidR="00DD0AC2" w:rsidRPr="002C36F8" w:rsidRDefault="00FC781B" w:rsidP="001A0506">
      <w:pPr>
        <w:pStyle w:val="ListParagraph"/>
        <w:numPr>
          <w:ilvl w:val="2"/>
          <w:numId w:val="25"/>
        </w:numPr>
        <w:spacing w:after="0" w:line="240" w:lineRule="auto"/>
        <w:ind w:left="567" w:hanging="567"/>
        <w:jc w:val="both"/>
        <w:rPr>
          <w:rFonts w:ascii="Times New Roman" w:hAnsi="Times New Roman" w:cs="Times New Roman"/>
          <w:b/>
          <w:sz w:val="24"/>
          <w:szCs w:val="24"/>
        </w:rPr>
      </w:pPr>
      <w:r w:rsidRPr="002C36F8">
        <w:rPr>
          <w:rFonts w:ascii="Times New Roman" w:hAnsi="Times New Roman" w:cs="Times New Roman"/>
          <w:b/>
          <w:i/>
          <w:sz w:val="24"/>
          <w:szCs w:val="24"/>
        </w:rPr>
        <w:t>Национална стратегия</w:t>
      </w:r>
      <w:r w:rsidR="0089314C" w:rsidRPr="002C36F8">
        <w:rPr>
          <w:rFonts w:ascii="Times New Roman" w:hAnsi="Times New Roman" w:cs="Times New Roman"/>
          <w:b/>
          <w:i/>
          <w:sz w:val="24"/>
          <w:szCs w:val="24"/>
        </w:rPr>
        <w:t xml:space="preserve"> за развитие на научните изследвания до 2020 г.</w:t>
      </w:r>
    </w:p>
    <w:p w14:paraId="3B418857" w14:textId="77777777" w:rsidR="00554E55" w:rsidRPr="002C36F8" w:rsidRDefault="00554E55" w:rsidP="00DD0AC2">
      <w:pPr>
        <w:widowControl w:val="0"/>
        <w:spacing w:after="0" w:line="240" w:lineRule="auto"/>
        <w:ind w:left="40" w:right="40" w:firstLine="527"/>
        <w:jc w:val="both"/>
        <w:rPr>
          <w:rFonts w:ascii="Times New Roman" w:eastAsia="Times New Roman" w:hAnsi="Times New Roman" w:cs="Times New Roman"/>
          <w:sz w:val="24"/>
          <w:szCs w:val="24"/>
        </w:rPr>
      </w:pPr>
    </w:p>
    <w:p w14:paraId="5C184081" w14:textId="77777777" w:rsidR="0089314C" w:rsidRPr="002C36F8" w:rsidRDefault="0089314C" w:rsidP="00FC781B">
      <w:pPr>
        <w:widowControl w:val="0"/>
        <w:spacing w:after="0" w:line="240" w:lineRule="auto"/>
        <w:ind w:left="40" w:right="40" w:firstLine="527"/>
        <w:jc w:val="both"/>
        <w:rPr>
          <w:rFonts w:ascii="Times New Roman" w:eastAsia="Times New Roman" w:hAnsi="Times New Roman" w:cs="Times New Roman"/>
          <w:sz w:val="24"/>
          <w:szCs w:val="24"/>
        </w:rPr>
      </w:pPr>
      <w:r w:rsidRPr="002C36F8">
        <w:rPr>
          <w:rFonts w:ascii="Times New Roman" w:hAnsi="Times New Roman" w:cs="Times New Roman"/>
          <w:sz w:val="24"/>
          <w:szCs w:val="24"/>
        </w:rPr>
        <w:t xml:space="preserve">В стратегията за развитие на научните изследвания до 2020 г. са изведени няколко главни научни приоритетни области: </w:t>
      </w:r>
    </w:p>
    <w:p w14:paraId="296F78F8" w14:textId="77777777" w:rsidR="0089314C" w:rsidRPr="002C36F8" w:rsidRDefault="0089314C" w:rsidP="001A0506">
      <w:pPr>
        <w:pStyle w:val="ListParagraph"/>
        <w:numPr>
          <w:ilvl w:val="0"/>
          <w:numId w:val="3"/>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енергия, енергийна ефективност и транспорт: развитие на зелени и екотехнологии; </w:t>
      </w:r>
    </w:p>
    <w:p w14:paraId="34808F59" w14:textId="77777777" w:rsidR="00FC781B" w:rsidRPr="002C36F8" w:rsidRDefault="0089314C" w:rsidP="001A0506">
      <w:pPr>
        <w:pStyle w:val="ListParagraph"/>
        <w:numPr>
          <w:ilvl w:val="0"/>
          <w:numId w:val="3"/>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здраве и качество на живота, биотехнологии и екологично чисти храни; </w:t>
      </w:r>
    </w:p>
    <w:p w14:paraId="43080739" w14:textId="77777777" w:rsidR="00FC781B" w:rsidRPr="002C36F8" w:rsidRDefault="0089314C" w:rsidP="001A0506">
      <w:pPr>
        <w:pStyle w:val="ListParagraph"/>
        <w:numPr>
          <w:ilvl w:val="0"/>
          <w:numId w:val="3"/>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нови материали и технологии; </w:t>
      </w:r>
    </w:p>
    <w:p w14:paraId="2609F0E6" w14:textId="77777777" w:rsidR="00FC781B" w:rsidRPr="002C36F8" w:rsidRDefault="0089314C" w:rsidP="001A0506">
      <w:pPr>
        <w:pStyle w:val="ListParagraph"/>
        <w:numPr>
          <w:ilvl w:val="0"/>
          <w:numId w:val="3"/>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културно историческо наследство, социално икономическо развитие и управление; </w:t>
      </w:r>
    </w:p>
    <w:p w14:paraId="666B5D34" w14:textId="77777777" w:rsidR="0089314C" w:rsidRPr="002C36F8" w:rsidRDefault="0089314C" w:rsidP="001A0506">
      <w:pPr>
        <w:pStyle w:val="ListParagraph"/>
        <w:numPr>
          <w:ilvl w:val="0"/>
          <w:numId w:val="3"/>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информационни и комуникационни технологии.</w:t>
      </w:r>
    </w:p>
    <w:p w14:paraId="3FE36FD4" w14:textId="77777777" w:rsidR="0089314C" w:rsidRPr="002C36F8" w:rsidRDefault="0089314C" w:rsidP="00FC781B">
      <w:pPr>
        <w:widowControl w:val="0"/>
        <w:spacing w:after="0" w:line="240" w:lineRule="auto"/>
        <w:ind w:right="40"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 xml:space="preserve">Други по-важни акценти от Националната стратегия за развитие на научните изследвания </w:t>
      </w:r>
      <w:r w:rsidR="00FC781B" w:rsidRPr="002C36F8">
        <w:rPr>
          <w:rFonts w:ascii="Times New Roman" w:eastAsia="Times New Roman" w:hAnsi="Times New Roman" w:cs="Times New Roman"/>
          <w:sz w:val="24"/>
          <w:szCs w:val="24"/>
        </w:rPr>
        <w:t xml:space="preserve">до </w:t>
      </w:r>
      <w:r w:rsidRPr="002C36F8">
        <w:rPr>
          <w:rFonts w:ascii="Times New Roman" w:eastAsia="Times New Roman" w:hAnsi="Times New Roman" w:cs="Times New Roman"/>
          <w:sz w:val="24"/>
          <w:szCs w:val="24"/>
        </w:rPr>
        <w:t>2020 г. са свързани с развитието и повишаването на ефективността на научните изследвания и иновациите, създаването на достатъчно стимули за консолидиране на научноизследователските структури и на научния потенциал. Целта е чрез обединяване на финансови ресурси, инфраструктура и изследователски състав да се изградят и утвърдят силни научноизследователски звена, които да извършват качествени научни изследвания и да са конкурентоспособни на европейско и световно равнище. Изграждането на ефективни партньорства между научните организации, университетите и бизнеса обогатява всички участници в процеса с нови знания и умения и създава висока добавена стойност за икономиката. Участието на частния сектор в научноизследователската дейност е една от основните задачи на ЕС и като дейност е предвиден в почти всички политически документи на Общността. Предвижда се включването на бизнеса не само под формата на преки инвестиции, а и като бенефициент на научни знания и продукти и стабилен партньор в триъгълника на знанието.</w:t>
      </w:r>
    </w:p>
    <w:p w14:paraId="1345ECFD" w14:textId="77777777" w:rsidR="00FC781B" w:rsidRPr="002C36F8" w:rsidRDefault="00FC781B" w:rsidP="000465E9">
      <w:pPr>
        <w:spacing w:after="0" w:line="240" w:lineRule="auto"/>
        <w:jc w:val="both"/>
        <w:rPr>
          <w:rFonts w:ascii="Times New Roman" w:hAnsi="Times New Roman" w:cs="Times New Roman"/>
          <w:sz w:val="24"/>
          <w:szCs w:val="24"/>
        </w:rPr>
      </w:pPr>
    </w:p>
    <w:p w14:paraId="7CA158A2" w14:textId="77777777" w:rsidR="00DD0AC2" w:rsidRPr="002C36F8" w:rsidRDefault="0089314C" w:rsidP="001A0506">
      <w:pPr>
        <w:pStyle w:val="ListParagraph"/>
        <w:numPr>
          <w:ilvl w:val="2"/>
          <w:numId w:val="25"/>
        </w:numPr>
        <w:spacing w:after="0" w:line="240" w:lineRule="auto"/>
        <w:ind w:left="567" w:hanging="567"/>
        <w:jc w:val="both"/>
        <w:rPr>
          <w:rFonts w:ascii="Times New Roman" w:hAnsi="Times New Roman" w:cs="Times New Roman"/>
          <w:b/>
          <w:i/>
          <w:sz w:val="24"/>
          <w:szCs w:val="24"/>
        </w:rPr>
      </w:pPr>
      <w:r w:rsidRPr="002C36F8">
        <w:rPr>
          <w:rFonts w:ascii="Times New Roman" w:hAnsi="Times New Roman" w:cs="Times New Roman"/>
          <w:b/>
          <w:i/>
          <w:sz w:val="24"/>
          <w:szCs w:val="24"/>
        </w:rPr>
        <w:t>Иновационна стратегия за интелигентна специализация на Република България за периода до 2020 г., приета с Решение № 857 на Министерския съвет от 3.11.2015 г.</w:t>
      </w:r>
    </w:p>
    <w:p w14:paraId="54D23DEE" w14:textId="77777777" w:rsidR="00554E55" w:rsidRPr="002C36F8" w:rsidRDefault="00554E55" w:rsidP="00DD0AC2">
      <w:pPr>
        <w:spacing w:after="0" w:line="240" w:lineRule="auto"/>
        <w:ind w:firstLine="567"/>
        <w:jc w:val="both"/>
        <w:rPr>
          <w:rFonts w:ascii="Times New Roman" w:hAnsi="Times New Roman" w:cs="Times New Roman"/>
          <w:sz w:val="24"/>
          <w:szCs w:val="24"/>
        </w:rPr>
      </w:pPr>
    </w:p>
    <w:p w14:paraId="209EAFB3" w14:textId="77777777" w:rsidR="00FC781B" w:rsidRPr="002C36F8" w:rsidRDefault="0089314C" w:rsidP="00DD0AC2">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Стратегията</w:t>
      </w:r>
      <w:r w:rsidR="00770CD4">
        <w:rPr>
          <w:rFonts w:ascii="Times New Roman" w:hAnsi="Times New Roman" w:cs="Times New Roman"/>
          <w:sz w:val="24"/>
          <w:szCs w:val="24"/>
        </w:rPr>
        <w:t xml:space="preserve"> е интегриран документ, обхващащ</w:t>
      </w:r>
      <w:r w:rsidRPr="002C36F8">
        <w:rPr>
          <w:rFonts w:ascii="Times New Roman" w:hAnsi="Times New Roman" w:cs="Times New Roman"/>
          <w:sz w:val="24"/>
          <w:szCs w:val="24"/>
        </w:rPr>
        <w:t xml:space="preserve"> въпросите на иновационната и научната политики, политиката в областта на цифровия растеж, ресурсната ефективност и екоиновациите и други. В нея са набелязани приоритетите за стимулиране на иновациите с цел ускоряване на прехода към икономика на знанието и определяне на съгласуван микс от политики, пътни карти и планове за действие, както и цялостна рамка за мониторинг и оценка.</w:t>
      </w:r>
    </w:p>
    <w:p w14:paraId="02C73083" w14:textId="77777777" w:rsidR="0089314C" w:rsidRPr="002C36F8" w:rsidRDefault="0089314C" w:rsidP="00FC781B">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Cs/>
          <w:color w:val="000000"/>
          <w:sz w:val="24"/>
          <w:szCs w:val="24"/>
        </w:rPr>
        <w:t>Ключова оперативна цел</w:t>
      </w:r>
      <w:r w:rsidRPr="002C36F8">
        <w:rPr>
          <w:rFonts w:ascii="Times New Roman" w:hAnsi="Times New Roman" w:cs="Times New Roman"/>
          <w:b/>
          <w:bCs/>
          <w:color w:val="000000"/>
          <w:sz w:val="24"/>
          <w:szCs w:val="24"/>
        </w:rPr>
        <w:t xml:space="preserve"> </w:t>
      </w:r>
      <w:r w:rsidRPr="002C36F8">
        <w:rPr>
          <w:rFonts w:ascii="Times New Roman" w:hAnsi="Times New Roman" w:cs="Times New Roman"/>
          <w:bCs/>
          <w:color w:val="000000"/>
          <w:sz w:val="24"/>
          <w:szCs w:val="24"/>
        </w:rPr>
        <w:t>на приетата през 2015 г.</w:t>
      </w:r>
      <w:r w:rsidRPr="002C36F8">
        <w:rPr>
          <w:rFonts w:ascii="Times New Roman" w:hAnsi="Times New Roman" w:cs="Times New Roman"/>
          <w:b/>
          <w:bCs/>
          <w:color w:val="000000"/>
          <w:sz w:val="24"/>
          <w:szCs w:val="24"/>
        </w:rPr>
        <w:t xml:space="preserve"> </w:t>
      </w:r>
      <w:r w:rsidRPr="002C36F8">
        <w:rPr>
          <w:rFonts w:ascii="Times New Roman" w:hAnsi="Times New Roman" w:cs="Times New Roman"/>
          <w:color w:val="000000"/>
          <w:sz w:val="24"/>
          <w:szCs w:val="24"/>
        </w:rPr>
        <w:t xml:space="preserve">Иновационната стратегия за интелигентна специализация на Република България за периода 2014 – 2020 г. е: фокусирането на инвестициите за развитие на иновационния потенциал в идентифицирани 4 тематични области: </w:t>
      </w:r>
    </w:p>
    <w:p w14:paraId="2E9CB3D5" w14:textId="77777777" w:rsidR="005058C6" w:rsidRPr="002C36F8" w:rsidRDefault="0089314C" w:rsidP="001A0506">
      <w:pPr>
        <w:pStyle w:val="ListParagraph"/>
        <w:numPr>
          <w:ilvl w:val="0"/>
          <w:numId w:val="4"/>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Информационни и комуникационни технологии</w:t>
      </w:r>
      <w:r w:rsidR="005058C6" w:rsidRPr="002C36F8">
        <w:rPr>
          <w:rFonts w:ascii="Times New Roman" w:hAnsi="Times New Roman" w:cs="Times New Roman"/>
          <w:sz w:val="24"/>
          <w:szCs w:val="24"/>
        </w:rPr>
        <w:t>;</w:t>
      </w:r>
    </w:p>
    <w:p w14:paraId="4CABCC98" w14:textId="77777777" w:rsidR="005058C6" w:rsidRPr="002C36F8" w:rsidRDefault="0089314C" w:rsidP="001A0506">
      <w:pPr>
        <w:pStyle w:val="ListParagraph"/>
        <w:numPr>
          <w:ilvl w:val="0"/>
          <w:numId w:val="4"/>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Мехатроника и чисти технологии</w:t>
      </w:r>
      <w:r w:rsidR="005058C6" w:rsidRPr="002C36F8">
        <w:rPr>
          <w:rFonts w:ascii="Times New Roman" w:hAnsi="Times New Roman" w:cs="Times New Roman"/>
          <w:sz w:val="24"/>
          <w:szCs w:val="24"/>
        </w:rPr>
        <w:t>;</w:t>
      </w:r>
    </w:p>
    <w:p w14:paraId="75D4C85E" w14:textId="77777777" w:rsidR="005058C6" w:rsidRPr="002C36F8" w:rsidRDefault="0089314C" w:rsidP="001A0506">
      <w:pPr>
        <w:pStyle w:val="ListParagraph"/>
        <w:numPr>
          <w:ilvl w:val="0"/>
          <w:numId w:val="4"/>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Индустрии за здравословен живот и биотехнологи</w:t>
      </w:r>
      <w:r w:rsidR="005058C6" w:rsidRPr="002C36F8">
        <w:rPr>
          <w:rFonts w:ascii="Times New Roman" w:hAnsi="Times New Roman" w:cs="Times New Roman"/>
          <w:sz w:val="24"/>
          <w:szCs w:val="24"/>
        </w:rPr>
        <w:t>и;</w:t>
      </w:r>
    </w:p>
    <w:p w14:paraId="7F17C697" w14:textId="77777777" w:rsidR="0089314C" w:rsidRPr="002C36F8" w:rsidRDefault="0089314C" w:rsidP="001A0506">
      <w:pPr>
        <w:pStyle w:val="ListParagraph"/>
        <w:numPr>
          <w:ilvl w:val="0"/>
          <w:numId w:val="4"/>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lastRenderedPageBreak/>
        <w:t>Нови технологии в креативни и рекреативни индустрии</w:t>
      </w:r>
      <w:r w:rsidR="005058C6" w:rsidRPr="002C36F8">
        <w:rPr>
          <w:rFonts w:ascii="Times New Roman" w:hAnsi="Times New Roman" w:cs="Times New Roman"/>
          <w:sz w:val="24"/>
          <w:szCs w:val="24"/>
        </w:rPr>
        <w:t>.</w:t>
      </w:r>
    </w:p>
    <w:p w14:paraId="4E2A8637" w14:textId="77777777" w:rsidR="005058C6" w:rsidRPr="002C36F8" w:rsidRDefault="0089314C" w:rsidP="005058C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36F8">
        <w:rPr>
          <w:rFonts w:ascii="Times New Roman" w:hAnsi="Times New Roman" w:cs="Times New Roman"/>
          <w:color w:val="000000"/>
          <w:sz w:val="24"/>
          <w:szCs w:val="24"/>
        </w:rPr>
        <w:t xml:space="preserve">Основна тематична област на стратегията е „Мехатроника и чисти технологии" с висок потенциал за иновационна специализация. </w:t>
      </w:r>
    </w:p>
    <w:p w14:paraId="506BD375" w14:textId="77777777" w:rsidR="005058C6" w:rsidRPr="002C36F8" w:rsidRDefault="0089314C" w:rsidP="005058C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36F8">
        <w:rPr>
          <w:rFonts w:ascii="Times New Roman" w:hAnsi="Times New Roman" w:cs="Times New Roman"/>
          <w:sz w:val="24"/>
          <w:szCs w:val="24"/>
        </w:rPr>
        <w:t>Едно от приоритетните направления на тази област са чистите технологии с акцент върху транспорта и енергетиката</w:t>
      </w:r>
      <w:r w:rsidRPr="002C36F8">
        <w:rPr>
          <w:rFonts w:ascii="Times New Roman" w:hAnsi="Times New Roman" w:cs="Times New Roman"/>
          <w:b/>
          <w:sz w:val="24"/>
          <w:szCs w:val="24"/>
        </w:rPr>
        <w:t xml:space="preserve"> (</w:t>
      </w:r>
      <w:r w:rsidRPr="002C36F8">
        <w:rPr>
          <w:rFonts w:ascii="Times New Roman" w:hAnsi="Times New Roman" w:cs="Times New Roman"/>
          <w:sz w:val="24"/>
          <w:szCs w:val="24"/>
        </w:rPr>
        <w:t>съхранение, спестяване и ефективно разпределение на енергия, електрически превозни средства и еко-мобилност, водород-базирани модели и технологии, безотпадни технологии, технологии и методи за включване на отпадъчни продукти и материали от производства в други производства).</w:t>
      </w:r>
    </w:p>
    <w:p w14:paraId="539C036C" w14:textId="77777777" w:rsidR="0089314C" w:rsidRPr="002C36F8" w:rsidRDefault="0089314C" w:rsidP="005058C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36F8">
        <w:rPr>
          <w:rFonts w:ascii="Times New Roman" w:hAnsi="Times New Roman" w:cs="Times New Roman"/>
          <w:sz w:val="24"/>
          <w:szCs w:val="24"/>
        </w:rPr>
        <w:t xml:space="preserve">На база формулираните тематични области в Иновационната стратегия за интелигентна специализация са определени и приоритетните направления на </w:t>
      </w:r>
      <w:r w:rsidR="00770CD4" w:rsidRPr="00E66958">
        <w:rPr>
          <w:rFonts w:ascii="Times New Roman" w:hAnsi="Times New Roman" w:cs="Times New Roman"/>
          <w:sz w:val="24"/>
          <w:szCs w:val="24"/>
        </w:rPr>
        <w:t>проекта на</w:t>
      </w:r>
      <w:r w:rsidR="00770CD4">
        <w:rPr>
          <w:rFonts w:ascii="Times New Roman" w:hAnsi="Times New Roman" w:cs="Times New Roman"/>
          <w:sz w:val="24"/>
          <w:szCs w:val="24"/>
        </w:rPr>
        <w:t xml:space="preserve"> </w:t>
      </w:r>
      <w:r w:rsidRPr="002C36F8">
        <w:rPr>
          <w:rFonts w:ascii="Times New Roman" w:hAnsi="Times New Roman" w:cs="Times New Roman"/>
          <w:sz w:val="24"/>
          <w:szCs w:val="24"/>
        </w:rPr>
        <w:t>Националната стратегия за развитие на науката в България до 2025 г., а именно:</w:t>
      </w:r>
    </w:p>
    <w:p w14:paraId="233C30DC"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Мехатроника, чисти технологии и нови, енергийни и енергийно ефективни технологии</w:t>
      </w:r>
      <w:r w:rsidR="005058C6" w:rsidRPr="002C36F8">
        <w:rPr>
          <w:rFonts w:ascii="Times New Roman" w:hAnsi="Times New Roman" w:cs="Times New Roman"/>
          <w:sz w:val="24"/>
          <w:szCs w:val="24"/>
        </w:rPr>
        <w:t>;</w:t>
      </w:r>
    </w:p>
    <w:p w14:paraId="572B2D9B"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Здраве и качество на живот: зелени и екотехнологии, биотехнологии, екохрани, пречистващи и безотпадни технологии</w:t>
      </w:r>
      <w:r w:rsidR="005058C6" w:rsidRPr="002C36F8">
        <w:rPr>
          <w:rFonts w:ascii="Times New Roman" w:hAnsi="Times New Roman" w:cs="Times New Roman"/>
          <w:sz w:val="24"/>
          <w:szCs w:val="24"/>
        </w:rPr>
        <w:t>;</w:t>
      </w:r>
    </w:p>
    <w:p w14:paraId="2E816A4D"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Опазване на околната среда. оползотворяване на суровини и биоресурси, екологичен мониторинг</w:t>
      </w:r>
      <w:r w:rsidR="005058C6" w:rsidRPr="002C36F8">
        <w:rPr>
          <w:rFonts w:ascii="Times New Roman" w:hAnsi="Times New Roman" w:cs="Times New Roman"/>
          <w:sz w:val="24"/>
          <w:szCs w:val="24"/>
        </w:rPr>
        <w:t>;</w:t>
      </w:r>
    </w:p>
    <w:p w14:paraId="35D7E164"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Материалознание и нанотехнологии</w:t>
      </w:r>
      <w:r w:rsidR="005058C6" w:rsidRPr="002C36F8">
        <w:rPr>
          <w:rFonts w:ascii="Times New Roman" w:hAnsi="Times New Roman" w:cs="Times New Roman"/>
          <w:sz w:val="24"/>
          <w:szCs w:val="24"/>
        </w:rPr>
        <w:t>;</w:t>
      </w:r>
    </w:p>
    <w:p w14:paraId="35EE95DE"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Информационни и комуникационни технологии</w:t>
      </w:r>
      <w:r w:rsidR="005058C6" w:rsidRPr="002C36F8">
        <w:rPr>
          <w:rFonts w:ascii="Times New Roman" w:hAnsi="Times New Roman" w:cs="Times New Roman"/>
          <w:sz w:val="24"/>
          <w:szCs w:val="24"/>
        </w:rPr>
        <w:t>;</w:t>
      </w:r>
    </w:p>
    <w:p w14:paraId="1CF825A4"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Национална идентичност и антропология, социално-икономическо развитие и управление.</w:t>
      </w:r>
    </w:p>
    <w:p w14:paraId="76C8BCB2" w14:textId="77777777" w:rsidR="005058C6" w:rsidRPr="002C36F8" w:rsidRDefault="0089314C" w:rsidP="005058C6">
      <w:pPr>
        <w:spacing w:after="0" w:line="240" w:lineRule="auto"/>
        <w:ind w:firstLine="567"/>
        <w:jc w:val="both"/>
        <w:rPr>
          <w:rFonts w:ascii="Times New Roman" w:hAnsi="Times New Roman" w:cs="Times New Roman"/>
          <w:sz w:val="24"/>
          <w:szCs w:val="24"/>
          <w:lang w:val="ru-RU"/>
        </w:rPr>
      </w:pPr>
      <w:r w:rsidRPr="002C36F8">
        <w:rPr>
          <w:rFonts w:ascii="Times New Roman" w:hAnsi="Times New Roman" w:cs="Times New Roman"/>
          <w:sz w:val="24"/>
          <w:szCs w:val="24"/>
          <w:lang w:val="ru-RU"/>
        </w:rPr>
        <w:t>Актуализираната през 2014 г. Националната пътна карта за научна инфраструктура е съгласувана с целите на Иновационната с</w:t>
      </w:r>
      <w:r w:rsidRPr="002C36F8">
        <w:rPr>
          <w:rFonts w:ascii="Times New Roman" w:hAnsi="Times New Roman" w:cs="Times New Roman"/>
          <w:sz w:val="24"/>
          <w:szCs w:val="24"/>
        </w:rPr>
        <w:t xml:space="preserve">тратегия за </w:t>
      </w:r>
      <w:r w:rsidRPr="002C36F8">
        <w:rPr>
          <w:rFonts w:ascii="Times New Roman" w:hAnsi="Times New Roman" w:cs="Times New Roman"/>
          <w:sz w:val="24"/>
          <w:szCs w:val="24"/>
          <w:lang w:val="ru-RU"/>
        </w:rPr>
        <w:t>интелигентна специализация и отчита приоритетите</w:t>
      </w:r>
      <w:r w:rsidRPr="002C36F8">
        <w:rPr>
          <w:rFonts w:ascii="Times New Roman" w:hAnsi="Times New Roman" w:cs="Times New Roman"/>
          <w:sz w:val="24"/>
          <w:szCs w:val="24"/>
        </w:rPr>
        <w:t xml:space="preserve"> на </w:t>
      </w:r>
      <w:r w:rsidRPr="002C36F8">
        <w:rPr>
          <w:rFonts w:ascii="Times New Roman" w:hAnsi="Times New Roman" w:cs="Times New Roman"/>
          <w:sz w:val="24"/>
          <w:szCs w:val="24"/>
          <w:lang w:val="ru-RU"/>
        </w:rPr>
        <w:t>научноизследователск</w:t>
      </w:r>
      <w:r w:rsidRPr="002C36F8">
        <w:rPr>
          <w:rFonts w:ascii="Times New Roman" w:hAnsi="Times New Roman" w:cs="Times New Roman"/>
          <w:sz w:val="24"/>
          <w:szCs w:val="24"/>
        </w:rPr>
        <w:t>ите</w:t>
      </w:r>
      <w:r w:rsidRPr="002C36F8">
        <w:rPr>
          <w:rFonts w:ascii="Times New Roman" w:hAnsi="Times New Roman" w:cs="Times New Roman"/>
          <w:sz w:val="24"/>
          <w:szCs w:val="24"/>
          <w:lang w:val="ru-RU"/>
        </w:rPr>
        <w:t xml:space="preserve"> дейност</w:t>
      </w:r>
      <w:r w:rsidRPr="002C36F8">
        <w:rPr>
          <w:rFonts w:ascii="Times New Roman" w:hAnsi="Times New Roman" w:cs="Times New Roman"/>
          <w:sz w:val="24"/>
          <w:szCs w:val="24"/>
        </w:rPr>
        <w:t>и</w:t>
      </w:r>
      <w:r w:rsidRPr="002C36F8">
        <w:rPr>
          <w:rFonts w:ascii="Times New Roman" w:hAnsi="Times New Roman" w:cs="Times New Roman"/>
          <w:sz w:val="24"/>
          <w:szCs w:val="24"/>
          <w:lang w:val="ru-RU"/>
        </w:rPr>
        <w:t xml:space="preserve">, които се развиват понастоящем в общоевропейската научноизследователска </w:t>
      </w:r>
      <w:r w:rsidRPr="002C36F8">
        <w:rPr>
          <w:rFonts w:ascii="Times New Roman" w:hAnsi="Times New Roman" w:cs="Times New Roman"/>
          <w:sz w:val="24"/>
          <w:szCs w:val="24"/>
        </w:rPr>
        <w:t xml:space="preserve">система. В нея са предложени 9 национални инфраструктурни комплекси като национално значими инфраструктури. </w:t>
      </w:r>
    </w:p>
    <w:p w14:paraId="0DFBFABE" w14:textId="77777777" w:rsidR="005058C6" w:rsidRPr="002C36F8" w:rsidRDefault="0089314C" w:rsidP="005058C6">
      <w:pPr>
        <w:spacing w:after="0" w:line="240" w:lineRule="auto"/>
        <w:ind w:firstLine="567"/>
        <w:jc w:val="both"/>
        <w:rPr>
          <w:rFonts w:ascii="Times New Roman" w:hAnsi="Times New Roman" w:cs="Times New Roman"/>
          <w:sz w:val="24"/>
          <w:szCs w:val="24"/>
          <w:lang w:val="ru-RU"/>
        </w:rPr>
      </w:pPr>
      <w:r w:rsidRPr="002C36F8">
        <w:rPr>
          <w:rFonts w:ascii="Times New Roman" w:hAnsi="Times New Roman" w:cs="Times New Roman"/>
          <w:sz w:val="24"/>
          <w:szCs w:val="24"/>
        </w:rPr>
        <w:t>Сред тях е Научна инфраструктура „Съхранение на енергия и водородна енергетика”.</w:t>
      </w:r>
      <w:r w:rsidRPr="002C36F8">
        <w:rPr>
          <w:rFonts w:ascii="Times New Roman" w:eastAsia="Times New Roman" w:hAnsi="Times New Roman" w:cs="Times New Roman"/>
          <w:sz w:val="24"/>
          <w:szCs w:val="24"/>
          <w:lang w:eastAsia="bg-BG"/>
        </w:rPr>
        <w:t xml:space="preserve"> </w:t>
      </w:r>
      <w:r w:rsidRPr="002C36F8">
        <w:rPr>
          <w:rFonts w:ascii="Times New Roman" w:hAnsi="Times New Roman" w:cs="Times New Roman"/>
          <w:sz w:val="24"/>
          <w:szCs w:val="24"/>
        </w:rPr>
        <w:t xml:space="preserve">Инфраструктурата покрива изцяло приоритетите на Стратегия Европа 2020 и осигурява условия за интегрирането на България в изпълнението на Европейския стратегически план за нисковъглеродни енергийни технологии </w:t>
      </w:r>
      <w:r w:rsidRPr="008045CD">
        <w:rPr>
          <w:rFonts w:ascii="Times New Roman" w:hAnsi="Times New Roman" w:cs="Times New Roman"/>
          <w:sz w:val="24"/>
          <w:szCs w:val="24"/>
        </w:rPr>
        <w:t>(</w:t>
      </w:r>
      <w:r w:rsidRPr="002C36F8">
        <w:rPr>
          <w:rFonts w:ascii="Times New Roman" w:hAnsi="Times New Roman" w:cs="Times New Roman"/>
          <w:sz w:val="24"/>
          <w:szCs w:val="24"/>
          <w:lang w:val="en-US"/>
        </w:rPr>
        <w:t>SET</w:t>
      </w:r>
      <w:r w:rsidRPr="008045CD">
        <w:rPr>
          <w:rFonts w:ascii="Times New Roman" w:hAnsi="Times New Roman" w:cs="Times New Roman"/>
          <w:sz w:val="24"/>
          <w:szCs w:val="24"/>
        </w:rPr>
        <w:t>-</w:t>
      </w:r>
      <w:r w:rsidRPr="002C36F8">
        <w:rPr>
          <w:rFonts w:ascii="Times New Roman" w:hAnsi="Times New Roman" w:cs="Times New Roman"/>
          <w:sz w:val="24"/>
          <w:szCs w:val="24"/>
          <w:lang w:val="en-US"/>
        </w:rPr>
        <w:t>Plan</w:t>
      </w:r>
      <w:r w:rsidRPr="008045CD">
        <w:rPr>
          <w:rFonts w:ascii="Times New Roman" w:hAnsi="Times New Roman" w:cs="Times New Roman"/>
          <w:sz w:val="24"/>
          <w:szCs w:val="24"/>
        </w:rPr>
        <w:t>)</w:t>
      </w:r>
      <w:r w:rsidR="005058C6" w:rsidRPr="002C36F8">
        <w:rPr>
          <w:rFonts w:ascii="Times New Roman" w:hAnsi="Times New Roman" w:cs="Times New Roman"/>
          <w:sz w:val="24"/>
          <w:szCs w:val="24"/>
        </w:rPr>
        <w:t xml:space="preserve">. </w:t>
      </w:r>
      <w:r w:rsidRPr="002C36F8">
        <w:rPr>
          <w:rFonts w:ascii="Times New Roman" w:hAnsi="Times New Roman" w:cs="Times New Roman"/>
          <w:sz w:val="24"/>
          <w:szCs w:val="24"/>
        </w:rPr>
        <w:t>Тя е силно ориентирана към иновативно и ефективно научно обслужване на определени ниши на българската икономика - производство</w:t>
      </w:r>
      <w:r w:rsidRPr="008045CD">
        <w:rPr>
          <w:rFonts w:ascii="Times New Roman" w:hAnsi="Times New Roman" w:cs="Times New Roman"/>
          <w:sz w:val="24"/>
          <w:szCs w:val="24"/>
        </w:rPr>
        <w:t xml:space="preserve">, </w:t>
      </w:r>
      <w:r w:rsidRPr="002C36F8">
        <w:rPr>
          <w:rFonts w:ascii="Times New Roman" w:hAnsi="Times New Roman" w:cs="Times New Roman"/>
          <w:sz w:val="24"/>
          <w:szCs w:val="24"/>
        </w:rPr>
        <w:t>съхранение и използване на енергия от възобновяеми енергийни източници и ускорено навлизане на водородните технологии в различни сфери.</w:t>
      </w:r>
      <w:r w:rsidR="005058C6" w:rsidRPr="002C36F8">
        <w:rPr>
          <w:rFonts w:ascii="Times New Roman" w:hAnsi="Times New Roman" w:cs="Times New Roman"/>
          <w:sz w:val="24"/>
          <w:szCs w:val="24"/>
          <w:lang w:val="ru-RU"/>
        </w:rPr>
        <w:t xml:space="preserve"> </w:t>
      </w:r>
    </w:p>
    <w:p w14:paraId="16CF0B17" w14:textId="77777777" w:rsidR="0089314C" w:rsidRPr="002C36F8" w:rsidRDefault="0089314C" w:rsidP="005058C6">
      <w:pPr>
        <w:spacing w:after="0" w:line="240" w:lineRule="auto"/>
        <w:ind w:firstLine="567"/>
        <w:jc w:val="both"/>
        <w:rPr>
          <w:rFonts w:ascii="Times New Roman" w:hAnsi="Times New Roman" w:cs="Times New Roman"/>
          <w:sz w:val="24"/>
          <w:szCs w:val="24"/>
          <w:lang w:val="ru-RU"/>
        </w:rPr>
      </w:pPr>
      <w:r w:rsidRPr="002C36F8">
        <w:rPr>
          <w:rFonts w:ascii="Times New Roman" w:hAnsi="Times New Roman" w:cs="Times New Roman"/>
          <w:sz w:val="24"/>
          <w:szCs w:val="24"/>
        </w:rPr>
        <w:t xml:space="preserve">Инфраструктурата ще осигурява техническа експертиза в области като: </w:t>
      </w:r>
    </w:p>
    <w:p w14:paraId="1FE93073"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изглаждане на краткотрайни пикове на натоварване в интелигентни електрически мрежи</w:t>
      </w:r>
      <w:r w:rsidR="005058C6" w:rsidRPr="002C36F8">
        <w:rPr>
          <w:rFonts w:ascii="Times New Roman" w:hAnsi="Times New Roman" w:cs="Times New Roman"/>
          <w:sz w:val="24"/>
          <w:szCs w:val="24"/>
        </w:rPr>
        <w:t>;</w:t>
      </w:r>
    </w:p>
    <w:p w14:paraId="4FF45D01" w14:textId="77777777" w:rsidR="005058C6"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интегриране на енергията от ВЕИ в енергоразпределителната мрежа</w:t>
      </w:r>
      <w:r w:rsidR="005058C6" w:rsidRPr="002C36F8">
        <w:rPr>
          <w:rFonts w:ascii="Times New Roman" w:hAnsi="Times New Roman" w:cs="Times New Roman"/>
          <w:sz w:val="24"/>
          <w:szCs w:val="24"/>
        </w:rPr>
        <w:t>;</w:t>
      </w:r>
      <w:r w:rsidRPr="002C36F8">
        <w:rPr>
          <w:rFonts w:ascii="Times New Roman" w:hAnsi="Times New Roman" w:cs="Times New Roman"/>
          <w:sz w:val="24"/>
          <w:szCs w:val="24"/>
        </w:rPr>
        <w:t xml:space="preserve"> </w:t>
      </w:r>
    </w:p>
    <w:p w14:paraId="6CA0D62A"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прилагане на нисковъглеродни технологии в транспорта.</w:t>
      </w:r>
    </w:p>
    <w:p w14:paraId="7144EB30" w14:textId="77777777" w:rsidR="005058C6" w:rsidRPr="002C36F8" w:rsidRDefault="005058C6" w:rsidP="005058C6">
      <w:pPr>
        <w:spacing w:after="0" w:line="240" w:lineRule="auto"/>
        <w:jc w:val="both"/>
        <w:rPr>
          <w:rFonts w:ascii="Times New Roman" w:hAnsi="Times New Roman" w:cs="Times New Roman"/>
          <w:sz w:val="24"/>
          <w:szCs w:val="24"/>
        </w:rPr>
      </w:pPr>
    </w:p>
    <w:p w14:paraId="7BFF79DC" w14:textId="77777777" w:rsidR="00DD0AC2" w:rsidRPr="002C36F8" w:rsidRDefault="0089314C" w:rsidP="001A0506">
      <w:pPr>
        <w:pStyle w:val="ListParagraph"/>
        <w:numPr>
          <w:ilvl w:val="2"/>
          <w:numId w:val="25"/>
        </w:numPr>
        <w:spacing w:after="0" w:line="240" w:lineRule="auto"/>
        <w:ind w:left="567" w:hanging="578"/>
        <w:jc w:val="both"/>
        <w:rPr>
          <w:rFonts w:ascii="Times New Roman" w:hAnsi="Times New Roman" w:cs="Times New Roman"/>
          <w:b/>
          <w:i/>
          <w:sz w:val="24"/>
          <w:szCs w:val="24"/>
        </w:rPr>
      </w:pPr>
      <w:r w:rsidRPr="002C36F8">
        <w:rPr>
          <w:rFonts w:ascii="Times New Roman" w:hAnsi="Times New Roman" w:cs="Times New Roman"/>
          <w:b/>
          <w:i/>
          <w:sz w:val="24"/>
          <w:szCs w:val="24"/>
        </w:rPr>
        <w:t>Стратегия за развитие на транспортната система на Република България до 2020 г.</w:t>
      </w:r>
    </w:p>
    <w:p w14:paraId="12F2DCA5" w14:textId="77777777" w:rsidR="00554E55" w:rsidRPr="002C36F8" w:rsidRDefault="00554E55" w:rsidP="00DD0AC2">
      <w:pPr>
        <w:spacing w:after="0" w:line="240" w:lineRule="auto"/>
        <w:ind w:firstLine="567"/>
        <w:jc w:val="both"/>
        <w:rPr>
          <w:rFonts w:ascii="Times New Roman" w:hAnsi="Times New Roman" w:cs="Times New Roman"/>
          <w:sz w:val="24"/>
          <w:szCs w:val="24"/>
        </w:rPr>
      </w:pPr>
    </w:p>
    <w:p w14:paraId="0A0752D4" w14:textId="77777777" w:rsidR="0089314C" w:rsidRPr="002C36F8" w:rsidRDefault="0089314C" w:rsidP="00DD0AC2">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Основните </w:t>
      </w:r>
      <w:r w:rsidRPr="002C36F8">
        <w:rPr>
          <w:rFonts w:ascii="Times New Roman" w:eastAsia="Times New Roman" w:hAnsi="Times New Roman" w:cs="Times New Roman"/>
          <w:bCs/>
          <w:sz w:val="24"/>
          <w:szCs w:val="24"/>
          <w:lang w:eastAsia="bg-BG"/>
        </w:rPr>
        <w:t>стратегически цели</w:t>
      </w:r>
      <w:r w:rsidRPr="002C36F8">
        <w:rPr>
          <w:rFonts w:ascii="Times New Roman" w:eastAsia="Times New Roman" w:hAnsi="Times New Roman" w:cs="Times New Roman"/>
          <w:sz w:val="24"/>
          <w:szCs w:val="24"/>
          <w:lang w:eastAsia="bg-BG"/>
        </w:rPr>
        <w:t xml:space="preserve"> на националната транспортна политика, очертани </w:t>
      </w:r>
      <w:r w:rsidRPr="008045CD">
        <w:rPr>
          <w:rFonts w:ascii="Times New Roman" w:eastAsia="Times New Roman" w:hAnsi="Times New Roman" w:cs="Times New Roman"/>
          <w:sz w:val="24"/>
          <w:szCs w:val="24"/>
          <w:lang w:eastAsia="bg-BG"/>
        </w:rPr>
        <w:t xml:space="preserve">в </w:t>
      </w:r>
      <w:r w:rsidRPr="002C36F8">
        <w:rPr>
          <w:rFonts w:ascii="Times New Roman" w:hAnsi="Times New Roman" w:cs="Times New Roman"/>
          <w:sz w:val="24"/>
          <w:szCs w:val="24"/>
        </w:rPr>
        <w:t>Стратегията са</w:t>
      </w:r>
      <w:r w:rsidRPr="002C36F8">
        <w:rPr>
          <w:rFonts w:ascii="Times New Roman" w:eastAsia="Times New Roman" w:hAnsi="Times New Roman" w:cs="Times New Roman"/>
          <w:sz w:val="24"/>
          <w:szCs w:val="24"/>
          <w:lang w:eastAsia="bg-BG"/>
        </w:rPr>
        <w:t>:</w:t>
      </w:r>
    </w:p>
    <w:p w14:paraId="56013AEC" w14:textId="77777777" w:rsidR="005058C6" w:rsidRPr="002C36F8" w:rsidRDefault="0089314C" w:rsidP="001A0506">
      <w:pPr>
        <w:pStyle w:val="ListParagraph"/>
        <w:numPr>
          <w:ilvl w:val="0"/>
          <w:numId w:val="6"/>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Постигане на икономическа ефективност</w:t>
      </w:r>
      <w:r w:rsidR="005058C6" w:rsidRPr="002C36F8">
        <w:rPr>
          <w:rFonts w:ascii="Times New Roman" w:eastAsia="Times New Roman" w:hAnsi="Times New Roman" w:cs="Times New Roman"/>
          <w:sz w:val="24"/>
          <w:szCs w:val="24"/>
          <w:lang w:eastAsia="bg-BG"/>
        </w:rPr>
        <w:t>;</w:t>
      </w:r>
      <w:r w:rsidRPr="002C36F8">
        <w:rPr>
          <w:rFonts w:ascii="Times New Roman" w:eastAsia="Times New Roman" w:hAnsi="Times New Roman" w:cs="Times New Roman"/>
          <w:sz w:val="24"/>
          <w:szCs w:val="24"/>
          <w:lang w:eastAsia="bg-BG"/>
        </w:rPr>
        <w:t xml:space="preserve"> </w:t>
      </w:r>
    </w:p>
    <w:p w14:paraId="083E5A83" w14:textId="77777777" w:rsidR="005058C6" w:rsidRPr="002C36F8" w:rsidRDefault="0089314C" w:rsidP="001A0506">
      <w:pPr>
        <w:pStyle w:val="ListParagraph"/>
        <w:numPr>
          <w:ilvl w:val="0"/>
          <w:numId w:val="6"/>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Развитие на устойчив транспортен сектор</w:t>
      </w:r>
      <w:r w:rsidR="005058C6" w:rsidRPr="002C36F8">
        <w:rPr>
          <w:rFonts w:ascii="Times New Roman" w:eastAsia="Times New Roman" w:hAnsi="Times New Roman" w:cs="Times New Roman"/>
          <w:sz w:val="24"/>
          <w:szCs w:val="24"/>
          <w:lang w:eastAsia="bg-BG"/>
        </w:rPr>
        <w:t>;</w:t>
      </w:r>
    </w:p>
    <w:p w14:paraId="5B2300D8" w14:textId="77777777" w:rsidR="0089314C" w:rsidRPr="002C36F8" w:rsidRDefault="0089314C" w:rsidP="001A0506">
      <w:pPr>
        <w:pStyle w:val="ListParagraph"/>
        <w:numPr>
          <w:ilvl w:val="0"/>
          <w:numId w:val="6"/>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Подобряване на регионалното и социално развитие и обвързаност.</w:t>
      </w:r>
    </w:p>
    <w:p w14:paraId="68E45394" w14:textId="77777777" w:rsidR="00554E55" w:rsidRPr="002C36F8" w:rsidRDefault="0089314C" w:rsidP="00554E5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 xml:space="preserve">Ограничаването на негативното въздействие на транспорта върху околната среда и здравето на хората е сред основните стратегически приоритети за развитие на транспортния сектор. В този приоритет е разгледана необходимостта от въвеждане и </w:t>
      </w:r>
      <w:r w:rsidRPr="002C36F8">
        <w:rPr>
          <w:rFonts w:ascii="Times New Roman" w:hAnsi="Times New Roman" w:cs="Times New Roman"/>
          <w:sz w:val="24"/>
          <w:szCs w:val="24"/>
        </w:rPr>
        <w:lastRenderedPageBreak/>
        <w:t xml:space="preserve">насърчаване употребата на горива и енергии от алтернативни и възобновяеми енергийни източници, и от развитие и стимулиране на използването на </w:t>
      </w:r>
      <w:r w:rsidRPr="002C36F8">
        <w:rPr>
          <w:rFonts w:ascii="Times New Roman" w:eastAsia="Calibri" w:hAnsi="Times New Roman" w:cs="Times New Roman"/>
          <w:bCs/>
          <w:sz w:val="24"/>
          <w:szCs w:val="24"/>
        </w:rPr>
        <w:t>хибридни и електрически превозни средства.</w:t>
      </w:r>
    </w:p>
    <w:p w14:paraId="1A67514D" w14:textId="77777777" w:rsidR="00DD0AC2" w:rsidRPr="002C36F8" w:rsidRDefault="0089314C" w:rsidP="001A0506">
      <w:pPr>
        <w:pStyle w:val="ListParagraph"/>
        <w:numPr>
          <w:ilvl w:val="2"/>
          <w:numId w:val="25"/>
        </w:numPr>
        <w:spacing w:after="0" w:line="240" w:lineRule="auto"/>
        <w:ind w:left="567" w:hanging="567"/>
        <w:jc w:val="both"/>
        <w:rPr>
          <w:rFonts w:ascii="Times New Roman" w:hAnsi="Times New Roman" w:cs="Times New Roman"/>
          <w:b/>
          <w:i/>
          <w:sz w:val="24"/>
          <w:szCs w:val="24"/>
        </w:rPr>
      </w:pPr>
      <w:r w:rsidRPr="002C36F8">
        <w:rPr>
          <w:rFonts w:ascii="Times New Roman" w:hAnsi="Times New Roman" w:cs="Times New Roman"/>
          <w:b/>
          <w:i/>
          <w:sz w:val="24"/>
          <w:szCs w:val="24"/>
        </w:rPr>
        <w:t>Енергийна стратегия на Република България до 2020 г.</w:t>
      </w:r>
    </w:p>
    <w:p w14:paraId="08A6A61B" w14:textId="77777777" w:rsidR="00554E55" w:rsidRPr="002C36F8" w:rsidRDefault="00554E55" w:rsidP="00DD0AC2">
      <w:pPr>
        <w:spacing w:after="0" w:line="240" w:lineRule="auto"/>
        <w:ind w:firstLine="567"/>
        <w:jc w:val="both"/>
        <w:rPr>
          <w:rFonts w:ascii="Times New Roman" w:hAnsi="Times New Roman" w:cs="Times New Roman"/>
          <w:sz w:val="24"/>
          <w:szCs w:val="24"/>
        </w:rPr>
      </w:pPr>
    </w:p>
    <w:p w14:paraId="7C3F16F2" w14:textId="77777777" w:rsidR="0089314C" w:rsidRPr="002C36F8" w:rsidRDefault="0089314C" w:rsidP="00DD0AC2">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Националната енергийна стратегия до 2020 г. е съобразена с актуалната европейска рамка на енергийната политика и световните тенденции в развитието на енергийните технологии.</w:t>
      </w:r>
      <w:r w:rsidR="000465E9" w:rsidRPr="002C36F8">
        <w:rPr>
          <w:rFonts w:ascii="Times New Roman" w:hAnsi="Times New Roman" w:cs="Times New Roman"/>
          <w:sz w:val="24"/>
          <w:szCs w:val="24"/>
        </w:rPr>
        <w:t xml:space="preserve"> </w:t>
      </w:r>
      <w:r w:rsidRPr="002C36F8">
        <w:rPr>
          <w:rFonts w:ascii="Times New Roman" w:hAnsi="Times New Roman" w:cs="Times New Roman"/>
          <w:sz w:val="24"/>
          <w:szCs w:val="24"/>
        </w:rPr>
        <w:t>Устойчивото енергийно развитие е изведено като център на националната енергийна политика. Постигането му е обвързано с дългосрочни количествени цели до 2020 г.:</w:t>
      </w:r>
    </w:p>
    <w:p w14:paraId="1B604A83" w14:textId="77777777" w:rsidR="000465E9" w:rsidRPr="002C36F8" w:rsidRDefault="0089314C" w:rsidP="001A0506">
      <w:pPr>
        <w:pStyle w:val="ListParagraph"/>
        <w:numPr>
          <w:ilvl w:val="0"/>
          <w:numId w:val="7"/>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20-процентно намаляване на емисиите на парникови газове спрямо 1990 г.;</w:t>
      </w:r>
    </w:p>
    <w:p w14:paraId="58173C29" w14:textId="77777777" w:rsidR="000465E9" w:rsidRPr="002C36F8" w:rsidRDefault="0089314C" w:rsidP="001A0506">
      <w:pPr>
        <w:pStyle w:val="ListParagraph"/>
        <w:numPr>
          <w:ilvl w:val="0"/>
          <w:numId w:val="7"/>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20-процентен дял на ВЕИ в общия енергиен микс и 10-процентен дял на енергията</w:t>
      </w:r>
      <w:r w:rsidR="000465E9" w:rsidRPr="002C36F8">
        <w:rPr>
          <w:rFonts w:ascii="Times New Roman" w:hAnsi="Times New Roman" w:cs="Times New Roman"/>
          <w:sz w:val="24"/>
          <w:szCs w:val="24"/>
        </w:rPr>
        <w:t xml:space="preserve"> </w:t>
      </w:r>
      <w:r w:rsidRPr="002C36F8">
        <w:rPr>
          <w:rFonts w:ascii="Times New Roman" w:hAnsi="Times New Roman" w:cs="Times New Roman"/>
          <w:sz w:val="24"/>
          <w:szCs w:val="24"/>
        </w:rPr>
        <w:t>от възобновяеми източници в транспорта;</w:t>
      </w:r>
    </w:p>
    <w:p w14:paraId="0E6BD00F" w14:textId="77777777" w:rsidR="0089314C" w:rsidRPr="002C36F8" w:rsidRDefault="0089314C" w:rsidP="001A0506">
      <w:pPr>
        <w:pStyle w:val="ListParagraph"/>
        <w:numPr>
          <w:ilvl w:val="0"/>
          <w:numId w:val="7"/>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Подобряване на енергийната ефективност с 20%.</w:t>
      </w:r>
    </w:p>
    <w:p w14:paraId="591976C9"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Основните приоритети в Енергийната стратегия могат да се сведат до следните пет направления: </w:t>
      </w:r>
    </w:p>
    <w:p w14:paraId="40EEE4B8"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гарантиране сигурността на доставките на енергия; </w:t>
      </w:r>
    </w:p>
    <w:p w14:paraId="27C94FAC"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достигане на целите за възобновяема енергия; </w:t>
      </w:r>
    </w:p>
    <w:p w14:paraId="71023161"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повишаване на енергийната ефективност;</w:t>
      </w:r>
    </w:p>
    <w:p w14:paraId="7C2D4368"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развитие на конкурентен енергиен пазар и политика, насочена към осигуряване на енергийните нужди</w:t>
      </w:r>
      <w:r w:rsidR="000465E9" w:rsidRPr="002C36F8">
        <w:rPr>
          <w:rFonts w:ascii="Times New Roman" w:hAnsi="Times New Roman" w:cs="Times New Roman"/>
          <w:sz w:val="24"/>
          <w:szCs w:val="24"/>
        </w:rPr>
        <w:t>;</w:t>
      </w:r>
    </w:p>
    <w:p w14:paraId="6F7FDFA5"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защита на интересите на потребителите.</w:t>
      </w:r>
    </w:p>
    <w:p w14:paraId="17B3A851"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
          <w:sz w:val="24"/>
          <w:szCs w:val="24"/>
        </w:rPr>
        <w:t>Производството и потреблението на биогорива</w:t>
      </w:r>
      <w:r w:rsidRPr="002C36F8">
        <w:rPr>
          <w:rFonts w:ascii="Times New Roman" w:hAnsi="Times New Roman" w:cs="Times New Roman"/>
          <w:sz w:val="24"/>
          <w:szCs w:val="24"/>
        </w:rPr>
        <w:t xml:space="preserve"> не са разграничени като отделен приоритет в енергийната политика и се отчитат в рамките на възобновяемите енергийни източници. </w:t>
      </w:r>
    </w:p>
    <w:p w14:paraId="624CEA24" w14:textId="77777777" w:rsidR="000465E9"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В Енергийната стратегия на Република България са посочени трудностите относно строгите изисквания за устойчивост на биогоривата при постигане на задължителната секторна цел от 10 на сто дял на енергията от биогорива и възобновяеми източници в транспортния сектор. </w:t>
      </w:r>
      <w:r w:rsidRPr="002800B2">
        <w:rPr>
          <w:rFonts w:ascii="Times New Roman" w:hAnsi="Times New Roman" w:cs="Times New Roman"/>
          <w:sz w:val="24"/>
          <w:szCs w:val="24"/>
        </w:rPr>
        <w:t>Въпреки това не е поставен акцент за търсене на механизми и мерки за стимулиране и насърчаване на постигането й, с изключение на използванет</w:t>
      </w:r>
      <w:r w:rsidR="000465E9" w:rsidRPr="002800B2">
        <w:rPr>
          <w:rFonts w:ascii="Times New Roman" w:hAnsi="Times New Roman" w:cs="Times New Roman"/>
          <w:sz w:val="24"/>
          <w:szCs w:val="24"/>
        </w:rPr>
        <w:t>о на електрически екоавтомобили</w:t>
      </w:r>
      <w:r w:rsidRPr="002800B2">
        <w:rPr>
          <w:rFonts w:ascii="Times New Roman" w:hAnsi="Times New Roman" w:cs="Times New Roman"/>
          <w:sz w:val="24"/>
          <w:szCs w:val="24"/>
        </w:rPr>
        <w:t>.</w:t>
      </w:r>
      <w:r w:rsidR="00770CD4" w:rsidRPr="002800B2">
        <w:rPr>
          <w:rStyle w:val="FootnoteReference"/>
          <w:rFonts w:ascii="Times New Roman" w:hAnsi="Times New Roman" w:cs="Times New Roman"/>
          <w:sz w:val="24"/>
          <w:szCs w:val="24"/>
        </w:rPr>
        <w:footnoteReference w:id="1"/>
      </w:r>
    </w:p>
    <w:p w14:paraId="3BBF4231"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Cs/>
          <w:sz w:val="24"/>
          <w:szCs w:val="24"/>
        </w:rPr>
        <w:t>В</w:t>
      </w:r>
      <w:r w:rsidRPr="002C36F8">
        <w:rPr>
          <w:rFonts w:ascii="Times New Roman" w:hAnsi="Times New Roman" w:cs="Times New Roman"/>
          <w:bCs/>
          <w:i/>
          <w:sz w:val="24"/>
          <w:szCs w:val="24"/>
        </w:rPr>
        <w:t xml:space="preserve"> </w:t>
      </w:r>
      <w:r w:rsidRPr="002C36F8">
        <w:rPr>
          <w:rFonts w:ascii="Times New Roman" w:hAnsi="Times New Roman" w:cs="Times New Roman"/>
          <w:sz w:val="24"/>
          <w:szCs w:val="24"/>
        </w:rPr>
        <w:t>националната политика за биогоривата са заложени цели, свързани с тяхното  производство и потребление</w:t>
      </w:r>
      <w:r w:rsidRPr="002C36F8">
        <w:rPr>
          <w:rFonts w:ascii="Times New Roman" w:hAnsi="Times New Roman" w:cs="Times New Roman"/>
          <w:bCs/>
          <w:sz w:val="24"/>
          <w:szCs w:val="24"/>
          <w:vertAlign w:val="superscript"/>
        </w:rPr>
        <w:footnoteReference w:id="2"/>
      </w:r>
      <w:r w:rsidRPr="002C36F8">
        <w:rPr>
          <w:rFonts w:ascii="Times New Roman" w:hAnsi="Times New Roman" w:cs="Times New Roman"/>
          <w:bCs/>
          <w:sz w:val="24"/>
          <w:szCs w:val="24"/>
          <w:vertAlign w:val="superscript"/>
        </w:rPr>
        <w:t xml:space="preserve">, </w:t>
      </w:r>
      <w:r w:rsidRPr="002C36F8">
        <w:rPr>
          <w:rFonts w:ascii="Times New Roman" w:hAnsi="Times New Roman" w:cs="Times New Roman"/>
          <w:bCs/>
          <w:sz w:val="24"/>
          <w:szCs w:val="24"/>
        </w:rPr>
        <w:t>които включват:</w:t>
      </w:r>
    </w:p>
    <w:p w14:paraId="335B26D8"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насърчаване развитието и използването на технологии за производство и потребление на биогорива и други възобновяеми източници в транспорта; </w:t>
      </w:r>
    </w:p>
    <w:p w14:paraId="4AEE0C87"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повишаване капацитета на малките и средните предприятия, производителите на енергия от ВИ и алтернативни енергийни източници и производителите на биогорива и други възобновяеми източници; </w:t>
      </w:r>
    </w:p>
    <w:p w14:paraId="29636BA4" w14:textId="77777777" w:rsidR="000465E9"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опазване на околната среда; </w:t>
      </w:r>
    </w:p>
    <w:p w14:paraId="662528D3"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t xml:space="preserve">създаване на условия за постигане устойчиво развитие на местно и регионално ниво. </w:t>
      </w:r>
    </w:p>
    <w:p w14:paraId="3A9C13F9"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Cs/>
          <w:sz w:val="24"/>
          <w:szCs w:val="24"/>
        </w:rPr>
        <w:t xml:space="preserve">За реализиране на тези цели е разработен </w:t>
      </w:r>
      <w:r w:rsidR="00F54E69" w:rsidRPr="00F54E69">
        <w:rPr>
          <w:rFonts w:ascii="Times New Roman" w:hAnsi="Times New Roman" w:cs="Times New Roman"/>
          <w:b/>
          <w:sz w:val="24"/>
          <w:szCs w:val="24"/>
        </w:rPr>
        <w:t>Национален план за действие за енергията от възобновяемите източници</w:t>
      </w:r>
      <w:r w:rsidR="00F54E69">
        <w:rPr>
          <w:rFonts w:ascii="Times New Roman" w:hAnsi="Times New Roman" w:cs="Times New Roman"/>
          <w:b/>
          <w:sz w:val="24"/>
          <w:szCs w:val="24"/>
        </w:rPr>
        <w:t xml:space="preserve"> (НПДЕВИ)</w:t>
      </w:r>
      <w:r w:rsidRPr="00F54E69">
        <w:rPr>
          <w:rFonts w:ascii="Times New Roman" w:hAnsi="Times New Roman" w:cs="Times New Roman"/>
          <w:b/>
          <w:sz w:val="24"/>
          <w:szCs w:val="24"/>
        </w:rPr>
        <w:t>,</w:t>
      </w:r>
      <w:r w:rsidRPr="002C36F8">
        <w:rPr>
          <w:rFonts w:ascii="Times New Roman" w:hAnsi="Times New Roman" w:cs="Times New Roman"/>
          <w:sz w:val="24"/>
          <w:szCs w:val="24"/>
        </w:rPr>
        <w:t xml:space="preserve"> в който са дефинирани дейности</w:t>
      </w:r>
      <w:r w:rsidRPr="002C36F8">
        <w:rPr>
          <w:rFonts w:ascii="Times New Roman" w:hAnsi="Times New Roman" w:cs="Times New Roman"/>
          <w:bCs/>
          <w:sz w:val="24"/>
          <w:szCs w:val="24"/>
        </w:rPr>
        <w:t xml:space="preserve"> и планирани мерки за изпълнението им.</w:t>
      </w:r>
    </w:p>
    <w:p w14:paraId="10B711D3"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i/>
          <w:sz w:val="24"/>
          <w:szCs w:val="24"/>
        </w:rPr>
        <w:t>Задължителните национални цели в областта на биогоривата са измерими и синхронизирани с целите на ЕС в областта на биогоривата. Те изискват постигане на:</w:t>
      </w:r>
    </w:p>
    <w:p w14:paraId="5A338160" w14:textId="77777777" w:rsidR="0089314C" w:rsidRPr="002C36F8" w:rsidRDefault="0089314C" w:rsidP="001A0506">
      <w:pPr>
        <w:pStyle w:val="ListParagraph"/>
        <w:numPr>
          <w:ilvl w:val="0"/>
          <w:numId w:val="5"/>
        </w:numPr>
        <w:spacing w:after="0" w:line="240" w:lineRule="auto"/>
        <w:ind w:left="567"/>
        <w:jc w:val="both"/>
        <w:rPr>
          <w:rFonts w:ascii="Times New Roman" w:hAnsi="Times New Roman" w:cs="Times New Roman"/>
          <w:sz w:val="24"/>
          <w:szCs w:val="24"/>
        </w:rPr>
      </w:pPr>
      <w:r w:rsidRPr="002C36F8">
        <w:rPr>
          <w:rFonts w:ascii="Times New Roman" w:hAnsi="Times New Roman" w:cs="Times New Roman"/>
          <w:sz w:val="24"/>
          <w:szCs w:val="24"/>
        </w:rPr>
        <w:lastRenderedPageBreak/>
        <w:t xml:space="preserve">10 на сто дял на енергията от биогорива и възобновяеми източници в транспорта в общия дял (от 16 на сто) на енергията от възобновяемите енергийни източници в брутното крайно потребление на енергия на страната  и </w:t>
      </w:r>
    </w:p>
    <w:p w14:paraId="04F722C9" w14:textId="77777777" w:rsidR="0089314C" w:rsidRPr="002C36F8" w:rsidRDefault="00804691" w:rsidP="001A0506">
      <w:pPr>
        <w:pStyle w:val="ListParagraph"/>
        <w:numPr>
          <w:ilvl w:val="0"/>
          <w:numId w:val="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6 % </w:t>
      </w:r>
      <w:r w:rsidR="0089314C" w:rsidRPr="002C36F8">
        <w:rPr>
          <w:rFonts w:ascii="Times New Roman" w:hAnsi="Times New Roman" w:cs="Times New Roman"/>
          <w:sz w:val="24"/>
          <w:szCs w:val="24"/>
        </w:rPr>
        <w:t>намаление на емисиите на парникови газове</w:t>
      </w:r>
      <w:r>
        <w:rPr>
          <w:rFonts w:ascii="Times New Roman" w:hAnsi="Times New Roman" w:cs="Times New Roman"/>
          <w:sz w:val="24"/>
          <w:szCs w:val="24"/>
        </w:rPr>
        <w:t xml:space="preserve"> на единица енергия за целия жизнен цикъл на горивата (т.н. интензитет)</w:t>
      </w:r>
      <w:r w:rsidR="0089314C" w:rsidRPr="002C36F8">
        <w:rPr>
          <w:rFonts w:ascii="Times New Roman" w:hAnsi="Times New Roman" w:cs="Times New Roman"/>
          <w:sz w:val="24"/>
          <w:szCs w:val="24"/>
        </w:rPr>
        <w:t>,</w:t>
      </w:r>
      <w:r>
        <w:rPr>
          <w:rFonts w:ascii="Times New Roman" w:hAnsi="Times New Roman" w:cs="Times New Roman"/>
          <w:sz w:val="24"/>
          <w:szCs w:val="24"/>
        </w:rPr>
        <w:t xml:space="preserve"> използвани в транспортния сектор към 2020 г.</w:t>
      </w:r>
      <w:r w:rsidR="0089314C" w:rsidRPr="002C36F8">
        <w:rPr>
          <w:rFonts w:ascii="Times New Roman" w:hAnsi="Times New Roman" w:cs="Times New Roman"/>
          <w:sz w:val="24"/>
          <w:szCs w:val="24"/>
        </w:rPr>
        <w:t xml:space="preserve"> </w:t>
      </w:r>
    </w:p>
    <w:p w14:paraId="17FE2382" w14:textId="77777777" w:rsidR="000465E9"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В НПДЕВИ</w:t>
      </w:r>
      <w:r w:rsidRPr="002C36F8">
        <w:rPr>
          <w:rFonts w:ascii="Times New Roman" w:hAnsi="Times New Roman" w:cs="Times New Roman"/>
          <w:sz w:val="24"/>
          <w:szCs w:val="24"/>
          <w:vertAlign w:val="superscript"/>
        </w:rPr>
        <w:footnoteReference w:id="3"/>
      </w:r>
      <w:r w:rsidRPr="002C36F8">
        <w:rPr>
          <w:rFonts w:ascii="Times New Roman" w:hAnsi="Times New Roman" w:cs="Times New Roman"/>
          <w:sz w:val="24"/>
          <w:szCs w:val="24"/>
        </w:rPr>
        <w:t xml:space="preserve"> не са дефинирани мерки за производство на биогорива от второ поколение; за повишаване на капацитета на малките и средни предприятия, производители на биогорива; за развитие на научния потенциал. Основна причина за това е високата цена на биогоривата от второ поколение и липсата на пазарно ориентирани технологии в европейски и международен мащаб. В НПДЕВИ предвидените количества от биогорива второ поколение са незначителни и към 2020 г. възлизат на 4 k</w:t>
      </w:r>
      <w:r w:rsidRPr="002C36F8">
        <w:rPr>
          <w:rFonts w:ascii="Times New Roman" w:hAnsi="Times New Roman" w:cs="Times New Roman"/>
          <w:sz w:val="24"/>
          <w:szCs w:val="24"/>
          <w:lang w:val="en-US"/>
        </w:rPr>
        <w:t>toe</w:t>
      </w:r>
      <w:r w:rsidRPr="002C36F8">
        <w:rPr>
          <w:rFonts w:ascii="Times New Roman" w:hAnsi="Times New Roman" w:cs="Times New Roman"/>
          <w:sz w:val="24"/>
          <w:szCs w:val="24"/>
        </w:rPr>
        <w:t xml:space="preserve"> при общо потребление на биогорива от 287 ktoe</w:t>
      </w:r>
      <w:r w:rsidRPr="008045CD">
        <w:rPr>
          <w:rFonts w:ascii="Times New Roman" w:hAnsi="Times New Roman" w:cs="Times New Roman"/>
          <w:sz w:val="24"/>
          <w:szCs w:val="24"/>
        </w:rPr>
        <w:t xml:space="preserve">. </w:t>
      </w:r>
      <w:r w:rsidRPr="002C36F8">
        <w:rPr>
          <w:rFonts w:ascii="Times New Roman" w:hAnsi="Times New Roman" w:cs="Times New Roman"/>
          <w:sz w:val="24"/>
          <w:szCs w:val="24"/>
        </w:rPr>
        <w:t>Предвид съществуващият в страната ресурс от суровини за производство на</w:t>
      </w:r>
      <w:r w:rsidRPr="008045CD">
        <w:rPr>
          <w:rFonts w:ascii="Times New Roman" w:hAnsi="Times New Roman" w:cs="Times New Roman"/>
          <w:sz w:val="24"/>
          <w:szCs w:val="24"/>
        </w:rPr>
        <w:t xml:space="preserve"> </w:t>
      </w:r>
      <w:r w:rsidRPr="002C36F8">
        <w:rPr>
          <w:rFonts w:ascii="Times New Roman" w:hAnsi="Times New Roman" w:cs="Times New Roman"/>
          <w:sz w:val="24"/>
          <w:szCs w:val="24"/>
        </w:rPr>
        <w:t xml:space="preserve">конвенционални биогорива, в НПДЕВИ не са планирани количества от внос на биогорива до 2018 г. </w:t>
      </w:r>
      <w:r w:rsidRPr="002C36F8">
        <w:rPr>
          <w:rFonts w:ascii="Times New Roman" w:hAnsi="Times New Roman" w:cs="Times New Roman"/>
          <w:sz w:val="24"/>
          <w:szCs w:val="24"/>
          <w:lang w:val="ru-RU"/>
        </w:rPr>
        <w:t>С</w:t>
      </w:r>
      <w:r w:rsidRPr="002C36F8">
        <w:rPr>
          <w:rFonts w:ascii="Times New Roman" w:hAnsi="Times New Roman" w:cs="Times New Roman"/>
          <w:sz w:val="24"/>
          <w:szCs w:val="24"/>
        </w:rPr>
        <w:t>лед 2018 г. е планиран единствено внос на биоетанол.</w:t>
      </w:r>
    </w:p>
    <w:p w14:paraId="0BA4E555" w14:textId="77777777" w:rsidR="00F54E69" w:rsidRPr="00F54E69" w:rsidRDefault="00F54E69" w:rsidP="000465E9">
      <w:pPr>
        <w:spacing w:after="0" w:line="240" w:lineRule="auto"/>
        <w:ind w:firstLine="567"/>
        <w:jc w:val="both"/>
        <w:rPr>
          <w:rFonts w:ascii="Times New Roman" w:hAnsi="Times New Roman" w:cs="Times New Roman"/>
          <w:sz w:val="24"/>
          <w:szCs w:val="24"/>
        </w:rPr>
      </w:pPr>
      <w:r w:rsidRPr="005E50EA">
        <w:rPr>
          <w:rFonts w:ascii="Times New Roman" w:hAnsi="Times New Roman" w:cs="Times New Roman"/>
          <w:sz w:val="24"/>
          <w:szCs w:val="24"/>
        </w:rPr>
        <w:t>В Третия национален доклад за напредъка на България в насърчаването и използването на енергията от възобновяеми източници</w:t>
      </w:r>
      <w:r w:rsidRPr="005E50EA">
        <w:rPr>
          <w:rStyle w:val="FootnoteReference"/>
          <w:rFonts w:ascii="Times New Roman" w:hAnsi="Times New Roman" w:cs="Times New Roman"/>
          <w:sz w:val="24"/>
          <w:szCs w:val="24"/>
        </w:rPr>
        <w:footnoteReference w:id="4"/>
      </w:r>
      <w:r w:rsidRPr="005E50EA">
        <w:rPr>
          <w:rFonts w:ascii="Times New Roman" w:hAnsi="Times New Roman" w:cs="Times New Roman"/>
          <w:sz w:val="24"/>
          <w:szCs w:val="24"/>
        </w:rPr>
        <w:t>, е отчетено преизпълнение на предвидените в Националния план за действие за енергията от възобновяеми източници дялове на енергията от ВИ в сектор „Транспорт“. За 2013 г. при план – 3,3 на сто е постигнат дял от 5,6 на сто и за 2014 г. при план 4,5 на сто е отчетен дял от 5,3 на сто. Постигнатият напредък се доближава до прогнозирания за 2015 г. показател от 5,8 на сто дял на енергията от възобновяеми източници (ВИ) в сектор „Транспорт“.</w:t>
      </w:r>
    </w:p>
    <w:p w14:paraId="4FFE9CB5" w14:textId="77777777"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„Увеличаването на дела на биогоривата“ е мярка с пряк ефект, заложена по Приоритетна ос 1 „Намаляване на емисиите от транспорта“ на </w:t>
      </w:r>
      <w:r w:rsidRPr="002C36F8">
        <w:rPr>
          <w:rFonts w:ascii="Times New Roman" w:hAnsi="Times New Roman" w:cs="Times New Roman"/>
          <w:b/>
          <w:sz w:val="24"/>
          <w:szCs w:val="24"/>
        </w:rPr>
        <w:t xml:space="preserve">Третия Национален план за действие по изменение на климата за периода 2013 – 2020 г. </w:t>
      </w:r>
    </w:p>
    <w:p w14:paraId="75CEB9BF" w14:textId="04C9D6EF" w:rsidR="0089314C" w:rsidRPr="002C36F8" w:rsidRDefault="0089314C" w:rsidP="000465E9">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В разработка, възложена по поръчка на </w:t>
      </w:r>
      <w:r w:rsidR="00AC15FF" w:rsidRPr="002C36F8">
        <w:rPr>
          <w:rFonts w:ascii="Times New Roman" w:hAnsi="Times New Roman" w:cs="Times New Roman"/>
          <w:sz w:val="24"/>
          <w:szCs w:val="24"/>
        </w:rPr>
        <w:t>М</w:t>
      </w:r>
      <w:r w:rsidR="00AC15FF">
        <w:rPr>
          <w:rFonts w:ascii="Times New Roman" w:hAnsi="Times New Roman" w:cs="Times New Roman"/>
          <w:sz w:val="24"/>
          <w:szCs w:val="24"/>
        </w:rPr>
        <w:t>инистерство на околната среда и водите</w:t>
      </w:r>
      <w:r w:rsidR="00AC15FF" w:rsidRPr="002C36F8">
        <w:rPr>
          <w:rFonts w:ascii="Times New Roman" w:hAnsi="Times New Roman" w:cs="Times New Roman"/>
          <w:sz w:val="24"/>
          <w:szCs w:val="24"/>
        </w:rPr>
        <w:t xml:space="preserve"> </w:t>
      </w:r>
      <w:r w:rsidRPr="002C36F8">
        <w:rPr>
          <w:rFonts w:ascii="Times New Roman" w:hAnsi="Times New Roman" w:cs="Times New Roman"/>
          <w:sz w:val="24"/>
          <w:szCs w:val="24"/>
        </w:rPr>
        <w:t>„Проучване на възможностите и перспективите за производство и потребление на биогорива от първо, второ и трето поколение за нуждите на транспорта“ е поставен приоритет за развитие на биогоривата от второ и трето поколение, в съответствие с промените в изискванията на европейските директиви.</w:t>
      </w:r>
    </w:p>
    <w:p w14:paraId="16B8C71B" w14:textId="20F21CB0" w:rsidR="0089314C" w:rsidRPr="00804691" w:rsidRDefault="00851BA0" w:rsidP="00F54E69">
      <w:pPr>
        <w:spacing w:after="0" w:line="240" w:lineRule="auto"/>
        <w:ind w:firstLine="567"/>
        <w:jc w:val="both"/>
        <w:rPr>
          <w:rFonts w:ascii="Times New Roman" w:hAnsi="Times New Roman" w:cs="Times New Roman"/>
          <w:sz w:val="24"/>
          <w:szCs w:val="24"/>
        </w:rPr>
      </w:pPr>
      <w:r w:rsidRPr="005E50EA">
        <w:rPr>
          <w:rFonts w:ascii="Times New Roman" w:hAnsi="Times New Roman" w:cs="Times New Roman"/>
          <w:sz w:val="24"/>
          <w:szCs w:val="24"/>
        </w:rPr>
        <w:t>Следва да се отбележи, че в Министерството на енергетиката вече е стартирал процеса по изготвянето на</w:t>
      </w:r>
      <w:r w:rsidR="0089314C" w:rsidRPr="002C36F8">
        <w:rPr>
          <w:rFonts w:ascii="Times New Roman" w:hAnsi="Times New Roman" w:cs="Times New Roman"/>
          <w:sz w:val="24"/>
          <w:szCs w:val="24"/>
        </w:rPr>
        <w:t xml:space="preserve"> пълен анализ на</w:t>
      </w:r>
      <w:r w:rsidR="0089314C" w:rsidRPr="008045CD">
        <w:rPr>
          <w:rFonts w:ascii="Times New Roman" w:hAnsi="Times New Roman" w:cs="Times New Roman"/>
          <w:sz w:val="24"/>
          <w:szCs w:val="24"/>
        </w:rPr>
        <w:t xml:space="preserve"> </w:t>
      </w:r>
      <w:r w:rsidR="0089314C" w:rsidRPr="002C36F8">
        <w:rPr>
          <w:rFonts w:ascii="Times New Roman" w:hAnsi="Times New Roman" w:cs="Times New Roman"/>
          <w:sz w:val="24"/>
          <w:szCs w:val="24"/>
        </w:rPr>
        <w:t>възможностите за производство на биогорива от ново поколение и на други възобновяеми източници в транспорта и определяне на индикативна под цел за потребление на биогорива от ново поколение в сектор Транспорт.</w:t>
      </w:r>
      <w:r w:rsidR="000465E9" w:rsidRPr="002C36F8">
        <w:rPr>
          <w:rFonts w:ascii="Times New Roman" w:hAnsi="Times New Roman" w:cs="Times New Roman"/>
          <w:sz w:val="24"/>
          <w:szCs w:val="24"/>
        </w:rPr>
        <w:t xml:space="preserve"> </w:t>
      </w:r>
      <w:r w:rsidR="0089314C" w:rsidRPr="002C36F8">
        <w:rPr>
          <w:rFonts w:ascii="Times New Roman" w:hAnsi="Times New Roman" w:cs="Times New Roman"/>
          <w:sz w:val="24"/>
          <w:szCs w:val="24"/>
        </w:rPr>
        <w:t>Анализът ще бъде съобразен изцяло с разпоредбите на чл. 2 и Приложение IX на Директива 2015/1513/Е0 и със заложените в Националния план за действие за енергията от възобновяеми източници цели</w:t>
      </w:r>
      <w:r w:rsidR="0089314C" w:rsidRPr="008045CD">
        <w:rPr>
          <w:rFonts w:ascii="Times New Roman" w:hAnsi="Times New Roman" w:cs="Times New Roman"/>
          <w:sz w:val="24"/>
          <w:szCs w:val="24"/>
        </w:rPr>
        <w:t>.</w:t>
      </w:r>
      <w:r w:rsidR="00804691">
        <w:rPr>
          <w:rFonts w:ascii="Times New Roman" w:hAnsi="Times New Roman" w:cs="Times New Roman"/>
          <w:sz w:val="24"/>
          <w:szCs w:val="24"/>
        </w:rPr>
        <w:t xml:space="preserve"> </w:t>
      </w:r>
    </w:p>
    <w:p w14:paraId="49BB0DE1" w14:textId="77777777" w:rsidR="007C210A" w:rsidRPr="002C36F8" w:rsidRDefault="007C210A" w:rsidP="002F699A">
      <w:pPr>
        <w:spacing w:after="0" w:line="240" w:lineRule="auto"/>
        <w:jc w:val="both"/>
        <w:rPr>
          <w:rFonts w:ascii="Times New Roman" w:hAnsi="Times New Roman" w:cs="Times New Roman"/>
          <w:b/>
          <w:sz w:val="24"/>
          <w:szCs w:val="24"/>
        </w:rPr>
      </w:pPr>
    </w:p>
    <w:p w14:paraId="28105DFC" w14:textId="77777777" w:rsidR="007C210A" w:rsidRPr="002C36F8" w:rsidRDefault="007C210A" w:rsidP="002F699A">
      <w:pPr>
        <w:spacing w:after="0" w:line="240" w:lineRule="auto"/>
        <w:jc w:val="both"/>
        <w:rPr>
          <w:rFonts w:ascii="Times New Roman" w:hAnsi="Times New Roman" w:cs="Times New Roman"/>
          <w:b/>
          <w:sz w:val="24"/>
          <w:szCs w:val="24"/>
        </w:rPr>
      </w:pPr>
    </w:p>
    <w:p w14:paraId="16F25FF2" w14:textId="77777777" w:rsidR="00F17EF7" w:rsidRPr="002C36F8" w:rsidRDefault="00F17EF7" w:rsidP="001A0506">
      <w:pPr>
        <w:pStyle w:val="ListParagraph"/>
        <w:numPr>
          <w:ilvl w:val="0"/>
          <w:numId w:val="25"/>
        </w:numPr>
        <w:spacing w:after="0"/>
        <w:ind w:left="567" w:hanging="567"/>
        <w:jc w:val="both"/>
        <w:rPr>
          <w:rFonts w:ascii="Times New Roman" w:hAnsi="Times New Roman" w:cs="Times New Roman"/>
          <w:b/>
          <w:sz w:val="24"/>
          <w:szCs w:val="24"/>
        </w:rPr>
      </w:pPr>
      <w:r w:rsidRPr="002C36F8">
        <w:rPr>
          <w:rFonts w:ascii="Times New Roman" w:hAnsi="Times New Roman" w:cs="Times New Roman"/>
          <w:b/>
          <w:sz w:val="24"/>
          <w:szCs w:val="24"/>
        </w:rPr>
        <w:t>ЗАКОНОДАТЕЛНА РАМКА</w:t>
      </w:r>
    </w:p>
    <w:p w14:paraId="6B5780C2" w14:textId="77777777" w:rsidR="000465E9" w:rsidRPr="002C36F8" w:rsidRDefault="000465E9" w:rsidP="00B97336">
      <w:pPr>
        <w:spacing w:after="0" w:line="276" w:lineRule="auto"/>
        <w:ind w:firstLine="567"/>
        <w:jc w:val="both"/>
        <w:rPr>
          <w:rFonts w:ascii="Times New Roman" w:hAnsi="Times New Roman" w:cs="Times New Roman"/>
          <w:b/>
          <w:i/>
          <w:sz w:val="24"/>
          <w:szCs w:val="24"/>
          <w:u w:val="single"/>
        </w:rPr>
      </w:pPr>
    </w:p>
    <w:p w14:paraId="16F37503" w14:textId="77777777" w:rsidR="0089314C" w:rsidRPr="002C36F8" w:rsidRDefault="007C210A" w:rsidP="007C210A">
      <w:pPr>
        <w:spacing w:after="0" w:line="276" w:lineRule="auto"/>
        <w:jc w:val="both"/>
        <w:rPr>
          <w:rFonts w:ascii="Times New Roman" w:hAnsi="Times New Roman" w:cs="Times New Roman"/>
          <w:b/>
          <w:i/>
          <w:sz w:val="24"/>
          <w:szCs w:val="24"/>
          <w:u w:val="single"/>
        </w:rPr>
      </w:pPr>
      <w:r w:rsidRPr="002C36F8">
        <w:rPr>
          <w:rFonts w:ascii="Times New Roman" w:hAnsi="Times New Roman" w:cs="Times New Roman"/>
          <w:b/>
          <w:i/>
          <w:sz w:val="24"/>
          <w:szCs w:val="24"/>
          <w:u w:val="single"/>
        </w:rPr>
        <w:t xml:space="preserve">3.1 </w:t>
      </w:r>
      <w:r w:rsidR="0089314C" w:rsidRPr="002C36F8">
        <w:rPr>
          <w:rFonts w:ascii="Times New Roman" w:hAnsi="Times New Roman" w:cs="Times New Roman"/>
          <w:b/>
          <w:i/>
          <w:sz w:val="24"/>
          <w:szCs w:val="24"/>
          <w:u w:val="single"/>
        </w:rPr>
        <w:t>Законодателна рамка –</w:t>
      </w:r>
      <w:r w:rsidR="000443D2" w:rsidRPr="002C36F8">
        <w:rPr>
          <w:rFonts w:ascii="Times New Roman" w:hAnsi="Times New Roman" w:cs="Times New Roman"/>
          <w:b/>
          <w:i/>
          <w:sz w:val="24"/>
          <w:szCs w:val="24"/>
          <w:u w:val="single"/>
        </w:rPr>
        <w:t xml:space="preserve"> </w:t>
      </w:r>
      <w:r w:rsidR="0089314C" w:rsidRPr="002C36F8">
        <w:rPr>
          <w:rFonts w:ascii="Times New Roman" w:hAnsi="Times New Roman" w:cs="Times New Roman"/>
          <w:b/>
          <w:i/>
          <w:sz w:val="24"/>
          <w:szCs w:val="24"/>
          <w:u w:val="single"/>
        </w:rPr>
        <w:t xml:space="preserve">електрическа енергия </w:t>
      </w:r>
    </w:p>
    <w:p w14:paraId="14DCA22C" w14:textId="77777777" w:rsidR="000465E9" w:rsidRPr="002C36F8" w:rsidRDefault="000465E9" w:rsidP="00B97336">
      <w:pPr>
        <w:spacing w:after="0" w:line="276" w:lineRule="auto"/>
        <w:ind w:firstLine="567"/>
        <w:jc w:val="both"/>
        <w:rPr>
          <w:rFonts w:ascii="Times New Roman" w:hAnsi="Times New Roman" w:cs="Times New Roman"/>
          <w:i/>
          <w:sz w:val="24"/>
          <w:szCs w:val="24"/>
        </w:rPr>
      </w:pPr>
    </w:p>
    <w:p w14:paraId="6F4640A8" w14:textId="77777777" w:rsidR="0089314C" w:rsidRPr="002C36F8" w:rsidRDefault="007C210A" w:rsidP="00DD0AC2">
      <w:pPr>
        <w:spacing w:after="0" w:line="276" w:lineRule="auto"/>
        <w:jc w:val="both"/>
        <w:rPr>
          <w:rFonts w:ascii="Times New Roman" w:hAnsi="Times New Roman" w:cs="Times New Roman"/>
          <w:i/>
          <w:sz w:val="24"/>
          <w:szCs w:val="24"/>
        </w:rPr>
      </w:pPr>
      <w:r w:rsidRPr="002C36F8">
        <w:rPr>
          <w:rFonts w:ascii="Times New Roman" w:hAnsi="Times New Roman" w:cs="Times New Roman"/>
          <w:i/>
          <w:sz w:val="24"/>
          <w:szCs w:val="24"/>
        </w:rPr>
        <w:t xml:space="preserve">3.1.1 </w:t>
      </w:r>
      <w:r w:rsidR="0089314C" w:rsidRPr="002C36F8">
        <w:rPr>
          <w:rFonts w:ascii="Times New Roman" w:hAnsi="Times New Roman" w:cs="Times New Roman"/>
          <w:i/>
          <w:sz w:val="24"/>
          <w:szCs w:val="24"/>
        </w:rPr>
        <w:t>Данъчни облекчения - Електрически превозни средства</w:t>
      </w:r>
    </w:p>
    <w:p w14:paraId="752B6297" w14:textId="77777777" w:rsidR="000465E9" w:rsidRPr="002C36F8" w:rsidRDefault="000465E9" w:rsidP="00B97336">
      <w:pPr>
        <w:spacing w:after="0" w:line="276" w:lineRule="auto"/>
        <w:ind w:firstLine="567"/>
        <w:jc w:val="both"/>
        <w:rPr>
          <w:rFonts w:ascii="Times New Roman" w:hAnsi="Times New Roman" w:cs="Times New Roman"/>
          <w:sz w:val="24"/>
          <w:szCs w:val="24"/>
        </w:rPr>
      </w:pPr>
    </w:p>
    <w:p w14:paraId="1C723AE9" w14:textId="77777777" w:rsidR="0089314C" w:rsidRPr="002C36F8" w:rsidRDefault="0089314C" w:rsidP="00B97336">
      <w:pPr>
        <w:spacing w:after="0" w:line="276"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lastRenderedPageBreak/>
        <w:t xml:space="preserve">Постигнат е значителен напредък по отношение на създаването на регулаторна и финансова рамка за насърчаване употребата на превозни средства с високи екологични характеристики. </w:t>
      </w:r>
    </w:p>
    <w:p w14:paraId="654AC074" w14:textId="77777777" w:rsidR="0089314C" w:rsidRPr="002800B2" w:rsidRDefault="0089314C" w:rsidP="00B9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0B2">
        <w:rPr>
          <w:rFonts w:ascii="Times New Roman" w:eastAsia="Times New Roman" w:hAnsi="Times New Roman" w:cs="Times New Roman"/>
          <w:sz w:val="24"/>
          <w:szCs w:val="24"/>
        </w:rPr>
        <w:t xml:space="preserve">През 2013 – 2015 г. се приеха редица данъчни облекчения, свързани с екологичните характеристики на превозните средства. С приемането на Закон за изменение и допълнение на Закона за местните данъци и такси (ЗИД </w:t>
      </w:r>
      <w:r w:rsidR="008E2542" w:rsidRPr="002800B2">
        <w:rPr>
          <w:rFonts w:ascii="Times New Roman" w:eastAsia="Times New Roman" w:hAnsi="Times New Roman" w:cs="Times New Roman"/>
          <w:sz w:val="24"/>
          <w:szCs w:val="24"/>
        </w:rPr>
        <w:t xml:space="preserve">на </w:t>
      </w:r>
      <w:r w:rsidRPr="002800B2">
        <w:rPr>
          <w:rFonts w:ascii="Times New Roman" w:eastAsia="Times New Roman" w:hAnsi="Times New Roman" w:cs="Times New Roman"/>
          <w:sz w:val="24"/>
          <w:szCs w:val="24"/>
        </w:rPr>
        <w:t xml:space="preserve">ЗМДТ) (ДВ, бр.102/2012 г., в сила от 01.01.2013 г.) бе направена първата стъпка в тази насока, с което електрическите автомобили бяха освободени от годишен данък. </w:t>
      </w:r>
    </w:p>
    <w:p w14:paraId="7FC60ABD" w14:textId="77777777" w:rsidR="0089314C" w:rsidRPr="002800B2" w:rsidRDefault="0089314C" w:rsidP="00B9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0B2">
        <w:rPr>
          <w:rFonts w:ascii="Times New Roman" w:eastAsia="Times New Roman" w:hAnsi="Times New Roman" w:cs="Times New Roman"/>
          <w:sz w:val="24"/>
          <w:szCs w:val="24"/>
        </w:rPr>
        <w:t>Със следващия ЗИД на ЗМДТ (ДВ, бр.101/ 2013 г., в сила от 01.01.2014 г.) се запази преференцията за собствениците на превозни средства с действащи катализаторни устройства, като допълнително се предоставиха облекчения за собственици, чиито превозни средства отговарят на екологични категории „Евро 3“, „Евро 4“, „Евро 5“ и „Евро 6“. Съгласно ЗМДТ, в сила от 01.01.2014 г.,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59,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2 от същия, за превозни средства с мощност на двигателя до 74 kW включително и съответстващи на екологични категории “Евро 3” и “Евро 4” данъкът се заплаща с 50 на сто намаление, а за съответстващите на “Евро 5” и “Евро 6” – с 60 на сто намаление, от определения по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55,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1 и 3 данък.</w:t>
      </w:r>
    </w:p>
    <w:p w14:paraId="6B96E460" w14:textId="77777777" w:rsidR="0089314C" w:rsidRPr="002800B2" w:rsidRDefault="0089314C" w:rsidP="00B9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0B2">
        <w:rPr>
          <w:rFonts w:ascii="Times New Roman" w:eastAsia="Times New Roman" w:hAnsi="Times New Roman" w:cs="Times New Roman"/>
          <w:sz w:val="24"/>
          <w:szCs w:val="24"/>
        </w:rPr>
        <w:t xml:space="preserve">Също така, </w:t>
      </w:r>
      <w:r w:rsidR="008E2542" w:rsidRPr="002800B2">
        <w:rPr>
          <w:rFonts w:ascii="Times New Roman" w:eastAsia="Times New Roman" w:hAnsi="Times New Roman" w:cs="Times New Roman"/>
          <w:sz w:val="24"/>
          <w:szCs w:val="24"/>
        </w:rPr>
        <w:t xml:space="preserve">в съответствие с </w:t>
      </w:r>
      <w:r w:rsidRPr="002800B2">
        <w:rPr>
          <w:rFonts w:ascii="Times New Roman" w:eastAsia="Times New Roman" w:hAnsi="Times New Roman" w:cs="Times New Roman"/>
          <w:sz w:val="24"/>
          <w:szCs w:val="24"/>
        </w:rPr>
        <w:t>разпоредбата на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59,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3 от ЗМДТ, за автобусите, товарните автомобили, влекачите за ремарке и седловите влекачи с двигатели, съответстващи на екологични категории “Евро 3” и “Евро 4” данъкът се заплаща с 40 на сто намаление, а за съответстващите на “Евро 5”, “Евро 6” и “EEV” – с 50 на сто намаление, от определения по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55,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 6, 7 и 13 данък.</w:t>
      </w:r>
    </w:p>
    <w:p w14:paraId="16C4307D" w14:textId="77777777" w:rsidR="0089314C" w:rsidRPr="002C36F8" w:rsidRDefault="0089314C" w:rsidP="00B9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00B2">
        <w:rPr>
          <w:rFonts w:ascii="Times New Roman" w:eastAsia="Times New Roman" w:hAnsi="Times New Roman" w:cs="Times New Roman"/>
          <w:sz w:val="24"/>
          <w:szCs w:val="24"/>
        </w:rPr>
        <w:t>През 2014 г. се разшири кръга на освободените от данък електрически превозни средства, като се прие допълнение в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58,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2 от ЗМДТ. С промяната се освобождават от данък не само електрическите автомобили, но и електрическите мотоциклети и мотопеди (ДВ, бр.105/ 2014 г., в сила от 01.01.2015 г.). С посоченото допълнение в чл.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58, ал.</w:t>
      </w:r>
      <w:r w:rsidR="008E2542" w:rsidRPr="002800B2">
        <w:rPr>
          <w:rFonts w:ascii="Times New Roman" w:eastAsia="Times New Roman" w:hAnsi="Times New Roman" w:cs="Times New Roman"/>
          <w:sz w:val="24"/>
          <w:szCs w:val="24"/>
        </w:rPr>
        <w:t xml:space="preserve"> </w:t>
      </w:r>
      <w:r w:rsidRPr="002800B2">
        <w:rPr>
          <w:rFonts w:ascii="Times New Roman" w:eastAsia="Times New Roman" w:hAnsi="Times New Roman" w:cs="Times New Roman"/>
          <w:sz w:val="24"/>
          <w:szCs w:val="24"/>
        </w:rPr>
        <w:t>2 от ЗМДТ се преодолява създадената неравнопоставеност при облагане на четириколесните и двуколесните електрически превозни средства.</w:t>
      </w:r>
    </w:p>
    <w:p w14:paraId="7F84D764" w14:textId="77777777" w:rsidR="0089314C" w:rsidRPr="008045CD" w:rsidRDefault="0089314C" w:rsidP="00B973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36F8">
        <w:rPr>
          <w:rFonts w:ascii="Times New Roman" w:hAnsi="Times New Roman" w:cs="Times New Roman"/>
          <w:sz w:val="24"/>
          <w:szCs w:val="24"/>
        </w:rPr>
        <w:t xml:space="preserve">По този начин бе направена решителна крачка за модернизиране и интегриране на данъчното и екологичното законодателство, с което </w:t>
      </w:r>
      <w:r w:rsidR="008E2542">
        <w:rPr>
          <w:rFonts w:ascii="Times New Roman" w:hAnsi="Times New Roman" w:cs="Times New Roman"/>
          <w:sz w:val="24"/>
          <w:szCs w:val="24"/>
        </w:rPr>
        <w:t xml:space="preserve">Република </w:t>
      </w:r>
      <w:r w:rsidRPr="002C36F8">
        <w:rPr>
          <w:rFonts w:ascii="Times New Roman" w:hAnsi="Times New Roman" w:cs="Times New Roman"/>
          <w:sz w:val="24"/>
          <w:szCs w:val="24"/>
        </w:rPr>
        <w:t>България се нареди до други седемнадесет държави-членки на ЕС, в които данъците на автомобилите се основават на отделяните емисии и/или разхода на гориво</w:t>
      </w:r>
      <w:r w:rsidRPr="008045CD">
        <w:rPr>
          <w:rFonts w:ascii="Times New Roman" w:hAnsi="Times New Roman" w:cs="Times New Roman"/>
          <w:sz w:val="24"/>
          <w:szCs w:val="24"/>
        </w:rPr>
        <w:t>.</w:t>
      </w:r>
    </w:p>
    <w:p w14:paraId="26480912"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Към настоящия момент таксите, които се събират от М</w:t>
      </w:r>
      <w:r w:rsidR="008E2542">
        <w:rPr>
          <w:rFonts w:ascii="Times New Roman" w:eastAsia="Times New Roman" w:hAnsi="Times New Roman" w:cs="Times New Roman"/>
          <w:sz w:val="24"/>
          <w:szCs w:val="24"/>
        </w:rPr>
        <w:t xml:space="preserve">инистерството на вътрешните работи </w:t>
      </w:r>
      <w:r w:rsidR="008E2542" w:rsidRPr="008045CD">
        <w:rPr>
          <w:rFonts w:ascii="Times New Roman" w:eastAsia="Times New Roman" w:hAnsi="Times New Roman" w:cs="Times New Roman"/>
          <w:sz w:val="24"/>
          <w:szCs w:val="24"/>
        </w:rPr>
        <w:t>(</w:t>
      </w:r>
      <w:r w:rsidR="008E2542">
        <w:rPr>
          <w:rFonts w:ascii="Times New Roman" w:eastAsia="Times New Roman" w:hAnsi="Times New Roman" w:cs="Times New Roman"/>
          <w:sz w:val="24"/>
          <w:szCs w:val="24"/>
        </w:rPr>
        <w:t>МВР</w:t>
      </w:r>
      <w:r w:rsidR="008E2542" w:rsidRPr="008045CD">
        <w:rPr>
          <w:rFonts w:ascii="Times New Roman" w:eastAsia="Times New Roman" w:hAnsi="Times New Roman" w:cs="Times New Roman"/>
          <w:sz w:val="24"/>
          <w:szCs w:val="24"/>
        </w:rPr>
        <w:t>)</w:t>
      </w:r>
      <w:r w:rsidRPr="002C36F8">
        <w:rPr>
          <w:rFonts w:ascii="Times New Roman" w:eastAsia="Times New Roman" w:hAnsi="Times New Roman" w:cs="Times New Roman"/>
          <w:sz w:val="24"/>
          <w:szCs w:val="24"/>
        </w:rPr>
        <w:t xml:space="preserve"> при първоначална регистрация на превозни средства са изключително ниски, като до 90% от тях покриват себестойността на издаваното свидетелство за регистрация (част І и част ІІ), на регистрационните табели и стикера, който се издава за преминат технически преглед.</w:t>
      </w:r>
    </w:p>
    <w:p w14:paraId="3490C730" w14:textId="77777777" w:rsidR="005D1DBB" w:rsidRDefault="0089314C" w:rsidP="00B97336">
      <w:pPr>
        <w:spacing w:after="0" w:line="240" w:lineRule="auto"/>
        <w:ind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 xml:space="preserve">Бланките за свидетелство за регистрация на моторните превозни средства, регистрационните табели и стикерите за преминат първоначален технически преглед са регламентирани в Наредба № І-45/2000 г. и цената им е определена в договори за изработка и доставка, по които МВР е страна. </w:t>
      </w:r>
    </w:p>
    <w:p w14:paraId="31365980"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С ПМС №</w:t>
      </w:r>
      <w:r w:rsidR="00C022FF">
        <w:rPr>
          <w:rFonts w:ascii="Times New Roman" w:eastAsia="Times New Roman" w:hAnsi="Times New Roman" w:cs="Times New Roman"/>
          <w:sz w:val="24"/>
          <w:szCs w:val="24"/>
        </w:rPr>
        <w:t xml:space="preserve"> </w:t>
      </w:r>
      <w:r w:rsidRPr="002C36F8">
        <w:rPr>
          <w:rFonts w:ascii="Times New Roman" w:eastAsia="Times New Roman" w:hAnsi="Times New Roman" w:cs="Times New Roman"/>
          <w:sz w:val="24"/>
          <w:szCs w:val="24"/>
        </w:rPr>
        <w:t xml:space="preserve">76 от 12.04.2016 </w:t>
      </w:r>
      <w:r w:rsidR="00C022FF">
        <w:rPr>
          <w:rFonts w:ascii="Times New Roman" w:eastAsia="Times New Roman" w:hAnsi="Times New Roman" w:cs="Times New Roman"/>
          <w:sz w:val="24"/>
          <w:szCs w:val="24"/>
        </w:rPr>
        <w:t xml:space="preserve">на Министерския съвет </w:t>
      </w:r>
      <w:r w:rsidRPr="002C36F8">
        <w:rPr>
          <w:rFonts w:ascii="Times New Roman" w:eastAsia="Times New Roman" w:hAnsi="Times New Roman" w:cs="Times New Roman"/>
          <w:sz w:val="24"/>
          <w:szCs w:val="24"/>
        </w:rPr>
        <w:t>е приета нова Наредба за определяне на реда и размера за заплащане на продуктова такса. Покупката на електромобили се насърчава с 30 % намаление на продуктовата такса (с 44 лв. спрямо досегашния размер на таксата за нов автомобил), а на хибридни автомобили - с 15 % (в зависимост от възрастта - от 22 лв. до 40 лв. спрямо таксите за конвенционалните автомобили).</w:t>
      </w:r>
    </w:p>
    <w:p w14:paraId="0D144DE8" w14:textId="475D263D" w:rsidR="0089314C" w:rsidRPr="002C36F8" w:rsidRDefault="0089314C" w:rsidP="00B97336">
      <w:pPr>
        <w:spacing w:after="0" w:line="240" w:lineRule="auto"/>
        <w:ind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 xml:space="preserve">Предлагането на допълнителни данъчни облекчения </w:t>
      </w:r>
      <w:r w:rsidR="00C022FF">
        <w:rPr>
          <w:rFonts w:ascii="Times New Roman" w:eastAsia="Times New Roman" w:hAnsi="Times New Roman" w:cs="Times New Roman"/>
          <w:sz w:val="24"/>
          <w:szCs w:val="24"/>
        </w:rPr>
        <w:t>ще</w:t>
      </w:r>
      <w:r w:rsidR="00C022FF" w:rsidRPr="002C36F8">
        <w:rPr>
          <w:rFonts w:ascii="Times New Roman" w:eastAsia="Times New Roman" w:hAnsi="Times New Roman" w:cs="Times New Roman"/>
          <w:sz w:val="24"/>
          <w:szCs w:val="24"/>
        </w:rPr>
        <w:t xml:space="preserve"> </w:t>
      </w:r>
      <w:r w:rsidRPr="002C36F8">
        <w:rPr>
          <w:rFonts w:ascii="Times New Roman" w:eastAsia="Times New Roman" w:hAnsi="Times New Roman" w:cs="Times New Roman"/>
          <w:sz w:val="24"/>
          <w:szCs w:val="24"/>
        </w:rPr>
        <w:t>да бъде съобразено с правила</w:t>
      </w:r>
      <w:r w:rsidR="000C08B3">
        <w:rPr>
          <w:rFonts w:ascii="Times New Roman" w:eastAsia="Times New Roman" w:hAnsi="Times New Roman" w:cs="Times New Roman"/>
          <w:sz w:val="24"/>
          <w:szCs w:val="24"/>
        </w:rPr>
        <w:t>та</w:t>
      </w:r>
      <w:r w:rsidRPr="002C36F8">
        <w:rPr>
          <w:rFonts w:ascii="Times New Roman" w:eastAsia="Times New Roman" w:hAnsi="Times New Roman" w:cs="Times New Roman"/>
          <w:sz w:val="24"/>
          <w:szCs w:val="24"/>
        </w:rPr>
        <w:t>, регламентирани с европейското законодателство в областта на държавните помощи.</w:t>
      </w:r>
    </w:p>
    <w:p w14:paraId="5EFD7EEB" w14:textId="77777777" w:rsidR="000465E9" w:rsidRPr="002C36F8" w:rsidRDefault="000465E9" w:rsidP="00B97336">
      <w:pPr>
        <w:spacing w:after="0" w:line="240" w:lineRule="auto"/>
        <w:ind w:firstLine="567"/>
        <w:jc w:val="both"/>
        <w:rPr>
          <w:rFonts w:ascii="Times New Roman" w:eastAsia="Times New Roman" w:hAnsi="Times New Roman" w:cs="Times New Roman"/>
          <w:sz w:val="24"/>
          <w:szCs w:val="24"/>
        </w:rPr>
      </w:pPr>
    </w:p>
    <w:p w14:paraId="3DFADBB5" w14:textId="77777777" w:rsidR="0089314C" w:rsidRPr="002C36F8" w:rsidRDefault="007C210A" w:rsidP="00DD0AC2">
      <w:pPr>
        <w:spacing w:after="0" w:line="240" w:lineRule="auto"/>
        <w:jc w:val="both"/>
        <w:rPr>
          <w:rFonts w:ascii="Times New Roman" w:hAnsi="Times New Roman"/>
          <w:i/>
          <w:sz w:val="24"/>
          <w:szCs w:val="24"/>
        </w:rPr>
      </w:pPr>
      <w:r w:rsidRPr="002C36F8">
        <w:rPr>
          <w:rFonts w:ascii="Times New Roman" w:hAnsi="Times New Roman"/>
          <w:i/>
          <w:sz w:val="24"/>
          <w:szCs w:val="24"/>
        </w:rPr>
        <w:lastRenderedPageBreak/>
        <w:t xml:space="preserve">3.1.2 </w:t>
      </w:r>
      <w:r w:rsidR="0089314C" w:rsidRPr="002C36F8">
        <w:rPr>
          <w:rFonts w:ascii="Times New Roman" w:hAnsi="Times New Roman"/>
          <w:i/>
          <w:sz w:val="24"/>
          <w:szCs w:val="24"/>
        </w:rPr>
        <w:t>Регистрация</w:t>
      </w:r>
      <w:r w:rsidR="0089314C" w:rsidRPr="002C36F8">
        <w:rPr>
          <w:rFonts w:ascii="Times New Roman" w:hAnsi="Times New Roman"/>
          <w:b/>
          <w:i/>
          <w:sz w:val="24"/>
          <w:szCs w:val="24"/>
        </w:rPr>
        <w:t xml:space="preserve"> </w:t>
      </w:r>
      <w:r w:rsidR="0089314C" w:rsidRPr="002C36F8">
        <w:rPr>
          <w:rFonts w:ascii="Times New Roman" w:hAnsi="Times New Roman"/>
          <w:i/>
          <w:sz w:val="24"/>
          <w:szCs w:val="24"/>
        </w:rPr>
        <w:t>на моторни превозни средства с хибридно и електрическо задвижване</w:t>
      </w:r>
    </w:p>
    <w:p w14:paraId="5BCB7C87" w14:textId="77777777" w:rsidR="000465E9" w:rsidRPr="002C36F8" w:rsidRDefault="000465E9" w:rsidP="00B97336">
      <w:pPr>
        <w:spacing w:after="0"/>
        <w:ind w:firstLine="567"/>
        <w:jc w:val="both"/>
        <w:rPr>
          <w:rFonts w:ascii="Times New Roman" w:hAnsi="Times New Roman"/>
          <w:sz w:val="24"/>
          <w:szCs w:val="24"/>
        </w:rPr>
      </w:pPr>
    </w:p>
    <w:p w14:paraId="287535B7" w14:textId="77777777" w:rsidR="0089314C" w:rsidRPr="002C36F8" w:rsidRDefault="0089314C" w:rsidP="00B97336">
      <w:pPr>
        <w:spacing w:after="0" w:line="240" w:lineRule="auto"/>
        <w:ind w:firstLine="567"/>
        <w:jc w:val="both"/>
        <w:rPr>
          <w:rFonts w:ascii="Times New Roman" w:hAnsi="Times New Roman"/>
          <w:sz w:val="24"/>
          <w:szCs w:val="24"/>
        </w:rPr>
      </w:pPr>
      <w:r w:rsidRPr="002C36F8">
        <w:rPr>
          <w:rFonts w:ascii="Times New Roman" w:hAnsi="Times New Roman"/>
          <w:sz w:val="24"/>
          <w:szCs w:val="24"/>
        </w:rPr>
        <w:t xml:space="preserve">Условията и реда за регистрация на превозните средства са определени с Наредба № І-45 от 24.03.2000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превозни средства (обн., ДВ, бр. 31 от </w:t>
      </w:r>
      <w:smartTag w:uri="urn:schemas-microsoft-com:office:smarttags" w:element="metricconverter">
        <w:smartTagPr>
          <w:attr w:name="ProductID" w:val="2000 г"/>
        </w:smartTagPr>
        <w:r w:rsidRPr="002C36F8">
          <w:rPr>
            <w:rFonts w:ascii="Times New Roman" w:hAnsi="Times New Roman"/>
            <w:sz w:val="24"/>
            <w:szCs w:val="24"/>
          </w:rPr>
          <w:t>2000 г</w:t>
        </w:r>
      </w:smartTag>
      <w:r w:rsidRPr="002C36F8">
        <w:rPr>
          <w:rFonts w:ascii="Times New Roman" w:hAnsi="Times New Roman"/>
          <w:sz w:val="24"/>
          <w:szCs w:val="24"/>
        </w:rPr>
        <w:t>.). Компетентни органи по регистрация на превозните средства са звената „Пътна полиция” при Столична дирекция на вътрешните работи и областните дирекции на Министерството на вътрешните работи.</w:t>
      </w:r>
    </w:p>
    <w:p w14:paraId="339A6BD2"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hAnsi="Times New Roman"/>
          <w:sz w:val="24"/>
          <w:szCs w:val="24"/>
        </w:rPr>
        <w:t xml:space="preserve">С Наредба № І-45 са определени процедурите за първоначална регистрация и промени в регистрацията на превозните средства. </w:t>
      </w:r>
      <w:r w:rsidRPr="008E0F48">
        <w:rPr>
          <w:rFonts w:ascii="Times New Roman" w:hAnsi="Times New Roman"/>
          <w:sz w:val="24"/>
          <w:szCs w:val="24"/>
        </w:rPr>
        <w:t>Тези процедури се прилагат за всички моторни превозни средства, независимо от тяхното задвижване, т.е. няма особености в процедурите за първоначална регистрация и промени в регистрацията на моторните превозни средства.</w:t>
      </w:r>
    </w:p>
    <w:p w14:paraId="462735EC" w14:textId="77777777" w:rsidR="000465E9" w:rsidRPr="002C36F8" w:rsidRDefault="000465E9" w:rsidP="000465E9">
      <w:pPr>
        <w:spacing w:after="0" w:line="240" w:lineRule="auto"/>
        <w:jc w:val="both"/>
        <w:rPr>
          <w:rFonts w:ascii="Times New Roman" w:eastAsia="Times New Roman" w:hAnsi="Times New Roman" w:cs="Times New Roman"/>
          <w:i/>
          <w:sz w:val="24"/>
          <w:szCs w:val="24"/>
          <w:lang w:eastAsia="bg-BG"/>
        </w:rPr>
      </w:pPr>
    </w:p>
    <w:p w14:paraId="694C8862" w14:textId="77777777" w:rsidR="0089314C" w:rsidRPr="002C36F8" w:rsidRDefault="00481ABE" w:rsidP="00DD0AC2">
      <w:pPr>
        <w:spacing w:after="0" w:line="240" w:lineRule="auto"/>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3.1.3 </w:t>
      </w:r>
      <w:r w:rsidR="00126C90">
        <w:rPr>
          <w:rFonts w:ascii="Times New Roman" w:eastAsia="Times New Roman" w:hAnsi="Times New Roman" w:cs="Times New Roman"/>
          <w:i/>
          <w:sz w:val="24"/>
          <w:szCs w:val="24"/>
          <w:lang w:eastAsia="bg-BG"/>
        </w:rPr>
        <w:t>Одобряване на типа</w:t>
      </w:r>
      <w:r w:rsidR="0089314C" w:rsidRPr="002C36F8">
        <w:rPr>
          <w:rFonts w:ascii="Times New Roman" w:eastAsia="Times New Roman" w:hAnsi="Times New Roman" w:cs="Times New Roman"/>
          <w:i/>
          <w:sz w:val="24"/>
          <w:szCs w:val="24"/>
          <w:lang w:eastAsia="bg-BG"/>
        </w:rPr>
        <w:t xml:space="preserve"> на моторни превозни средства, с електрическо и хибридно задвижване</w:t>
      </w:r>
    </w:p>
    <w:p w14:paraId="3818F5CA" w14:textId="77777777" w:rsidR="000465E9" w:rsidRPr="002C36F8" w:rsidRDefault="000465E9" w:rsidP="00C80F06">
      <w:pPr>
        <w:spacing w:after="0" w:line="240" w:lineRule="auto"/>
        <w:jc w:val="both"/>
        <w:rPr>
          <w:rFonts w:ascii="Times New Roman" w:eastAsia="Times New Roman" w:hAnsi="Times New Roman" w:cs="Times New Roman"/>
          <w:i/>
          <w:sz w:val="24"/>
          <w:szCs w:val="24"/>
          <w:lang w:eastAsia="bg-BG"/>
        </w:rPr>
      </w:pPr>
    </w:p>
    <w:p w14:paraId="309A0639" w14:textId="77777777" w:rsidR="00C80F06" w:rsidRPr="002C36F8" w:rsidRDefault="00466BDD" w:rsidP="00466BDD">
      <w:pPr>
        <w:spacing w:after="0" w:line="240" w:lineRule="auto"/>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3.1.3.1 </w:t>
      </w:r>
      <w:r w:rsidR="00C80F06" w:rsidRPr="002C36F8">
        <w:rPr>
          <w:rFonts w:ascii="Times New Roman" w:eastAsia="Times New Roman" w:hAnsi="Times New Roman" w:cs="Times New Roman"/>
          <w:i/>
          <w:sz w:val="24"/>
          <w:szCs w:val="24"/>
          <w:lang w:eastAsia="bg-BG"/>
        </w:rPr>
        <w:t>Европейски изисквания:</w:t>
      </w:r>
    </w:p>
    <w:p w14:paraId="1FED8942" w14:textId="77777777" w:rsidR="00C80F06" w:rsidRPr="002C36F8" w:rsidRDefault="00C80F06" w:rsidP="00B97336">
      <w:pPr>
        <w:spacing w:after="0" w:line="240" w:lineRule="auto"/>
        <w:ind w:firstLine="567"/>
        <w:jc w:val="both"/>
        <w:rPr>
          <w:rFonts w:ascii="Times New Roman" w:eastAsia="Times New Roman" w:hAnsi="Times New Roman" w:cs="Times New Roman"/>
          <w:i/>
          <w:sz w:val="24"/>
          <w:szCs w:val="24"/>
          <w:lang w:eastAsia="bg-BG"/>
        </w:rPr>
      </w:pPr>
    </w:p>
    <w:p w14:paraId="76B76691" w14:textId="77777777" w:rsidR="0089314C" w:rsidRPr="002C36F8" w:rsidRDefault="00C80F06" w:rsidP="00466BDD">
      <w:pPr>
        <w:spacing w:after="0" w:line="240" w:lineRule="auto"/>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3.1.3.1</w:t>
      </w:r>
      <w:r w:rsidR="00466BDD" w:rsidRPr="002C36F8">
        <w:rPr>
          <w:rFonts w:ascii="Times New Roman" w:eastAsia="Times New Roman" w:hAnsi="Times New Roman" w:cs="Times New Roman"/>
          <w:i/>
          <w:sz w:val="24"/>
          <w:szCs w:val="24"/>
          <w:lang w:eastAsia="bg-BG"/>
        </w:rPr>
        <w:t>.1</w:t>
      </w:r>
      <w:r w:rsidRPr="002C36F8">
        <w:rPr>
          <w:rFonts w:ascii="Times New Roman" w:eastAsia="Times New Roman" w:hAnsi="Times New Roman" w:cs="Times New Roman"/>
          <w:i/>
          <w:sz w:val="24"/>
          <w:szCs w:val="24"/>
          <w:lang w:eastAsia="bg-BG"/>
        </w:rPr>
        <w:t xml:space="preserve"> </w:t>
      </w:r>
      <w:r w:rsidR="0089314C" w:rsidRPr="002C36F8">
        <w:rPr>
          <w:rFonts w:ascii="Times New Roman" w:eastAsia="Times New Roman" w:hAnsi="Times New Roman" w:cs="Times New Roman"/>
          <w:i/>
          <w:sz w:val="24"/>
          <w:szCs w:val="24"/>
          <w:lang w:eastAsia="bg-BG"/>
        </w:rPr>
        <w:t>Информация за одобряване на типа на електрически и хибридни МПС от категории M и N</w:t>
      </w:r>
    </w:p>
    <w:p w14:paraId="74E6AE5A" w14:textId="77777777" w:rsidR="000465E9" w:rsidRPr="002C36F8" w:rsidRDefault="000465E9" w:rsidP="00B97336">
      <w:pPr>
        <w:spacing w:after="0" w:line="240" w:lineRule="auto"/>
        <w:ind w:firstLine="567"/>
        <w:jc w:val="both"/>
        <w:rPr>
          <w:rFonts w:ascii="Times New Roman" w:eastAsia="Times New Roman" w:hAnsi="Times New Roman" w:cs="Times New Roman"/>
          <w:i/>
          <w:sz w:val="24"/>
          <w:szCs w:val="24"/>
          <w:lang w:eastAsia="bg-BG"/>
        </w:rPr>
      </w:pPr>
    </w:p>
    <w:p w14:paraId="50BB9F44"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В чл. 149, ал. 1 от Закона за движението по пътищата (ДВ, бр. 20 от 1999 г. ) са дефинирани категориите пътни превозни средства за нуждите на типовото одобрение, а в Част А на Приложение № 1 от Наредба № 60 от 2009 г. за одобряване типа на нови моторни превозни средства и техните ремаркета (ДВ, бр. 40 от 2009 г.) са определени критериите за категоризация на превозните средства съгласно европейското законодателство (Рамкова директива 2007/46/ЕО на Европейския парламент и на Съвета от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w:t>
      </w:r>
    </w:p>
    <w:p w14:paraId="48D9D52F"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В Наредба № 60 от 2009 г. са определени следните процедури за одобряване типа на превозните средства, които са приложими и за одобряване типа на моторните превозни средства с електрическо и хибридно задвижване:</w:t>
      </w:r>
    </w:p>
    <w:p w14:paraId="67D451F9" w14:textId="77777777" w:rsidR="000465E9"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ЕО одобряване типа на превозни средства</w:t>
      </w:r>
      <w:r w:rsidR="000465E9" w:rsidRPr="002C36F8">
        <w:rPr>
          <w:rFonts w:ascii="Times New Roman" w:eastAsia="Times New Roman" w:hAnsi="Times New Roman" w:cs="Times New Roman"/>
          <w:sz w:val="24"/>
          <w:szCs w:val="24"/>
          <w:lang w:eastAsia="bg-BG"/>
        </w:rPr>
        <w:t>;</w:t>
      </w:r>
    </w:p>
    <w:p w14:paraId="5759BEDB" w14:textId="77777777" w:rsidR="000465E9"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ЕО одобряване на превозни средства, произвеждани в малка серия</w:t>
      </w:r>
      <w:r w:rsidR="000465E9" w:rsidRPr="002C36F8">
        <w:rPr>
          <w:rFonts w:ascii="Times New Roman" w:eastAsia="Times New Roman" w:hAnsi="Times New Roman" w:cs="Times New Roman"/>
          <w:sz w:val="24"/>
          <w:szCs w:val="24"/>
          <w:lang w:eastAsia="bg-BG"/>
        </w:rPr>
        <w:t>;</w:t>
      </w:r>
    </w:p>
    <w:p w14:paraId="28FBCC00" w14:textId="77777777" w:rsidR="000465E9"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Национално одобряване типа на превозни средства, произвеждани в малка серия</w:t>
      </w:r>
      <w:r w:rsidR="000465E9" w:rsidRPr="002C36F8">
        <w:rPr>
          <w:rFonts w:ascii="Times New Roman" w:eastAsia="Times New Roman" w:hAnsi="Times New Roman" w:cs="Times New Roman"/>
          <w:sz w:val="24"/>
          <w:szCs w:val="24"/>
          <w:lang w:eastAsia="bg-BG"/>
        </w:rPr>
        <w:t>;</w:t>
      </w:r>
    </w:p>
    <w:p w14:paraId="5ECDD9D0" w14:textId="77777777" w:rsidR="00B97336"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Одобряване типа на превозни средства по отношение на системи/определени технически характеристики</w:t>
      </w:r>
      <w:r w:rsidR="00B97336" w:rsidRPr="002C36F8">
        <w:rPr>
          <w:rFonts w:ascii="Times New Roman" w:eastAsia="Times New Roman" w:hAnsi="Times New Roman" w:cs="Times New Roman"/>
          <w:sz w:val="24"/>
          <w:szCs w:val="24"/>
          <w:lang w:eastAsia="bg-BG"/>
        </w:rPr>
        <w:t>;</w:t>
      </w:r>
    </w:p>
    <w:p w14:paraId="1A29FB26" w14:textId="77777777" w:rsidR="00B97336"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Одобряване типа на превозни средства при използване на нови технологии или концепции</w:t>
      </w:r>
    </w:p>
    <w:p w14:paraId="57949A93" w14:textId="77777777" w:rsidR="0089314C" w:rsidRPr="002C36F8" w:rsidRDefault="0089314C" w:rsidP="001A0506">
      <w:pPr>
        <w:pStyle w:val="ListParagraph"/>
        <w:numPr>
          <w:ilvl w:val="0"/>
          <w:numId w:val="5"/>
        </w:numPr>
        <w:spacing w:after="0" w:line="240" w:lineRule="auto"/>
        <w:ind w:left="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Индивидуално одобряване на превозни средства.</w:t>
      </w:r>
    </w:p>
    <w:p w14:paraId="7AFAD4F6"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В §1, т. 14 и т. 15 от Допълнителните разпоредби на Наредба № 60 от 2009 г. са посочени определения за „Хибридно моторно превозно средство” и „Хибридно електрическо превозно средство”.</w:t>
      </w:r>
    </w:p>
    <w:p w14:paraId="03C8E03A"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sz w:val="24"/>
          <w:szCs w:val="24"/>
          <w:lang w:eastAsia="bg-BG"/>
        </w:rPr>
        <w:t>„Хибридно моторно превозно средство”</w:t>
      </w:r>
      <w:r w:rsidRPr="002C36F8">
        <w:rPr>
          <w:rFonts w:ascii="Times New Roman" w:eastAsia="Times New Roman" w:hAnsi="Times New Roman" w:cs="Times New Roman"/>
          <w:sz w:val="24"/>
          <w:szCs w:val="24"/>
          <w:lang w:eastAsia="bg-BG"/>
        </w:rPr>
        <w:t xml:space="preserve"> е превозно средство с най-малко два различни двигателя с преобразуване на енергия за задвижване на превозното средство и две различни системи за съхраняване на енергия за целите на задвижването (в превозното средство).</w:t>
      </w:r>
    </w:p>
    <w:p w14:paraId="4C4EB21D"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sz w:val="24"/>
          <w:szCs w:val="24"/>
          <w:lang w:eastAsia="bg-BG"/>
        </w:rPr>
        <w:lastRenderedPageBreak/>
        <w:t>„Хибридно електрическо превозно средство”</w:t>
      </w:r>
      <w:r w:rsidRPr="002C36F8">
        <w:rPr>
          <w:rFonts w:ascii="Times New Roman" w:eastAsia="Times New Roman" w:hAnsi="Times New Roman" w:cs="Times New Roman"/>
          <w:sz w:val="24"/>
          <w:szCs w:val="24"/>
          <w:lang w:eastAsia="bg-BG"/>
        </w:rPr>
        <w:t xml:space="preserve"> е хибридно превозно средство, което за неговото задвижване ползва енергия и от двата източника на акумулирана енергия/мощност в превозното средство:</w:t>
      </w:r>
    </w:p>
    <w:p w14:paraId="0213E059"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а) </w:t>
      </w:r>
      <w:r w:rsidR="00501A4A">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гориво за изгаряне;</w:t>
      </w:r>
    </w:p>
    <w:p w14:paraId="4F9279B1" w14:textId="77777777" w:rsidR="0089314C" w:rsidRPr="002C36F8" w:rsidRDefault="0089314C" w:rsidP="00B97336">
      <w:pPr>
        <w:spacing w:after="0" w:line="240" w:lineRule="auto"/>
        <w:ind w:left="993" w:hanging="426"/>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б)</w:t>
      </w:r>
      <w:r w:rsidR="00501A4A">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устройство за съхраняване на електрическа енергия/мощност (напр. акумулаторна батерия, кондензатор, маховик/генератор и т.н.).</w:t>
      </w:r>
    </w:p>
    <w:p w14:paraId="41536075" w14:textId="77777777" w:rsidR="0089314C" w:rsidRPr="008045CD"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В Приложение № 10 на Наредба № 60 от 24.04.2009 г. е включена препратка към Регламент (ЕО) № 661/2009 на Европейския парламент и на Съвета от 2009 година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(ОВ, </w:t>
      </w:r>
      <w:r w:rsidRPr="002C36F8">
        <w:rPr>
          <w:rFonts w:ascii="Times New Roman" w:eastAsia="Times New Roman" w:hAnsi="Times New Roman" w:cs="Times New Roman"/>
          <w:sz w:val="24"/>
          <w:szCs w:val="24"/>
          <w:lang w:val="en-US" w:eastAsia="bg-BG"/>
        </w:rPr>
        <w:t>L</w:t>
      </w:r>
      <w:r w:rsidRPr="008045CD">
        <w:rPr>
          <w:rFonts w:ascii="Times New Roman" w:eastAsia="Times New Roman" w:hAnsi="Times New Roman" w:cs="Times New Roman"/>
          <w:sz w:val="24"/>
          <w:szCs w:val="24"/>
          <w:lang w:eastAsia="bg-BG"/>
        </w:rPr>
        <w:t xml:space="preserve"> 200 от </w:t>
      </w:r>
      <w:r w:rsidRPr="002C36F8">
        <w:rPr>
          <w:rFonts w:ascii="Times New Roman" w:eastAsia="Times New Roman" w:hAnsi="Times New Roman" w:cs="Times New Roman"/>
          <w:sz w:val="24"/>
          <w:szCs w:val="24"/>
          <w:lang w:eastAsia="bg-BG"/>
        </w:rPr>
        <w:t>31.07.</w:t>
      </w:r>
      <w:r w:rsidRPr="008045CD">
        <w:rPr>
          <w:rFonts w:ascii="Times New Roman" w:eastAsia="Times New Roman" w:hAnsi="Times New Roman" w:cs="Times New Roman"/>
          <w:sz w:val="24"/>
          <w:szCs w:val="24"/>
          <w:lang w:eastAsia="bg-BG"/>
        </w:rPr>
        <w:t>2009 г.</w:t>
      </w:r>
      <w:r w:rsidRPr="002C36F8">
        <w:rPr>
          <w:rFonts w:ascii="Times New Roman" w:eastAsia="Times New Roman" w:hAnsi="Times New Roman" w:cs="Times New Roman"/>
          <w:sz w:val="24"/>
          <w:szCs w:val="24"/>
          <w:lang w:eastAsia="bg-BG"/>
        </w:rPr>
        <w:t>) и Правило № 100 на ООН/ИКЕ -</w:t>
      </w:r>
      <w:r w:rsidRPr="008045CD">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Единни предписания относно одобрението на превозни средства по отношение на специфичните изисквания за електрическото силово предаване</w:t>
      </w:r>
      <w:r w:rsidRPr="008045CD">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(ОВ</w:t>
      </w:r>
      <w:r w:rsidRPr="008045CD">
        <w:rPr>
          <w:rFonts w:ascii="Times New Roman" w:eastAsia="Times New Roman" w:hAnsi="Times New Roman" w:cs="Times New Roman"/>
          <w:sz w:val="24"/>
          <w:szCs w:val="24"/>
          <w:lang w:eastAsia="bg-BG"/>
        </w:rPr>
        <w:t>,</w:t>
      </w:r>
      <w:r w:rsidRPr="002C36F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val="en-US" w:eastAsia="bg-BG"/>
        </w:rPr>
        <w:t>L</w:t>
      </w:r>
      <w:r w:rsidRPr="008045CD">
        <w:rPr>
          <w:rFonts w:ascii="Times New Roman" w:eastAsia="Times New Roman" w:hAnsi="Times New Roman" w:cs="Times New Roman"/>
          <w:sz w:val="24"/>
          <w:szCs w:val="24"/>
          <w:lang w:eastAsia="bg-BG"/>
        </w:rPr>
        <w:t xml:space="preserve"> 87 </w:t>
      </w:r>
      <w:r w:rsidRPr="002C36F8">
        <w:rPr>
          <w:rFonts w:ascii="Times New Roman" w:eastAsia="Times New Roman" w:hAnsi="Times New Roman" w:cs="Times New Roman"/>
          <w:sz w:val="24"/>
          <w:szCs w:val="24"/>
          <w:lang w:eastAsia="bg-BG"/>
        </w:rPr>
        <w:t>от 31.03.2015 г.), в което са разписани изисквания за електрическа безопасност, както и определения във връзка с електрическите превозни средства. Необходимите маркировки и обозначения на електрическите ПС са предвидените по Правило № 100 на ООН/ИКЕ, и приложимото европейско законодателство.</w:t>
      </w:r>
    </w:p>
    <w:p w14:paraId="36A83B3A" w14:textId="77777777" w:rsidR="0089314C" w:rsidRPr="002C36F8" w:rsidRDefault="0089314C" w:rsidP="00B9733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Определения за „Хибридно превозно средство“, „Хибридно електрическо превозно средство“ и „Изцяло електрическо превозно средство“ се съдържат съответно в чл. 3, точка 1 от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29.06.2007 г.) и чл. 2, точка 16 и точка 34 от Регламент (ЕО) № 692/2008 на Комисията от 18 юли 2008 г. за прилагане и изменение на Регламент (ЕО) № 715/2007 на Европейския парламент и на Съвета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(Регламент (ЕО) № 692/2008) (ОВ L 199, 28.07.2008 г.). Разпоредбите на Регламент (ЕО) № 715/2007 и Регламент (ЕО) № 692/2009 имат пряко действие за Република България.</w:t>
      </w:r>
    </w:p>
    <w:p w14:paraId="6EF4E7ED" w14:textId="77777777" w:rsidR="00DC0A57" w:rsidRPr="002C36F8" w:rsidRDefault="00DC0A57" w:rsidP="00B97336">
      <w:pPr>
        <w:spacing w:after="0" w:line="240" w:lineRule="auto"/>
        <w:ind w:firstLine="567"/>
        <w:jc w:val="both"/>
        <w:rPr>
          <w:rFonts w:ascii="Times New Roman" w:eastAsia="Times New Roman" w:hAnsi="Times New Roman" w:cs="Times New Roman"/>
          <w:sz w:val="24"/>
          <w:szCs w:val="24"/>
          <w:lang w:eastAsia="bg-BG"/>
        </w:rPr>
      </w:pPr>
    </w:p>
    <w:p w14:paraId="4472505B" w14:textId="77777777" w:rsidR="0089314C" w:rsidRPr="002C36F8" w:rsidRDefault="00466BDD" w:rsidP="00466BDD">
      <w:pPr>
        <w:spacing w:after="0" w:line="240" w:lineRule="auto"/>
        <w:jc w:val="both"/>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3.1.3.1.2</w:t>
      </w:r>
      <w:r w:rsidR="0089314C" w:rsidRPr="002C36F8">
        <w:rPr>
          <w:rFonts w:ascii="Times New Roman" w:eastAsia="Times New Roman" w:hAnsi="Times New Roman" w:cs="Times New Roman"/>
          <w:i/>
          <w:sz w:val="24"/>
          <w:szCs w:val="24"/>
          <w:lang w:eastAsia="bg-BG"/>
        </w:rPr>
        <w:t xml:space="preserve"> Информация относно одобряване на типа на електрически и хибридни МПС от категория L</w:t>
      </w:r>
    </w:p>
    <w:p w14:paraId="70818434" w14:textId="77777777" w:rsidR="0089314C" w:rsidRPr="002C36F8" w:rsidRDefault="0089314C" w:rsidP="00917D61">
      <w:pPr>
        <w:spacing w:before="120"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През 2015 г. се разработи проект на Закона за изменение и допълнение на Закона за движението по пътищата (законопроект № 602-01-14/31.03.2016 г.), с който се предвиждат конкретни мерки по прилагането на 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 (OB, L 60 от 2 март 2013 г.). В законопроекта е предвиден текст, с който за целите на закона са приложими определенията по чл. 3 от Регламент (ЕС) № 168/2013. С тази разпоредба в националното законодателство за дву-, три- и четириколесни превозни средства се създават условия за прилагане на определения за „хибридно превозно средство“, „хибридно електрическо превозно средство“, „изцяло електрическо превозно средство“. Създават се разпоредби за одобряване типа на тези превозни средства, както и техническите изисквания към тях. </w:t>
      </w:r>
      <w:r w:rsidR="0017149C">
        <w:rPr>
          <w:rStyle w:val="FootnoteReference"/>
          <w:rFonts w:ascii="Times New Roman" w:eastAsia="Times New Roman" w:hAnsi="Times New Roman" w:cs="Times New Roman"/>
          <w:sz w:val="24"/>
          <w:szCs w:val="24"/>
          <w:lang w:eastAsia="bg-BG"/>
        </w:rPr>
        <w:footnoteReference w:id="5"/>
      </w:r>
      <w:r w:rsidR="008E0F4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 xml:space="preserve">Регламентът е с пряка приложимост за Република България от 01.01.2016 г., като има за цел да се опрости досегашната правна рамка, да се намалят вредните емисии от превозните средства от категория L, да се увеличи общото равнище на безопасност, да </w:t>
      </w:r>
      <w:r w:rsidRPr="002C36F8">
        <w:rPr>
          <w:rFonts w:ascii="Times New Roman" w:eastAsia="Times New Roman" w:hAnsi="Times New Roman" w:cs="Times New Roman"/>
          <w:sz w:val="24"/>
          <w:szCs w:val="24"/>
          <w:lang w:eastAsia="bg-BG"/>
        </w:rPr>
        <w:lastRenderedPageBreak/>
        <w:t>се осигури адаптиране към техническия прогрес и да се укрепят правилата за надзор на пазара.</w:t>
      </w:r>
      <w:r w:rsidR="00917D61" w:rsidRPr="002C36F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Определения съгласно чл. 3 от Регламент (ЕС) № 168/2013</w:t>
      </w:r>
      <w:r w:rsidR="00DA29EB">
        <w:rPr>
          <w:rFonts w:ascii="Times New Roman" w:eastAsia="Times New Roman" w:hAnsi="Times New Roman" w:cs="Times New Roman"/>
          <w:sz w:val="24"/>
          <w:szCs w:val="24"/>
          <w:lang w:eastAsia="bg-BG"/>
        </w:rPr>
        <w:t xml:space="preserve"> са</w:t>
      </w:r>
      <w:r w:rsidRPr="002C36F8">
        <w:rPr>
          <w:rFonts w:ascii="Times New Roman" w:eastAsia="Times New Roman" w:hAnsi="Times New Roman" w:cs="Times New Roman"/>
          <w:sz w:val="24"/>
          <w:szCs w:val="24"/>
          <w:lang w:eastAsia="bg-BG"/>
        </w:rPr>
        <w:t>:</w:t>
      </w:r>
    </w:p>
    <w:p w14:paraId="33B9B43B"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sz w:val="24"/>
          <w:szCs w:val="24"/>
          <w:lang w:eastAsia="bg-BG"/>
        </w:rPr>
        <w:t xml:space="preserve">„Хибридно превозно средство“ </w:t>
      </w:r>
      <w:r w:rsidRPr="002C36F8">
        <w:rPr>
          <w:rFonts w:ascii="Times New Roman" w:eastAsia="Times New Roman" w:hAnsi="Times New Roman" w:cs="Times New Roman"/>
          <w:sz w:val="24"/>
          <w:szCs w:val="24"/>
          <w:lang w:eastAsia="bg-BG"/>
        </w:rPr>
        <w:t>означава моторно превозно средство, което за привеждането си в движение е оборудвано с най-малко два различни преобразувателя на енергия и с две различни системи за съхраняване на енергията (в превозното средство);</w:t>
      </w:r>
    </w:p>
    <w:p w14:paraId="7644004A"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sz w:val="24"/>
          <w:szCs w:val="24"/>
          <w:lang w:eastAsia="bg-BG"/>
        </w:rPr>
        <w:t>„Хибридно електрическо превозно средство“</w:t>
      </w:r>
      <w:r w:rsidRPr="002C36F8">
        <w:rPr>
          <w:rFonts w:ascii="Times New Roman" w:eastAsia="Times New Roman" w:hAnsi="Times New Roman" w:cs="Times New Roman"/>
          <w:sz w:val="24"/>
          <w:szCs w:val="24"/>
          <w:lang w:eastAsia="bg-BG"/>
        </w:rPr>
        <w:t xml:space="preserve"> означава превозно средство което, за целите на механичното задвижване, черпи енергия от следните два източника за съхраняване на енергия/мощност в превозното средство:</w:t>
      </w:r>
    </w:p>
    <w:p w14:paraId="29CC1451"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а) гориво за потребление;</w:t>
      </w:r>
    </w:p>
    <w:p w14:paraId="15341D9A"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б) акумулаторна батерия, кондензатор, маховик/генератор или друго устройство за съхранение на електрическа енергия или мощност.</w:t>
      </w:r>
    </w:p>
    <w:p w14:paraId="0B605CF0"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Това определение включва също и превозни средства, които черпят енергия от гориво за потребление само с цел презареждане на устройство за съхраняване на електрическа енергия/мощност;</w:t>
      </w:r>
    </w:p>
    <w:p w14:paraId="0ADA1B50"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sz w:val="24"/>
          <w:szCs w:val="24"/>
          <w:lang w:eastAsia="bg-BG"/>
        </w:rPr>
        <w:t>„Изцяло електрическо превозно средство“</w:t>
      </w:r>
      <w:r w:rsidRPr="002C36F8">
        <w:rPr>
          <w:rFonts w:ascii="Times New Roman" w:eastAsia="Times New Roman" w:hAnsi="Times New Roman" w:cs="Times New Roman"/>
          <w:sz w:val="24"/>
          <w:szCs w:val="24"/>
          <w:lang w:eastAsia="bg-BG"/>
        </w:rPr>
        <w:t xml:space="preserve"> означава превозно средство, задвижвано от:</w:t>
      </w:r>
    </w:p>
    <w:p w14:paraId="6C568169"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а) система от едно или повече устройства за съхранение на електрическа енергия, едно или повече устройства за управление на електрическа мощност и една или повече електрически машини за преобразуване на съхранената електрическа енергия в механична енергия, която се предава към колелата за задвижване на превозното средство;</w:t>
      </w:r>
    </w:p>
    <w:p w14:paraId="4DAF7F92" w14:textId="77777777" w:rsidR="00B97336"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б) спомагателно електрическо задвижване монтирано на превозно средство, задвижвано с педали;</w:t>
      </w:r>
    </w:p>
    <w:p w14:paraId="60BDE991" w14:textId="77777777" w:rsidR="0089314C" w:rsidRPr="002C36F8" w:rsidRDefault="0089314C" w:rsidP="00B97336">
      <w:pPr>
        <w:spacing w:after="0"/>
        <w:ind w:firstLine="567"/>
        <w:jc w:val="both"/>
        <w:rPr>
          <w:rFonts w:ascii="Times New Roman" w:eastAsia="Times New Roman" w:hAnsi="Times New Roman" w:cs="Times New Roman"/>
          <w:b/>
          <w:sz w:val="24"/>
          <w:szCs w:val="24"/>
          <w:lang w:eastAsia="bg-BG"/>
        </w:rPr>
      </w:pPr>
      <w:r w:rsidRPr="002C36F8">
        <w:rPr>
          <w:rFonts w:ascii="Times New Roman" w:eastAsia="Times New Roman" w:hAnsi="Times New Roman" w:cs="Times New Roman"/>
          <w:sz w:val="24"/>
          <w:szCs w:val="24"/>
          <w:lang w:eastAsia="bg-BG"/>
        </w:rPr>
        <w:t>За целите на Регламент(ЕС) № 168/2013 се прилагат следните</w:t>
      </w:r>
      <w:r w:rsidRPr="002C36F8">
        <w:rPr>
          <w:rFonts w:ascii="Times New Roman" w:eastAsia="Times New Roman" w:hAnsi="Times New Roman" w:cs="Times New Roman"/>
          <w:b/>
          <w:sz w:val="24"/>
          <w:szCs w:val="24"/>
          <w:lang w:eastAsia="bg-BG"/>
        </w:rPr>
        <w:t xml:space="preserve"> категории и подкатегории:</w:t>
      </w:r>
    </w:p>
    <w:p w14:paraId="70B63E3C"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а) превозно средство от категория L1е (леко двуколесно моторно превозно средство);</w:t>
      </w:r>
    </w:p>
    <w:p w14:paraId="1A7E667B"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б) превозно средство от категория L2е (триколесен мотопед);</w:t>
      </w:r>
    </w:p>
    <w:p w14:paraId="7E2E38B3"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в) превозно средство от категория L3е (двуколесен мотоциклет);</w:t>
      </w:r>
    </w:p>
    <w:p w14:paraId="4E4217D3"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г) превозно средство от категория L4е (двуколесен мотоциклет с кош);</w:t>
      </w:r>
    </w:p>
    <w:p w14:paraId="5898C99A"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д) превозно средство от категория L5е (моторно триколесно превозно средство);</w:t>
      </w:r>
    </w:p>
    <w:p w14:paraId="787AEB83"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е) превозно средство от категория L6е (леко четириколесно); </w:t>
      </w:r>
    </w:p>
    <w:p w14:paraId="1EAA073D"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ж) превозно средство от категория L7е (тежко четириколесно). </w:t>
      </w:r>
    </w:p>
    <w:p w14:paraId="7BE4725E" w14:textId="77777777" w:rsidR="0089314C" w:rsidRPr="002C36F8" w:rsidRDefault="0089314C" w:rsidP="00B97336">
      <w:pPr>
        <w:spacing w:after="0"/>
        <w:ind w:firstLine="567"/>
        <w:jc w:val="both"/>
        <w:rPr>
          <w:rFonts w:ascii="Times New Roman" w:eastAsia="Times New Roman" w:hAnsi="Times New Roman" w:cs="Times New Roman"/>
          <w:b/>
          <w:sz w:val="24"/>
          <w:szCs w:val="24"/>
          <w:lang w:eastAsia="bg-BG"/>
        </w:rPr>
      </w:pPr>
      <w:r w:rsidRPr="002C36F8">
        <w:rPr>
          <w:rFonts w:ascii="Times New Roman" w:eastAsia="Times New Roman" w:hAnsi="Times New Roman" w:cs="Times New Roman"/>
          <w:b/>
          <w:sz w:val="24"/>
          <w:szCs w:val="24"/>
          <w:lang w:eastAsia="bg-BG"/>
        </w:rPr>
        <w:t>Превозни средства от категории L1е - L7е имат отношение към електрическия и хибридния транспорт, когато се задвижват от електрически или хибриден двигател.</w:t>
      </w:r>
    </w:p>
    <w:p w14:paraId="06047DBB" w14:textId="77777777" w:rsidR="0089314C" w:rsidRPr="002C36F8" w:rsidRDefault="0089314C" w:rsidP="00B97336">
      <w:pPr>
        <w:spacing w:after="0"/>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За удостоверяване на съответствието на превозните средства с европейските изисквания за </w:t>
      </w:r>
      <w:r w:rsidR="00B35B1A">
        <w:rPr>
          <w:rFonts w:ascii="Times New Roman" w:eastAsia="Times New Roman" w:hAnsi="Times New Roman" w:cs="Times New Roman"/>
          <w:sz w:val="24"/>
          <w:szCs w:val="24"/>
          <w:lang w:eastAsia="bg-BG"/>
        </w:rPr>
        <w:t>одобряване</w:t>
      </w:r>
      <w:r w:rsidRPr="002C36F8">
        <w:rPr>
          <w:rFonts w:ascii="Times New Roman" w:eastAsia="Times New Roman" w:hAnsi="Times New Roman" w:cs="Times New Roman"/>
          <w:sz w:val="24"/>
          <w:szCs w:val="24"/>
          <w:lang w:eastAsia="bg-BG"/>
        </w:rPr>
        <w:t xml:space="preserve"> на типа, включително и с изискванията за опазване на околната среда, всеки производител е длъжен за всяко превозно средство да издава ЕС сертификат за съответствие.</w:t>
      </w:r>
    </w:p>
    <w:p w14:paraId="755832E4" w14:textId="77777777" w:rsidR="00B97336" w:rsidRPr="002C36F8" w:rsidRDefault="00B97336" w:rsidP="00B97336">
      <w:pPr>
        <w:widowControl w:val="0"/>
        <w:spacing w:after="0" w:line="274" w:lineRule="exact"/>
        <w:ind w:left="20" w:right="20" w:firstLine="567"/>
        <w:jc w:val="both"/>
        <w:rPr>
          <w:rFonts w:ascii="Times New Roman" w:eastAsia="Times New Roman" w:hAnsi="Times New Roman" w:cs="Times New Roman"/>
          <w:i/>
          <w:color w:val="000000"/>
          <w:sz w:val="24"/>
          <w:szCs w:val="24"/>
          <w:lang w:eastAsia="bg-BG"/>
        </w:rPr>
      </w:pPr>
    </w:p>
    <w:p w14:paraId="53A54B5D" w14:textId="77777777" w:rsidR="0089314C" w:rsidRPr="002C36F8" w:rsidRDefault="00554E55" w:rsidP="00466BDD">
      <w:pPr>
        <w:widowControl w:val="0"/>
        <w:spacing w:after="0" w:line="274" w:lineRule="exact"/>
        <w:ind w:right="20"/>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3.1.3.2 </w:t>
      </w:r>
      <w:r w:rsidR="0089314C" w:rsidRPr="002C36F8">
        <w:rPr>
          <w:rFonts w:ascii="Times New Roman" w:eastAsia="Times New Roman" w:hAnsi="Times New Roman" w:cs="Times New Roman"/>
          <w:i/>
          <w:color w:val="000000"/>
          <w:sz w:val="24"/>
          <w:szCs w:val="24"/>
          <w:lang w:eastAsia="bg-BG"/>
        </w:rPr>
        <w:t>Национални изисквания</w:t>
      </w:r>
    </w:p>
    <w:p w14:paraId="0749166A" w14:textId="77777777" w:rsidR="0089314C" w:rsidRPr="002C36F8" w:rsidRDefault="0089314C" w:rsidP="00B97336">
      <w:pPr>
        <w:widowControl w:val="0"/>
        <w:spacing w:after="0" w:line="274" w:lineRule="exact"/>
        <w:ind w:left="20" w:right="20" w:firstLine="567"/>
        <w:jc w:val="both"/>
        <w:rPr>
          <w:rFonts w:ascii="Times New Roman" w:eastAsia="Times New Roman" w:hAnsi="Times New Roman" w:cs="Times New Roman"/>
          <w:color w:val="000000"/>
          <w:sz w:val="24"/>
          <w:szCs w:val="24"/>
          <w:lang w:eastAsia="bg-BG"/>
        </w:rPr>
      </w:pPr>
    </w:p>
    <w:p w14:paraId="19ED9C01" w14:textId="77777777" w:rsidR="00466BDD" w:rsidRPr="002C36F8" w:rsidRDefault="00466BDD" w:rsidP="00466BDD">
      <w:pPr>
        <w:widowControl w:val="0"/>
        <w:spacing w:after="0" w:line="274" w:lineRule="exact"/>
        <w:ind w:left="20" w:right="20"/>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3.1.3.2.1</w:t>
      </w:r>
      <w:r w:rsidR="00554E55" w:rsidRPr="002C36F8">
        <w:rPr>
          <w:rFonts w:ascii="Times New Roman" w:eastAsia="Times New Roman" w:hAnsi="Times New Roman" w:cs="Times New Roman"/>
          <w:i/>
          <w:color w:val="000000"/>
          <w:sz w:val="24"/>
          <w:szCs w:val="24"/>
          <w:lang w:eastAsia="bg-BG"/>
        </w:rPr>
        <w:t xml:space="preserve"> </w:t>
      </w:r>
      <w:r w:rsidRPr="002C36F8">
        <w:rPr>
          <w:rFonts w:ascii="Times New Roman" w:eastAsia="Times New Roman" w:hAnsi="Times New Roman" w:cs="Times New Roman"/>
          <w:i/>
          <w:color w:val="000000"/>
          <w:sz w:val="24"/>
          <w:szCs w:val="24"/>
          <w:lang w:eastAsia="bg-BG"/>
        </w:rPr>
        <w:t>Изисквания</w:t>
      </w:r>
      <w:r w:rsidRPr="002C36F8">
        <w:t xml:space="preserve"> </w:t>
      </w:r>
      <w:r w:rsidRPr="002C36F8">
        <w:rPr>
          <w:rFonts w:ascii="Times New Roman" w:eastAsia="Times New Roman" w:hAnsi="Times New Roman" w:cs="Times New Roman"/>
          <w:i/>
          <w:color w:val="000000"/>
          <w:sz w:val="24"/>
          <w:szCs w:val="24"/>
          <w:lang w:eastAsia="bg-BG"/>
        </w:rPr>
        <w:t>за изменение в конструкцията на пътно превозно средство в хибридно превозно средство или електрическо превозно средство.</w:t>
      </w:r>
    </w:p>
    <w:p w14:paraId="4B868E61" w14:textId="77777777" w:rsidR="00466BDD" w:rsidRPr="002C36F8" w:rsidRDefault="00466BDD" w:rsidP="00B97336">
      <w:pPr>
        <w:widowControl w:val="0"/>
        <w:spacing w:after="0" w:line="274" w:lineRule="exact"/>
        <w:ind w:left="20" w:right="20" w:firstLine="567"/>
        <w:jc w:val="both"/>
        <w:rPr>
          <w:rFonts w:ascii="Times New Roman" w:eastAsia="Times New Roman" w:hAnsi="Times New Roman" w:cs="Times New Roman"/>
          <w:color w:val="000000"/>
          <w:sz w:val="24"/>
          <w:szCs w:val="24"/>
          <w:lang w:eastAsia="bg-BG"/>
        </w:rPr>
      </w:pPr>
    </w:p>
    <w:p w14:paraId="04110C0A" w14:textId="77777777" w:rsidR="0089314C" w:rsidRPr="002C36F8" w:rsidRDefault="0089314C" w:rsidP="00B97336">
      <w:pPr>
        <w:widowControl w:val="0"/>
        <w:spacing w:after="0" w:line="274" w:lineRule="exact"/>
        <w:ind w:left="20" w:right="2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В Наредба № Н-3 от 18.02.2013 г. за изменение в конструкцията на регистрираните пътни превозни средства и индивидуално одобряване на пътни превозни средства, </w:t>
      </w:r>
      <w:r w:rsidRPr="002C36F8">
        <w:rPr>
          <w:rFonts w:ascii="Times New Roman" w:eastAsia="Times New Roman" w:hAnsi="Times New Roman" w:cs="Times New Roman"/>
          <w:color w:val="000000"/>
          <w:sz w:val="24"/>
          <w:szCs w:val="24"/>
          <w:lang w:eastAsia="bg-BG"/>
        </w:rPr>
        <w:lastRenderedPageBreak/>
        <w:t>регистрирани извън държавите - членки на Европейския съюз, или друга държава - страна по Споразумението за Европейското икономическо пространство (обн., ДВ, бр. 21 от 1.03.2013 г.) са разписани национални изисквания за индивидуално одобряване и изменение в конструкцията на регистрирани ППС.</w:t>
      </w:r>
    </w:p>
    <w:p w14:paraId="1D078538" w14:textId="77777777" w:rsidR="0089314C" w:rsidRPr="002C36F8" w:rsidRDefault="0089314C" w:rsidP="00B97336">
      <w:pPr>
        <w:widowControl w:val="0"/>
        <w:spacing w:after="0" w:line="274" w:lineRule="exact"/>
        <w:ind w:left="20" w:right="2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В чл. 23 от </w:t>
      </w:r>
      <w:r w:rsidR="00501A4A" w:rsidRPr="002C36F8">
        <w:rPr>
          <w:rFonts w:ascii="Times New Roman" w:eastAsia="Times New Roman" w:hAnsi="Times New Roman" w:cs="Times New Roman"/>
          <w:color w:val="000000"/>
          <w:sz w:val="24"/>
          <w:szCs w:val="24"/>
          <w:lang w:eastAsia="bg-BG"/>
        </w:rPr>
        <w:t>наредбата</w:t>
      </w:r>
      <w:r w:rsidR="00501A4A">
        <w:rPr>
          <w:rFonts w:ascii="Times New Roman" w:eastAsia="Times New Roman" w:hAnsi="Times New Roman" w:cs="Times New Roman"/>
          <w:color w:val="000000"/>
          <w:sz w:val="24"/>
          <w:szCs w:val="24"/>
          <w:lang w:eastAsia="bg-BG"/>
        </w:rPr>
        <w:t xml:space="preserve"> </w:t>
      </w:r>
      <w:r w:rsidRPr="002C36F8">
        <w:rPr>
          <w:rFonts w:ascii="Times New Roman" w:eastAsia="Times New Roman" w:hAnsi="Times New Roman" w:cs="Times New Roman"/>
          <w:color w:val="000000"/>
          <w:sz w:val="24"/>
          <w:szCs w:val="24"/>
          <w:lang w:eastAsia="bg-BG"/>
        </w:rPr>
        <w:t xml:space="preserve"> са определени изисквания за изменение в конструкцията на пътно превозно средство в хибридно превозно средство или електрическо превозно средство. В тези случаи превозното средство трябва да отговаря на:</w:t>
      </w:r>
    </w:p>
    <w:p w14:paraId="448E87EA" w14:textId="77777777" w:rsidR="0089314C" w:rsidRPr="002C36F8" w:rsidRDefault="0089314C" w:rsidP="00D345A8">
      <w:pPr>
        <w:widowControl w:val="0"/>
        <w:spacing w:after="0" w:line="274" w:lineRule="exact"/>
        <w:ind w:left="20" w:right="20" w:firstLine="264"/>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1. </w:t>
      </w:r>
      <w:r w:rsidR="00DA29EB">
        <w:rPr>
          <w:rFonts w:ascii="Times New Roman" w:eastAsia="Times New Roman" w:hAnsi="Times New Roman" w:cs="Times New Roman"/>
          <w:color w:val="000000"/>
          <w:sz w:val="24"/>
          <w:szCs w:val="24"/>
          <w:lang w:eastAsia="bg-BG"/>
        </w:rPr>
        <w:t>П</w:t>
      </w:r>
      <w:r w:rsidRPr="002C36F8">
        <w:rPr>
          <w:rFonts w:ascii="Times New Roman" w:eastAsia="Times New Roman" w:hAnsi="Times New Roman" w:cs="Times New Roman"/>
          <w:color w:val="000000"/>
          <w:sz w:val="24"/>
          <w:szCs w:val="24"/>
          <w:lang w:eastAsia="bg-BG"/>
        </w:rPr>
        <w:t>риложимите за съответната категория към датата на първата регистрация на превозното средство технически изисквания, посочени в регулаторните актове във:</w:t>
      </w:r>
    </w:p>
    <w:p w14:paraId="2B00FC4B" w14:textId="77777777" w:rsidR="0089314C" w:rsidRPr="002C36F8" w:rsidRDefault="0089314C" w:rsidP="00D345A8">
      <w:pPr>
        <w:widowControl w:val="0"/>
        <w:spacing w:after="0" w:line="274" w:lineRule="exact"/>
        <w:ind w:left="851" w:right="20" w:hanging="284"/>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а) приложения № 10 или 11 от Наредба № 60 (приложение IV или XI от Директива 2007/46/ЕО) - за пътни превозни средства от категории M и N;</w:t>
      </w:r>
    </w:p>
    <w:p w14:paraId="5FDB8C61" w14:textId="77777777" w:rsidR="0089314C" w:rsidRPr="002C36F8" w:rsidRDefault="0089314C" w:rsidP="00D345A8">
      <w:pPr>
        <w:widowControl w:val="0"/>
        <w:spacing w:after="0" w:line="274" w:lineRule="exact"/>
        <w:ind w:left="851" w:right="20" w:hanging="284"/>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б) приложение № 1, раздел I от Наредба № 117 от 2005 г. за одобряване типа на нови моторни превозни средства от категория L (обн., ДВ, бр. 12 от 2005 г.) -  за пътни превозни средства от категория L</w:t>
      </w:r>
      <w:r w:rsidR="00DA29EB">
        <w:rPr>
          <w:rFonts w:ascii="Times New Roman" w:eastAsia="Times New Roman" w:hAnsi="Times New Roman" w:cs="Times New Roman"/>
          <w:color w:val="000000"/>
          <w:sz w:val="24"/>
          <w:szCs w:val="24"/>
          <w:lang w:eastAsia="bg-BG"/>
        </w:rPr>
        <w:t>.</w:t>
      </w:r>
    </w:p>
    <w:p w14:paraId="04A55BDB" w14:textId="77777777" w:rsidR="0089314C" w:rsidRPr="002C36F8" w:rsidRDefault="0089314C" w:rsidP="00D345A8">
      <w:pPr>
        <w:widowControl w:val="0"/>
        <w:spacing w:after="0" w:line="274" w:lineRule="exact"/>
        <w:ind w:left="20" w:right="20" w:firstLine="264"/>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2. Правило № 100 на ООН/ИКЕ - за пътни превозни средства от категории M и N.</w:t>
      </w:r>
    </w:p>
    <w:p w14:paraId="56C18246" w14:textId="77777777" w:rsidR="0089314C" w:rsidRPr="002C36F8" w:rsidRDefault="0089314C" w:rsidP="00B97336">
      <w:pPr>
        <w:widowControl w:val="0"/>
        <w:spacing w:after="0" w:line="274" w:lineRule="exact"/>
        <w:ind w:left="20" w:right="2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Съгласно чл. 19, ал. 1, т. 1 от Наредба № 2 от 15 март 2002 г. за условията и реда за утвърждаване на транспортни схеми и за осъществяване на обществени превози на пътници с автобуси за провеждане на всеки конкурс общинските съвети утвърждават критерии и начин за оценка и класиране на кандидатите. Един от критериите е изискване за екологичност на превозните средства. В тази връзка ще бъде обсъдена възможността при провеждането на процедури за възлагане на обществен превоз на пътници по утвърдени транспортни схеми, участниците, предлагащи изпълнение с превозни средства захранвани с алтернативни горива, да получават допълнителни точки при формиране на оценката.</w:t>
      </w:r>
    </w:p>
    <w:p w14:paraId="58AFAD97" w14:textId="77777777" w:rsidR="0089314C" w:rsidRPr="002C36F8" w:rsidRDefault="0089314C" w:rsidP="00B97336">
      <w:pPr>
        <w:widowControl w:val="0"/>
        <w:tabs>
          <w:tab w:val="left" w:pos="1018"/>
        </w:tabs>
        <w:spacing w:after="0" w:line="240" w:lineRule="auto"/>
        <w:ind w:right="23"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ab/>
        <w:t xml:space="preserve">В чл. 21, ал. 1, т. 12 от Наредба № 34 от 1999 г. за таксиметров превоза на пътници </w:t>
      </w:r>
      <w:r w:rsidRPr="002C36F8">
        <w:rPr>
          <w:rFonts w:ascii="Times New Roman" w:eastAsia="Times New Roman" w:hAnsi="Times New Roman" w:cs="Times New Roman"/>
          <w:b/>
          <w:color w:val="000000"/>
          <w:sz w:val="24"/>
          <w:szCs w:val="24"/>
          <w:lang w:eastAsia="bg-BG"/>
        </w:rPr>
        <w:t>е въведено изискване</w:t>
      </w:r>
      <w:r w:rsidRPr="002C36F8">
        <w:rPr>
          <w:rFonts w:ascii="Times New Roman" w:eastAsia="Times New Roman" w:hAnsi="Times New Roman" w:cs="Times New Roman"/>
          <w:color w:val="000000"/>
          <w:sz w:val="24"/>
          <w:szCs w:val="24"/>
          <w:lang w:eastAsia="bg-BG"/>
        </w:rPr>
        <w:t xml:space="preserve">, когато лекият таксиметров автомобил е хибриден или се задвижва изключително с електрически двигател, да бъде трайно боядисан в зелен цвят. </w:t>
      </w:r>
    </w:p>
    <w:p w14:paraId="66A364DA" w14:textId="77777777" w:rsidR="0089314C" w:rsidRPr="002C36F8" w:rsidRDefault="0089314C" w:rsidP="00B97336">
      <w:pPr>
        <w:widowControl w:val="0"/>
        <w:tabs>
          <w:tab w:val="left" w:pos="1018"/>
        </w:tabs>
        <w:spacing w:after="0" w:line="240" w:lineRule="auto"/>
        <w:ind w:right="23" w:firstLine="567"/>
        <w:jc w:val="both"/>
        <w:rPr>
          <w:rFonts w:ascii="Times New Roman" w:eastAsia="Times New Roman" w:hAnsi="Times New Roman" w:cs="Times New Roman"/>
          <w:i/>
          <w:color w:val="000000"/>
          <w:sz w:val="24"/>
          <w:szCs w:val="24"/>
          <w:lang w:eastAsia="bg-BG"/>
        </w:rPr>
      </w:pPr>
    </w:p>
    <w:p w14:paraId="2560E7B9" w14:textId="77777777" w:rsidR="0089314C" w:rsidRPr="002C36F8" w:rsidRDefault="00466BDD" w:rsidP="00466BDD">
      <w:pPr>
        <w:widowControl w:val="0"/>
        <w:tabs>
          <w:tab w:val="left" w:pos="1018"/>
        </w:tabs>
        <w:spacing w:after="0" w:line="240" w:lineRule="auto"/>
        <w:ind w:right="23"/>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3.1.3.2.2 </w:t>
      </w:r>
      <w:r w:rsidR="0089314C" w:rsidRPr="002C36F8">
        <w:rPr>
          <w:rFonts w:ascii="Times New Roman" w:eastAsia="Times New Roman" w:hAnsi="Times New Roman" w:cs="Times New Roman"/>
          <w:i/>
          <w:color w:val="000000"/>
          <w:sz w:val="24"/>
          <w:szCs w:val="24"/>
          <w:lang w:eastAsia="bg-BG"/>
        </w:rPr>
        <w:t>Статут на Зарядна инфраструктура за електрически превозни средства</w:t>
      </w:r>
    </w:p>
    <w:p w14:paraId="11A66699" w14:textId="77777777" w:rsidR="00D345A8" w:rsidRPr="002C36F8" w:rsidRDefault="00D345A8" w:rsidP="00B97336">
      <w:pPr>
        <w:widowControl w:val="0"/>
        <w:tabs>
          <w:tab w:val="left" w:pos="1018"/>
        </w:tabs>
        <w:spacing w:after="0" w:line="240" w:lineRule="auto"/>
        <w:ind w:right="23" w:firstLine="567"/>
        <w:jc w:val="both"/>
        <w:rPr>
          <w:rFonts w:ascii="Times New Roman" w:eastAsia="Times New Roman" w:hAnsi="Times New Roman" w:cs="Times New Roman"/>
          <w:i/>
          <w:color w:val="000000"/>
          <w:sz w:val="24"/>
          <w:szCs w:val="24"/>
          <w:lang w:eastAsia="bg-BG"/>
        </w:rPr>
      </w:pPr>
    </w:p>
    <w:p w14:paraId="0F78E885" w14:textId="7B1EDC14" w:rsidR="0089314C" w:rsidRPr="002C36F8" w:rsidRDefault="0089314C" w:rsidP="00B97336">
      <w:pPr>
        <w:widowControl w:val="0"/>
        <w:tabs>
          <w:tab w:val="left" w:pos="1018"/>
        </w:tabs>
        <w:spacing w:after="0" w:line="240" w:lineRule="auto"/>
        <w:ind w:right="23"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В чл. 56, ал. 1 от Закона за устройство на територията (ЗУТ) са включени само „зарядни колонки за електрически превозни средства“ като преместваеми обекти. Съгласно § 5, т. 80 от допълнителните разпоредби на ЗУТ </w:t>
      </w:r>
      <w:r w:rsidR="0085020F">
        <w:rPr>
          <w:rFonts w:ascii="Times New Roman" w:hAnsi="Times New Roman" w:cs="Times New Roman"/>
          <w:sz w:val="24"/>
          <w:szCs w:val="24"/>
        </w:rPr>
        <w:t>„</w:t>
      </w:r>
      <w:r w:rsidRPr="002C36F8">
        <w:rPr>
          <w:rFonts w:ascii="Times New Roman" w:hAnsi="Times New Roman" w:cs="Times New Roman"/>
          <w:sz w:val="24"/>
          <w:szCs w:val="24"/>
        </w:rPr>
        <w:t>преместваем обект</w:t>
      </w:r>
      <w:r w:rsidR="0085020F">
        <w:rPr>
          <w:rFonts w:ascii="Times New Roman" w:hAnsi="Times New Roman" w:cs="Times New Roman"/>
          <w:sz w:val="24"/>
          <w:szCs w:val="24"/>
        </w:rPr>
        <w:t>“</w:t>
      </w:r>
      <w:r w:rsidRPr="002C36F8">
        <w:rPr>
          <w:rFonts w:ascii="Times New Roman" w:hAnsi="Times New Roman" w:cs="Times New Roman"/>
          <w:sz w:val="24"/>
          <w:szCs w:val="24"/>
        </w:rPr>
        <w:t xml:space="preserve"> е обект, предназначен за увеселителна, търговска или друга обслужваща дейност, който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 възможност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w:t>
      </w:r>
    </w:p>
    <w:p w14:paraId="2C7D025F" w14:textId="77777777" w:rsidR="0089314C" w:rsidRPr="002C36F8" w:rsidRDefault="0089314C" w:rsidP="00B97336">
      <w:pPr>
        <w:widowControl w:val="0"/>
        <w:tabs>
          <w:tab w:val="left" w:pos="1018"/>
        </w:tabs>
        <w:spacing w:after="0" w:line="240" w:lineRule="auto"/>
        <w:ind w:right="23" w:firstLine="567"/>
        <w:jc w:val="both"/>
        <w:rPr>
          <w:rFonts w:ascii="Times New Roman" w:hAnsi="Times New Roman" w:cs="Times New Roman"/>
          <w:sz w:val="24"/>
          <w:szCs w:val="24"/>
        </w:rPr>
      </w:pPr>
      <w:r w:rsidRPr="002C36F8">
        <w:rPr>
          <w:rFonts w:ascii="Times New Roman" w:hAnsi="Times New Roman" w:cs="Times New Roman"/>
          <w:sz w:val="24"/>
          <w:szCs w:val="24"/>
        </w:rPr>
        <w:t>Колонката е преместваем обект за обслужващи дейности. По този начин със ЗУТ се уреждат зарядните колонки за електрически превозни средства, като е преценено, че те покриват посоченото по-горе определение и по-точно присъединяването и след това отделянето от мрежите на техническата инфраструктура</w:t>
      </w:r>
      <w:r w:rsidR="00466BDD" w:rsidRPr="002C36F8">
        <w:rPr>
          <w:rFonts w:ascii="Times New Roman" w:hAnsi="Times New Roman" w:cs="Times New Roman"/>
          <w:sz w:val="24"/>
          <w:szCs w:val="24"/>
        </w:rPr>
        <w:t>.</w:t>
      </w:r>
    </w:p>
    <w:p w14:paraId="52D0B800" w14:textId="69EDDA4F" w:rsidR="0089314C" w:rsidRPr="002C36F8" w:rsidRDefault="0089314C" w:rsidP="00B97336">
      <w:pPr>
        <w:widowControl w:val="0"/>
        <w:tabs>
          <w:tab w:val="left" w:pos="1018"/>
        </w:tabs>
        <w:spacing w:after="0" w:line="240" w:lineRule="auto"/>
        <w:ind w:right="23"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Съответните компетентните органи или организации </w:t>
      </w:r>
      <w:r w:rsidR="00C467F0">
        <w:rPr>
          <w:rFonts w:ascii="Times New Roman" w:hAnsi="Times New Roman" w:cs="Times New Roman"/>
          <w:sz w:val="24"/>
          <w:szCs w:val="24"/>
        </w:rPr>
        <w:t>ще</w:t>
      </w:r>
      <w:r w:rsidRPr="002C36F8">
        <w:rPr>
          <w:rFonts w:ascii="Times New Roman" w:hAnsi="Times New Roman" w:cs="Times New Roman"/>
          <w:sz w:val="24"/>
          <w:szCs w:val="24"/>
        </w:rPr>
        <w:t xml:space="preserve"> уточнят техническите условия, параметри и характеристики, както на съоръженията (колонката), така и на мрежите на техническата инфраструктура, от която тези колонки ще се захранват, за да се посочат техническите изисквания към преместваемия обект и към захранващата мрежа. Това ще определи устройствените изисквания за поставянето на тези обекти (къде и при какви условия) и изискванията при проектирането и изпълнението им от </w:t>
      </w:r>
      <w:r w:rsidRPr="002C36F8">
        <w:rPr>
          <w:rFonts w:ascii="Times New Roman" w:hAnsi="Times New Roman" w:cs="Times New Roman"/>
          <w:sz w:val="24"/>
          <w:szCs w:val="24"/>
        </w:rPr>
        <w:lastRenderedPageBreak/>
        <w:t xml:space="preserve">гледна точка общите </w:t>
      </w:r>
      <w:r w:rsidRPr="002C36F8">
        <w:rPr>
          <w:rFonts w:ascii="Times New Roman" w:hAnsi="Times New Roman" w:cs="Times New Roman"/>
          <w:b/>
          <w:bCs/>
          <w:color w:val="000000"/>
          <w:sz w:val="24"/>
          <w:szCs w:val="24"/>
        </w:rPr>
        <w:t xml:space="preserve">принципи </w:t>
      </w:r>
      <w:r w:rsidRPr="002C36F8">
        <w:rPr>
          <w:rFonts w:ascii="Times New Roman" w:hAnsi="Times New Roman" w:cs="Times New Roman"/>
          <w:sz w:val="24"/>
          <w:szCs w:val="24"/>
        </w:rPr>
        <w:t xml:space="preserve">на ЗУТ и актовете по неговото прилагане. Това ще улесни и уреждането на процедурите за поставяне по реда на общинските наредби. </w:t>
      </w:r>
    </w:p>
    <w:p w14:paraId="2C2FA866" w14:textId="77777777" w:rsidR="00D345A8" w:rsidRPr="002C36F8" w:rsidRDefault="00D345A8" w:rsidP="00D345A8">
      <w:pPr>
        <w:widowControl w:val="0"/>
        <w:tabs>
          <w:tab w:val="left" w:pos="1018"/>
        </w:tabs>
        <w:spacing w:after="0" w:line="240" w:lineRule="auto"/>
        <w:ind w:right="23" w:firstLine="567"/>
        <w:jc w:val="both"/>
        <w:rPr>
          <w:rFonts w:ascii="Times New Roman" w:hAnsi="Times New Roman" w:cs="Times New Roman"/>
          <w:sz w:val="24"/>
          <w:szCs w:val="24"/>
        </w:rPr>
      </w:pPr>
    </w:p>
    <w:p w14:paraId="3B5C2713" w14:textId="77777777" w:rsidR="0089314C" w:rsidRPr="002C36F8" w:rsidRDefault="0089314C" w:rsidP="00D345A8">
      <w:pPr>
        <w:widowControl w:val="0"/>
        <w:tabs>
          <w:tab w:val="left" w:pos="1018"/>
        </w:tabs>
        <w:spacing w:after="0" w:line="240" w:lineRule="auto"/>
        <w:ind w:right="23"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С чл. 51, ал. 1, т. 6 и 7 от Наредба № 8 от 2001 г. за обема и съдържанието на устройствените планове  (обн., ДВ, бр. 57 от 2001 г.; изм., бр. 68 от 2004 г., бр. 51 от 2005 г. и бр. 66 от 2008 г.; изм. и доп., бр. 22 от 2014 г.; изм., бр. 56 от 2014 г.) </w:t>
      </w:r>
      <w:r w:rsidRPr="008A7B1F">
        <w:rPr>
          <w:rFonts w:ascii="Times New Roman" w:hAnsi="Times New Roman" w:cs="Times New Roman"/>
          <w:sz w:val="24"/>
          <w:szCs w:val="24"/>
        </w:rPr>
        <w:t>е предвидено</w:t>
      </w:r>
      <w:r w:rsidRPr="002C36F8">
        <w:rPr>
          <w:rFonts w:ascii="Times New Roman" w:hAnsi="Times New Roman" w:cs="Times New Roman"/>
          <w:sz w:val="24"/>
          <w:szCs w:val="24"/>
        </w:rPr>
        <w:t xml:space="preserve"> с подробните комуникационно-транспортни планове към подробните устройствени планове </w:t>
      </w:r>
      <w:r w:rsidRPr="008A7B1F">
        <w:rPr>
          <w:rFonts w:ascii="Times New Roman" w:hAnsi="Times New Roman" w:cs="Times New Roman"/>
          <w:sz w:val="24"/>
          <w:szCs w:val="24"/>
        </w:rPr>
        <w:t>да се проучват, определят и решават</w:t>
      </w:r>
      <w:r w:rsidRPr="002C36F8">
        <w:rPr>
          <w:rFonts w:ascii="Times New Roman" w:hAnsi="Times New Roman" w:cs="Times New Roman"/>
          <w:sz w:val="24"/>
          <w:szCs w:val="24"/>
        </w:rPr>
        <w:t xml:space="preserve"> разположението, класификацията и параметрите на паркингите и паркинг-гаражите, вкл. местата със зарядна инфраструктура за електрическите превозни средства (ЕПС) и автогарите, бензиностанциите и газостанциите и местата със зарядна инфраструктура за ЕПС, когато има заявено намерение за тяхното изграждане</w:t>
      </w:r>
      <w:r w:rsidR="00D345A8" w:rsidRPr="002C36F8">
        <w:rPr>
          <w:rFonts w:ascii="Times New Roman" w:hAnsi="Times New Roman" w:cs="Times New Roman"/>
          <w:sz w:val="24"/>
          <w:szCs w:val="24"/>
        </w:rPr>
        <w:t xml:space="preserve">. </w:t>
      </w:r>
    </w:p>
    <w:p w14:paraId="5953CB75" w14:textId="77777777" w:rsidR="0089314C" w:rsidRPr="002C36F8" w:rsidRDefault="0089314C" w:rsidP="00B97336">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 Наредба № 2 от 2004 г. за планиране и проектиране на комуникационно-транспортните системи на урбанизираните територии (обн., ДВ, бр. 86 от 2004 г.; попр., бр. 93 от 2004 г.</w:t>
      </w:r>
      <w:r w:rsidR="0085020F" w:rsidRPr="0085020F">
        <w:t xml:space="preserve"> </w:t>
      </w:r>
      <w:r w:rsidR="0085020F" w:rsidRPr="0085020F">
        <w:rPr>
          <w:rFonts w:ascii="Times New Roman" w:eastAsia="Times New Roman" w:hAnsi="Times New Roman" w:cs="Times New Roman"/>
          <w:color w:val="000000"/>
          <w:sz w:val="24"/>
          <w:szCs w:val="24"/>
          <w:lang w:eastAsia="bg-BG"/>
        </w:rPr>
        <w:t>изм. и доп., бр. 56 от 2015 г., бр. 70 от 2016 г., попр., бр. 75 от 2016 г.</w:t>
      </w:r>
      <w:r w:rsidRPr="002C36F8">
        <w:rPr>
          <w:rFonts w:ascii="Times New Roman" w:eastAsia="Times New Roman" w:hAnsi="Times New Roman" w:cs="Times New Roman"/>
          <w:color w:val="000000"/>
          <w:sz w:val="24"/>
          <w:szCs w:val="24"/>
          <w:lang w:eastAsia="bg-BG"/>
        </w:rPr>
        <w:t xml:space="preserve">) се определят нормите за </w:t>
      </w:r>
      <w:r w:rsidRPr="002C36F8">
        <w:rPr>
          <w:rFonts w:ascii="Times New Roman" w:eastAsia="Times New Roman" w:hAnsi="Times New Roman" w:cs="Times New Roman"/>
          <w:color w:val="000000"/>
          <w:sz w:val="24"/>
          <w:szCs w:val="24"/>
          <w:bdr w:val="none" w:sz="0" w:space="0" w:color="auto" w:frame="1"/>
          <w:shd w:val="clear" w:color="auto" w:fill="FFFFFF"/>
          <w:lang w:eastAsia="bg-BG"/>
        </w:rPr>
        <w:t>планиране</w:t>
      </w:r>
      <w:r w:rsidRPr="002C36F8">
        <w:rPr>
          <w:rFonts w:ascii="Times New Roman" w:eastAsia="Times New Roman" w:hAnsi="Times New Roman" w:cs="Times New Roman"/>
          <w:color w:val="000000"/>
          <w:sz w:val="24"/>
          <w:szCs w:val="24"/>
          <w:lang w:eastAsia="bg-BG"/>
        </w:rPr>
        <w:t xml:space="preserve"> и </w:t>
      </w:r>
      <w:r w:rsidRPr="002C36F8">
        <w:rPr>
          <w:rFonts w:ascii="Times New Roman" w:eastAsia="Times New Roman" w:hAnsi="Times New Roman" w:cs="Times New Roman"/>
          <w:color w:val="000000"/>
          <w:sz w:val="24"/>
          <w:szCs w:val="24"/>
          <w:bdr w:val="none" w:sz="0" w:space="0" w:color="auto" w:frame="1"/>
          <w:shd w:val="clear" w:color="auto" w:fill="FFFFFF"/>
          <w:lang w:eastAsia="bg-BG"/>
        </w:rPr>
        <w:t>проектиране</w:t>
      </w:r>
      <w:r w:rsidRPr="002C36F8">
        <w:rPr>
          <w:rFonts w:ascii="Times New Roman" w:eastAsia="Times New Roman" w:hAnsi="Times New Roman" w:cs="Times New Roman"/>
          <w:color w:val="000000"/>
          <w:sz w:val="24"/>
          <w:szCs w:val="24"/>
          <w:lang w:eastAsia="bg-BG"/>
        </w:rPr>
        <w:t xml:space="preserve"> на </w:t>
      </w:r>
      <w:r w:rsidRPr="002C36F8">
        <w:rPr>
          <w:rFonts w:ascii="Times New Roman" w:eastAsia="Times New Roman" w:hAnsi="Times New Roman" w:cs="Times New Roman"/>
          <w:color w:val="000000"/>
          <w:sz w:val="24"/>
          <w:szCs w:val="24"/>
          <w:bdr w:val="none" w:sz="0" w:space="0" w:color="auto" w:frame="1"/>
          <w:shd w:val="clear" w:color="auto" w:fill="FFFFFF"/>
          <w:lang w:eastAsia="bg-BG"/>
        </w:rPr>
        <w:t>комуникационно</w:t>
      </w:r>
      <w:r w:rsidRPr="002C36F8">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bdr w:val="none" w:sz="0" w:space="0" w:color="auto" w:frame="1"/>
          <w:shd w:val="clear" w:color="auto" w:fill="FFFFFF"/>
          <w:lang w:eastAsia="bg-BG"/>
        </w:rPr>
        <w:t>транспортните</w:t>
      </w:r>
      <w:r w:rsidRPr="002C36F8">
        <w:rPr>
          <w:rFonts w:ascii="Times New Roman" w:eastAsia="Times New Roman" w:hAnsi="Times New Roman" w:cs="Times New Roman"/>
          <w:color w:val="000000"/>
          <w:sz w:val="24"/>
          <w:szCs w:val="24"/>
          <w:lang w:eastAsia="bg-BG"/>
        </w:rPr>
        <w:t xml:space="preserve"> </w:t>
      </w:r>
      <w:r w:rsidRPr="002C36F8">
        <w:rPr>
          <w:rFonts w:ascii="Times New Roman" w:eastAsia="Times New Roman" w:hAnsi="Times New Roman" w:cs="Times New Roman"/>
          <w:color w:val="000000"/>
          <w:sz w:val="24"/>
          <w:szCs w:val="24"/>
          <w:bdr w:val="none" w:sz="0" w:space="0" w:color="auto" w:frame="1"/>
          <w:shd w:val="clear" w:color="auto" w:fill="FFFFFF"/>
          <w:lang w:eastAsia="bg-BG"/>
        </w:rPr>
        <w:t>системи</w:t>
      </w:r>
      <w:r w:rsidRPr="002C36F8">
        <w:rPr>
          <w:rFonts w:ascii="Times New Roman" w:eastAsia="Times New Roman" w:hAnsi="Times New Roman" w:cs="Times New Roman"/>
          <w:color w:val="000000"/>
          <w:sz w:val="24"/>
          <w:szCs w:val="24"/>
          <w:lang w:eastAsia="bg-BG"/>
        </w:rPr>
        <w:t xml:space="preserve"> на урбанизираните територии при тяхното изграждане, реконструкция и преустройство.</w:t>
      </w:r>
    </w:p>
    <w:p w14:paraId="7EB1333F" w14:textId="77777777" w:rsidR="0089314C" w:rsidRPr="002C36F8" w:rsidRDefault="0089314C" w:rsidP="00B97336">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bdr w:val="none" w:sz="0" w:space="0" w:color="auto" w:frame="1"/>
          <w:shd w:val="clear" w:color="auto" w:fill="FFFFFF"/>
          <w:lang w:eastAsia="bg-BG"/>
        </w:rPr>
        <w:t>Комуникационно</w:t>
      </w:r>
      <w:r w:rsidRPr="002C36F8">
        <w:rPr>
          <w:rFonts w:ascii="Times New Roman" w:eastAsia="Times New Roman" w:hAnsi="Times New Roman" w:cs="Times New Roman"/>
          <w:color w:val="000000"/>
          <w:sz w:val="24"/>
          <w:szCs w:val="24"/>
          <w:lang w:eastAsia="bg-BG"/>
        </w:rPr>
        <w:t>-транспортната система на урбанизираните територии обхваща уличната мрежа, обществения транспорт за превоз на пътници, пешеходното движение, велосипедното движение, паркирането и гарирането, съоръженията за обслужване на транспорта (сервизи, бензиностанции, автогари, автостопанства и др.), както и средствата за регулиране и управление на движението.</w:t>
      </w:r>
    </w:p>
    <w:p w14:paraId="6F07FFBB" w14:textId="77777777" w:rsidR="0089314C" w:rsidRPr="002800B2" w:rsidRDefault="0089314C" w:rsidP="00B97336">
      <w:pPr>
        <w:spacing w:after="0" w:line="240" w:lineRule="auto"/>
        <w:ind w:firstLine="567"/>
        <w:jc w:val="both"/>
        <w:rPr>
          <w:rFonts w:ascii="Times New Roman" w:hAnsi="Times New Roman" w:cs="Times New Roman"/>
          <w:sz w:val="24"/>
          <w:szCs w:val="24"/>
        </w:rPr>
      </w:pPr>
      <w:r w:rsidRPr="002800B2">
        <w:rPr>
          <w:rFonts w:ascii="Times New Roman" w:hAnsi="Times New Roman" w:cs="Times New Roman"/>
          <w:sz w:val="24"/>
          <w:szCs w:val="24"/>
        </w:rPr>
        <w:t>Необходимо е на последващ етап да се предвидят текстове в наредбата, регламентиращи проучването, определянето и решаването с подробните комуникационно-транспортни планове към подробните устройствени планове на разположението, класификацията и параметрите на паркингите и паркинг-гаражите, автогарите, бензиностанциите и газостанциите, вкл. местата с</w:t>
      </w:r>
      <w:r w:rsidR="008A7B1F" w:rsidRPr="002800B2">
        <w:rPr>
          <w:rFonts w:ascii="Times New Roman" w:hAnsi="Times New Roman" w:cs="Times New Roman"/>
          <w:sz w:val="24"/>
          <w:szCs w:val="24"/>
        </w:rPr>
        <w:t>ъс зарядна инфраструктура за електрически превозни средства</w:t>
      </w:r>
      <w:r w:rsidRPr="002800B2">
        <w:rPr>
          <w:rFonts w:ascii="Times New Roman" w:hAnsi="Times New Roman" w:cs="Times New Roman"/>
          <w:sz w:val="24"/>
          <w:szCs w:val="24"/>
        </w:rPr>
        <w:t>.</w:t>
      </w:r>
    </w:p>
    <w:p w14:paraId="20EA8EEA" w14:textId="77777777" w:rsidR="0089314C" w:rsidRPr="002800B2" w:rsidRDefault="0089314C" w:rsidP="00B97336">
      <w:pPr>
        <w:spacing w:after="0" w:line="240" w:lineRule="auto"/>
        <w:ind w:firstLine="567"/>
        <w:jc w:val="both"/>
        <w:rPr>
          <w:rFonts w:ascii="Times New Roman" w:hAnsi="Times New Roman" w:cs="Times New Roman"/>
          <w:sz w:val="24"/>
          <w:szCs w:val="24"/>
        </w:rPr>
      </w:pPr>
      <w:r w:rsidRPr="002800B2">
        <w:rPr>
          <w:rFonts w:ascii="Times New Roman" w:hAnsi="Times New Roman" w:cs="Times New Roman"/>
          <w:sz w:val="24"/>
          <w:szCs w:val="24"/>
        </w:rPr>
        <w:t>По този начин ще бъдат въведени коректно текстовете от Директива 2014/94/ЕС на Европейския парламент и на Съвета за разгръщането на инфраструктура за алтернативни горива в националното законодателство от гледна точка прилагането на Закона за устройството на територията.</w:t>
      </w:r>
    </w:p>
    <w:p w14:paraId="617962B9" w14:textId="77777777" w:rsidR="0089314C" w:rsidRPr="002800B2" w:rsidRDefault="0089314C" w:rsidP="00D345A8">
      <w:pPr>
        <w:spacing w:after="0" w:line="240" w:lineRule="auto"/>
        <w:ind w:firstLine="567"/>
        <w:jc w:val="both"/>
        <w:rPr>
          <w:rFonts w:ascii="Times New Roman" w:hAnsi="Times New Roman" w:cs="Times New Roman"/>
          <w:sz w:val="24"/>
          <w:szCs w:val="24"/>
        </w:rPr>
      </w:pPr>
      <w:r w:rsidRPr="002800B2">
        <w:rPr>
          <w:rFonts w:ascii="Times New Roman" w:hAnsi="Times New Roman" w:cs="Times New Roman"/>
          <w:sz w:val="24"/>
          <w:szCs w:val="24"/>
        </w:rPr>
        <w:t>В приложим</w:t>
      </w:r>
      <w:r w:rsidR="0085020F" w:rsidRPr="002800B2">
        <w:rPr>
          <w:rFonts w:ascii="Times New Roman" w:hAnsi="Times New Roman" w:cs="Times New Roman"/>
          <w:sz w:val="24"/>
          <w:szCs w:val="24"/>
        </w:rPr>
        <w:t>ия</w:t>
      </w:r>
      <w:r w:rsidRPr="002800B2">
        <w:rPr>
          <w:rFonts w:ascii="Times New Roman" w:hAnsi="Times New Roman" w:cs="Times New Roman"/>
          <w:sz w:val="24"/>
          <w:szCs w:val="24"/>
        </w:rPr>
        <w:t xml:space="preserve"> нормативен акт следва да бъде разписано, че дейностите по проектиране, изграждане и инсталиране на публично достъпни зарядни точки (по видове алтернативни горива) на републиканската пътна мрежа трябва да бъдат координирани, съгласувани и одобрени от Агенция „Пътна инфраструктура“ .</w:t>
      </w:r>
    </w:p>
    <w:p w14:paraId="08CD4A7F" w14:textId="77777777" w:rsidR="0089314C" w:rsidRPr="002800B2" w:rsidRDefault="0089314C" w:rsidP="00D345A8">
      <w:pPr>
        <w:widowControl w:val="0"/>
        <w:tabs>
          <w:tab w:val="left" w:pos="1018"/>
        </w:tabs>
        <w:spacing w:after="0" w:line="240" w:lineRule="auto"/>
        <w:ind w:right="23" w:firstLine="567"/>
        <w:jc w:val="both"/>
        <w:rPr>
          <w:rFonts w:ascii="Times New Roman" w:hAnsi="Times New Roman" w:cs="Times New Roman"/>
          <w:sz w:val="24"/>
          <w:szCs w:val="24"/>
        </w:rPr>
      </w:pPr>
      <w:r w:rsidRPr="002800B2">
        <w:rPr>
          <w:rFonts w:ascii="Times New Roman" w:eastAsia="Times New Roman" w:hAnsi="Times New Roman" w:cs="Times New Roman"/>
          <w:bCs/>
          <w:color w:val="000000"/>
          <w:sz w:val="24"/>
          <w:szCs w:val="24"/>
          <w:lang w:eastAsia="bg-BG"/>
        </w:rPr>
        <w:t>Също така е необходимо</w:t>
      </w:r>
      <w:r w:rsidRPr="002800B2">
        <w:rPr>
          <w:rFonts w:ascii="Times New Roman" w:eastAsia="Times New Roman" w:hAnsi="Times New Roman" w:cs="Times New Roman"/>
          <w:b/>
          <w:bCs/>
          <w:color w:val="000000"/>
          <w:sz w:val="24"/>
          <w:szCs w:val="24"/>
          <w:lang w:eastAsia="bg-BG"/>
        </w:rPr>
        <w:t xml:space="preserve"> </w:t>
      </w:r>
      <w:r w:rsidRPr="002800B2">
        <w:rPr>
          <w:rFonts w:ascii="Times New Roman" w:eastAsia="Times New Roman" w:hAnsi="Times New Roman" w:cs="Times New Roman"/>
          <w:bCs/>
          <w:color w:val="000000"/>
          <w:sz w:val="24"/>
          <w:szCs w:val="24"/>
          <w:lang w:eastAsia="bg-BG"/>
        </w:rPr>
        <w:t>на ниво община да бъдат обсъдени и предвидени опции относно:</w:t>
      </w:r>
    </w:p>
    <w:p w14:paraId="46AFA435" w14:textId="77777777" w:rsidR="0089314C" w:rsidRPr="002800B2" w:rsidRDefault="0089314C" w:rsidP="001A0506">
      <w:pPr>
        <w:widowControl w:val="0"/>
        <w:numPr>
          <w:ilvl w:val="0"/>
          <w:numId w:val="1"/>
        </w:numPr>
        <w:tabs>
          <w:tab w:val="left" w:pos="567"/>
        </w:tabs>
        <w:spacing w:after="0" w:line="240" w:lineRule="auto"/>
        <w:ind w:left="567" w:right="400" w:hanging="283"/>
        <w:jc w:val="both"/>
        <w:rPr>
          <w:rFonts w:ascii="Times New Roman" w:eastAsia="Times New Roman" w:hAnsi="Times New Roman" w:cs="Times New Roman"/>
          <w:color w:val="000000"/>
          <w:sz w:val="24"/>
          <w:szCs w:val="24"/>
          <w:lang w:eastAsia="bg-BG"/>
        </w:rPr>
      </w:pPr>
      <w:r w:rsidRPr="002800B2">
        <w:rPr>
          <w:rFonts w:ascii="Times New Roman" w:eastAsia="Times New Roman" w:hAnsi="Times New Roman" w:cs="Times New Roman"/>
          <w:color w:val="000000"/>
          <w:sz w:val="24"/>
          <w:szCs w:val="24"/>
          <w:lang w:eastAsia="bg-BG"/>
        </w:rPr>
        <w:t>забрана на неелектрически превозни средства да заем</w:t>
      </w:r>
      <w:r w:rsidR="002471E3" w:rsidRPr="002800B2">
        <w:rPr>
          <w:rFonts w:ascii="Times New Roman" w:eastAsia="Times New Roman" w:hAnsi="Times New Roman" w:cs="Times New Roman"/>
          <w:color w:val="000000"/>
          <w:sz w:val="24"/>
          <w:szCs w:val="24"/>
          <w:lang w:eastAsia="bg-BG"/>
        </w:rPr>
        <w:t>ат паркоместата, отредени за електрически превозни средства</w:t>
      </w:r>
      <w:r w:rsidRPr="002800B2">
        <w:rPr>
          <w:rFonts w:ascii="Times New Roman" w:eastAsia="Times New Roman" w:hAnsi="Times New Roman" w:cs="Times New Roman"/>
          <w:color w:val="000000"/>
          <w:sz w:val="24"/>
          <w:szCs w:val="24"/>
          <w:lang w:eastAsia="bg-BG"/>
        </w:rPr>
        <w:t xml:space="preserve"> (електрическите паркоместа),</w:t>
      </w:r>
    </w:p>
    <w:p w14:paraId="5B3B5653" w14:textId="77777777" w:rsidR="0089314C" w:rsidRPr="002800B2" w:rsidRDefault="0089314C" w:rsidP="001A0506">
      <w:pPr>
        <w:widowControl w:val="0"/>
        <w:numPr>
          <w:ilvl w:val="0"/>
          <w:numId w:val="1"/>
        </w:numPr>
        <w:tabs>
          <w:tab w:val="left" w:pos="567"/>
        </w:tabs>
        <w:spacing w:after="0" w:line="240" w:lineRule="auto"/>
        <w:ind w:left="567" w:right="400" w:hanging="283"/>
        <w:jc w:val="both"/>
        <w:rPr>
          <w:rFonts w:ascii="Times New Roman" w:eastAsia="Times New Roman" w:hAnsi="Times New Roman" w:cs="Times New Roman"/>
          <w:color w:val="000000"/>
          <w:sz w:val="24"/>
          <w:szCs w:val="24"/>
          <w:lang w:eastAsia="bg-BG"/>
        </w:rPr>
      </w:pPr>
      <w:r w:rsidRPr="002800B2">
        <w:rPr>
          <w:rFonts w:ascii="Times New Roman" w:eastAsia="Times New Roman" w:hAnsi="Times New Roman" w:cs="Times New Roman"/>
          <w:color w:val="000000"/>
          <w:sz w:val="24"/>
          <w:szCs w:val="24"/>
          <w:lang w:eastAsia="bg-BG"/>
        </w:rPr>
        <w:t>наличие на два вида електрически паркоместа_- такива, които се ползва</w:t>
      </w:r>
      <w:r w:rsidR="002129CC" w:rsidRPr="002800B2">
        <w:rPr>
          <w:rFonts w:ascii="Times New Roman" w:eastAsia="Times New Roman" w:hAnsi="Times New Roman" w:cs="Times New Roman"/>
          <w:color w:val="000000"/>
          <w:sz w:val="24"/>
          <w:szCs w:val="24"/>
          <w:lang w:eastAsia="bg-BG"/>
        </w:rPr>
        <w:t>т на принципа „на първия пристигнал</w:t>
      </w:r>
      <w:r w:rsidRPr="002800B2">
        <w:rPr>
          <w:rFonts w:ascii="Times New Roman" w:eastAsia="Times New Roman" w:hAnsi="Times New Roman" w:cs="Times New Roman"/>
          <w:color w:val="000000"/>
          <w:sz w:val="24"/>
          <w:szCs w:val="24"/>
          <w:lang w:eastAsia="bg-BG"/>
        </w:rPr>
        <w:t xml:space="preserve">“ и такива, </w:t>
      </w:r>
      <w:r w:rsidR="002471E3" w:rsidRPr="002800B2">
        <w:rPr>
          <w:rFonts w:ascii="Times New Roman" w:eastAsia="Times New Roman" w:hAnsi="Times New Roman" w:cs="Times New Roman"/>
          <w:color w:val="000000"/>
          <w:sz w:val="24"/>
          <w:szCs w:val="24"/>
          <w:lang w:eastAsia="bg-BG"/>
        </w:rPr>
        <w:t>които са резервирани само за електрически превозни средства</w:t>
      </w:r>
      <w:r w:rsidRPr="002800B2">
        <w:rPr>
          <w:rFonts w:ascii="Times New Roman" w:eastAsia="Times New Roman" w:hAnsi="Times New Roman" w:cs="Times New Roman"/>
          <w:color w:val="000000"/>
          <w:sz w:val="24"/>
          <w:szCs w:val="24"/>
          <w:lang w:eastAsia="bg-BG"/>
        </w:rPr>
        <w:t>.</w:t>
      </w:r>
    </w:p>
    <w:p w14:paraId="0E6B9C86" w14:textId="77777777" w:rsidR="0089314C" w:rsidRPr="002800B2" w:rsidRDefault="0089314C" w:rsidP="00D345A8">
      <w:pPr>
        <w:widowControl w:val="0"/>
        <w:spacing w:after="0" w:line="240" w:lineRule="auto"/>
        <w:ind w:right="400" w:firstLine="567"/>
        <w:jc w:val="both"/>
        <w:rPr>
          <w:rFonts w:ascii="Times New Roman" w:eastAsia="Times New Roman" w:hAnsi="Times New Roman" w:cs="Times New Roman"/>
          <w:color w:val="000000"/>
          <w:sz w:val="24"/>
          <w:szCs w:val="24"/>
          <w:lang w:eastAsia="bg-BG"/>
        </w:rPr>
      </w:pPr>
      <w:r w:rsidRPr="002800B2">
        <w:rPr>
          <w:rFonts w:ascii="Times New Roman" w:eastAsia="Times New Roman" w:hAnsi="Times New Roman" w:cs="Times New Roman"/>
          <w:color w:val="000000"/>
          <w:sz w:val="24"/>
          <w:szCs w:val="24"/>
          <w:lang w:eastAsia="bg-BG"/>
        </w:rPr>
        <w:t>Следва да се обмисли предложението в Правилника към Закон за движение по пътищата да с</w:t>
      </w:r>
      <w:r w:rsidR="002471E3" w:rsidRPr="002800B2">
        <w:rPr>
          <w:rFonts w:ascii="Times New Roman" w:eastAsia="Times New Roman" w:hAnsi="Times New Roman" w:cs="Times New Roman"/>
          <w:color w:val="000000"/>
          <w:sz w:val="24"/>
          <w:szCs w:val="24"/>
          <w:lang w:eastAsia="bg-BG"/>
        </w:rPr>
        <w:t>е добави знак „Място само за електрическо превозно средство</w:t>
      </w:r>
      <w:r w:rsidRPr="002800B2">
        <w:rPr>
          <w:rFonts w:ascii="Times New Roman" w:eastAsia="Times New Roman" w:hAnsi="Times New Roman" w:cs="Times New Roman"/>
          <w:color w:val="000000"/>
          <w:sz w:val="24"/>
          <w:szCs w:val="24"/>
          <w:lang w:eastAsia="bg-BG"/>
        </w:rPr>
        <w:t xml:space="preserve">“ и информационна табела </w:t>
      </w:r>
      <w:r w:rsidR="002471E3" w:rsidRPr="002800B2">
        <w:rPr>
          <w:rFonts w:ascii="Times New Roman" w:eastAsia="Times New Roman" w:hAnsi="Times New Roman" w:cs="Times New Roman"/>
          <w:color w:val="000000"/>
          <w:sz w:val="24"/>
          <w:szCs w:val="24"/>
          <w:lang w:eastAsia="bg-BG"/>
        </w:rPr>
        <w:t>„Наличие на зарядна точка за електрическо превозно средство</w:t>
      </w:r>
      <w:r w:rsidRPr="002800B2">
        <w:rPr>
          <w:rFonts w:ascii="Times New Roman" w:eastAsia="Times New Roman" w:hAnsi="Times New Roman" w:cs="Times New Roman"/>
          <w:color w:val="000000"/>
          <w:sz w:val="24"/>
          <w:szCs w:val="24"/>
          <w:lang w:eastAsia="bg-BG"/>
        </w:rPr>
        <w:t>“ (указват се и символите за мощността).</w:t>
      </w:r>
    </w:p>
    <w:p w14:paraId="51608982" w14:textId="77777777" w:rsidR="0089314C" w:rsidRPr="002C36F8" w:rsidRDefault="0089314C" w:rsidP="00D345A8">
      <w:pPr>
        <w:widowControl w:val="0"/>
        <w:spacing w:after="0" w:line="240" w:lineRule="auto"/>
        <w:ind w:right="400" w:firstLine="567"/>
        <w:jc w:val="both"/>
        <w:rPr>
          <w:rFonts w:ascii="Times New Roman" w:eastAsia="Times New Roman" w:hAnsi="Times New Roman" w:cs="Times New Roman"/>
          <w:color w:val="000000"/>
          <w:sz w:val="24"/>
          <w:szCs w:val="24"/>
          <w:lang w:eastAsia="bg-BG"/>
        </w:rPr>
      </w:pPr>
      <w:r w:rsidRPr="002800B2">
        <w:rPr>
          <w:rFonts w:ascii="Times New Roman" w:eastAsia="Times New Roman" w:hAnsi="Times New Roman" w:cs="Times New Roman"/>
          <w:color w:val="000000"/>
          <w:sz w:val="24"/>
          <w:szCs w:val="24"/>
          <w:lang w:eastAsia="bg-BG"/>
        </w:rPr>
        <w:t xml:space="preserve">В </w:t>
      </w:r>
      <w:r w:rsidR="0085020F" w:rsidRPr="002800B2">
        <w:rPr>
          <w:rFonts w:ascii="Times New Roman" w:eastAsia="Times New Roman" w:hAnsi="Times New Roman" w:cs="Times New Roman"/>
          <w:color w:val="000000"/>
          <w:sz w:val="24"/>
          <w:szCs w:val="24"/>
          <w:lang w:eastAsia="bg-BG"/>
        </w:rPr>
        <w:t>н</w:t>
      </w:r>
      <w:r w:rsidRPr="002800B2">
        <w:rPr>
          <w:rFonts w:ascii="Times New Roman" w:eastAsia="Times New Roman" w:hAnsi="Times New Roman" w:cs="Times New Roman"/>
          <w:color w:val="000000"/>
          <w:sz w:val="24"/>
          <w:szCs w:val="24"/>
          <w:lang w:eastAsia="bg-BG"/>
        </w:rPr>
        <w:t xml:space="preserve">аредбата за паркоместата може да бъде направено уточнение, че на всяко трето място със зарядна точка </w:t>
      </w:r>
      <w:r w:rsidR="002471E3" w:rsidRPr="002800B2">
        <w:rPr>
          <w:rFonts w:ascii="Times New Roman" w:eastAsia="Times New Roman" w:hAnsi="Times New Roman" w:cs="Times New Roman"/>
          <w:color w:val="000000"/>
          <w:sz w:val="24"/>
          <w:szCs w:val="24"/>
          <w:lang w:eastAsia="bg-BG"/>
        </w:rPr>
        <w:t>се слага знак „Място само за електрическо превозно средство</w:t>
      </w:r>
      <w:r w:rsidRPr="002800B2">
        <w:rPr>
          <w:rFonts w:ascii="Times New Roman" w:eastAsia="Times New Roman" w:hAnsi="Times New Roman" w:cs="Times New Roman"/>
          <w:color w:val="000000"/>
          <w:sz w:val="24"/>
          <w:szCs w:val="24"/>
          <w:lang w:eastAsia="bg-BG"/>
        </w:rPr>
        <w:t xml:space="preserve">“, а другите две си остават само с информационните табели за налична </w:t>
      </w:r>
      <w:r w:rsidRPr="002800B2">
        <w:rPr>
          <w:rFonts w:ascii="Times New Roman" w:eastAsia="Times New Roman" w:hAnsi="Times New Roman" w:cs="Times New Roman"/>
          <w:color w:val="000000"/>
          <w:sz w:val="24"/>
          <w:szCs w:val="24"/>
          <w:lang w:eastAsia="bg-BG"/>
        </w:rPr>
        <w:lastRenderedPageBreak/>
        <w:t>зарядна точка (но без забрана ДВГ да парк</w:t>
      </w:r>
      <w:r w:rsidR="002471E3" w:rsidRPr="002800B2">
        <w:rPr>
          <w:rFonts w:ascii="Times New Roman" w:eastAsia="Times New Roman" w:hAnsi="Times New Roman" w:cs="Times New Roman"/>
          <w:color w:val="000000"/>
          <w:sz w:val="24"/>
          <w:szCs w:val="24"/>
          <w:lang w:eastAsia="bg-BG"/>
        </w:rPr>
        <w:t>ират там). По- късно, когато електрическите превозни средства</w:t>
      </w:r>
      <w:r w:rsidRPr="002800B2">
        <w:rPr>
          <w:rFonts w:ascii="Times New Roman" w:eastAsia="Times New Roman" w:hAnsi="Times New Roman" w:cs="Times New Roman"/>
          <w:color w:val="000000"/>
          <w:sz w:val="24"/>
          <w:szCs w:val="24"/>
          <w:lang w:eastAsia="bg-BG"/>
        </w:rPr>
        <w:t xml:space="preserve"> станат повече, може да стане всяко второ място, а след това и всички места със зарядни точки да са забранени за ДВГ.</w:t>
      </w:r>
      <w:r w:rsidR="008C16D0" w:rsidRPr="002800B2">
        <w:rPr>
          <w:rStyle w:val="FootnoteReference"/>
          <w:rFonts w:ascii="Times New Roman" w:eastAsia="Times New Roman" w:hAnsi="Times New Roman" w:cs="Times New Roman"/>
          <w:color w:val="000000"/>
          <w:sz w:val="24"/>
          <w:szCs w:val="24"/>
          <w:lang w:eastAsia="bg-BG"/>
        </w:rPr>
        <w:footnoteReference w:id="6"/>
      </w:r>
    </w:p>
    <w:p w14:paraId="7F882F57" w14:textId="77777777" w:rsidR="00D345A8" w:rsidRPr="002C36F8" w:rsidRDefault="00D345A8" w:rsidP="00D345A8">
      <w:pPr>
        <w:widowControl w:val="0"/>
        <w:tabs>
          <w:tab w:val="left" w:pos="1018"/>
        </w:tabs>
        <w:spacing w:after="0" w:line="240" w:lineRule="auto"/>
        <w:ind w:right="23" w:firstLine="567"/>
        <w:jc w:val="both"/>
        <w:rPr>
          <w:rFonts w:ascii="Times New Roman" w:hAnsi="Times New Roman" w:cs="Times New Roman"/>
          <w:i/>
          <w:sz w:val="24"/>
          <w:szCs w:val="24"/>
        </w:rPr>
      </w:pPr>
    </w:p>
    <w:p w14:paraId="268D2B1F" w14:textId="77777777" w:rsidR="0089314C" w:rsidRPr="002C36F8" w:rsidRDefault="00466BDD" w:rsidP="00466BDD">
      <w:pPr>
        <w:widowControl w:val="0"/>
        <w:tabs>
          <w:tab w:val="left" w:pos="1018"/>
        </w:tabs>
        <w:spacing w:after="0" w:line="240" w:lineRule="auto"/>
        <w:ind w:right="23"/>
        <w:jc w:val="both"/>
        <w:rPr>
          <w:rFonts w:ascii="Times New Roman" w:hAnsi="Times New Roman" w:cs="Times New Roman"/>
          <w:i/>
          <w:sz w:val="24"/>
          <w:szCs w:val="24"/>
        </w:rPr>
      </w:pPr>
      <w:r w:rsidRPr="002C36F8">
        <w:rPr>
          <w:rFonts w:ascii="Times New Roman" w:hAnsi="Times New Roman" w:cs="Times New Roman"/>
          <w:i/>
          <w:sz w:val="24"/>
          <w:szCs w:val="24"/>
        </w:rPr>
        <w:t xml:space="preserve">3.1.3.2.3 </w:t>
      </w:r>
      <w:r w:rsidR="0089314C" w:rsidRPr="002C36F8">
        <w:rPr>
          <w:rFonts w:ascii="Times New Roman" w:hAnsi="Times New Roman" w:cs="Times New Roman"/>
          <w:i/>
          <w:sz w:val="24"/>
          <w:szCs w:val="24"/>
        </w:rPr>
        <w:t>Присъединяване на клиентите на електрическа енергия към преносната или разпределителна електрическа мрежа. Правен статут на оператор на зарядна точка</w:t>
      </w:r>
    </w:p>
    <w:p w14:paraId="10BC0A53" w14:textId="77777777" w:rsidR="0089314C" w:rsidRPr="002C36F8" w:rsidRDefault="0089314C" w:rsidP="00D345A8">
      <w:pPr>
        <w:widowControl w:val="0"/>
        <w:tabs>
          <w:tab w:val="left" w:pos="1018"/>
        </w:tabs>
        <w:spacing w:after="0" w:line="240" w:lineRule="auto"/>
        <w:ind w:right="23" w:firstLine="567"/>
        <w:jc w:val="both"/>
        <w:rPr>
          <w:rFonts w:ascii="Times New Roman" w:hAnsi="Times New Roman" w:cs="Times New Roman"/>
          <w:i/>
          <w:sz w:val="24"/>
          <w:szCs w:val="24"/>
        </w:rPr>
      </w:pPr>
    </w:p>
    <w:p w14:paraId="18E4BF43" w14:textId="77777777" w:rsidR="0089314C" w:rsidRPr="002C36F8" w:rsidRDefault="0089314C" w:rsidP="00B97336">
      <w:pPr>
        <w:widowControl w:val="0"/>
        <w:spacing w:after="0" w:line="274" w:lineRule="exact"/>
        <w:ind w:left="20" w:right="4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Правомощия по Закона за енергетиката (ЗЕ) има министърът на енергетиката, който провежда енергийната политика на Република България и Комисия</w:t>
      </w:r>
      <w:r w:rsidR="0085020F">
        <w:rPr>
          <w:rFonts w:ascii="Times New Roman" w:eastAsia="Times New Roman" w:hAnsi="Times New Roman" w:cs="Times New Roman"/>
          <w:color w:val="000000"/>
          <w:sz w:val="24"/>
          <w:szCs w:val="24"/>
          <w:lang w:eastAsia="bg-BG"/>
        </w:rPr>
        <w:t>та</w:t>
      </w:r>
      <w:r w:rsidRPr="002C36F8">
        <w:rPr>
          <w:rFonts w:ascii="Times New Roman" w:eastAsia="Times New Roman" w:hAnsi="Times New Roman" w:cs="Times New Roman"/>
          <w:color w:val="000000"/>
          <w:sz w:val="24"/>
          <w:szCs w:val="24"/>
          <w:lang w:eastAsia="bg-BG"/>
        </w:rPr>
        <w:t xml:space="preserve"> за енергийно и водно регулиране (КЕВР), която осъществява регулиране на дейностите в енергетиката. Законодателят е делегирал на </w:t>
      </w:r>
      <w:r w:rsidR="0085020F">
        <w:rPr>
          <w:rFonts w:ascii="Times New Roman" w:eastAsia="Times New Roman" w:hAnsi="Times New Roman" w:cs="Times New Roman"/>
          <w:color w:val="000000"/>
          <w:sz w:val="24"/>
          <w:szCs w:val="24"/>
          <w:lang w:eastAsia="bg-BG"/>
        </w:rPr>
        <w:t>к</w:t>
      </w:r>
      <w:r w:rsidRPr="002C36F8">
        <w:rPr>
          <w:rFonts w:ascii="Times New Roman" w:eastAsia="Times New Roman" w:hAnsi="Times New Roman" w:cs="Times New Roman"/>
          <w:color w:val="000000"/>
          <w:sz w:val="24"/>
          <w:szCs w:val="24"/>
          <w:lang w:eastAsia="bg-BG"/>
        </w:rPr>
        <w:t>омисията правомощия да приема подзаконови нормативни актове, предвидени в ЗЕ.</w:t>
      </w:r>
    </w:p>
    <w:p w14:paraId="1A8A2E28" w14:textId="77777777" w:rsidR="0089314C" w:rsidRPr="002C36F8" w:rsidRDefault="0089314C" w:rsidP="00B97336">
      <w:pPr>
        <w:widowControl w:val="0"/>
        <w:spacing w:after="0" w:line="274" w:lineRule="exact"/>
        <w:ind w:left="20" w:firstLine="567"/>
        <w:jc w:val="both"/>
        <w:rPr>
          <w:rFonts w:ascii="Times New Roman" w:eastAsia="Courier New"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 приетата от КЕВР Наредба № 6 от 24.02.2014 г. за присъединяване на производители и клиенти на електрическа енергия към преносната или към разпределителните електрически мрежи (обн.</w:t>
      </w:r>
      <w:r w:rsidR="000472C3">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 xml:space="preserve"> ДВ, бр. 31 от 2014</w:t>
      </w:r>
      <w:r w:rsidRPr="002C36F8">
        <w:rPr>
          <w:rFonts w:ascii="Times New Roman" w:eastAsia="Courier New" w:hAnsi="Times New Roman" w:cs="Times New Roman"/>
          <w:color w:val="000000"/>
          <w:sz w:val="24"/>
          <w:szCs w:val="24"/>
          <w:lang w:val="ru-RU" w:eastAsia="bg-BG"/>
        </w:rPr>
        <w:t xml:space="preserve">г.) </w:t>
      </w:r>
      <w:r w:rsidRPr="002C36F8">
        <w:rPr>
          <w:rFonts w:ascii="Times New Roman" w:eastAsia="Courier New" w:hAnsi="Times New Roman" w:cs="Times New Roman"/>
          <w:color w:val="000000"/>
          <w:sz w:val="24"/>
          <w:szCs w:val="24"/>
          <w:lang w:eastAsia="bg-BG"/>
        </w:rPr>
        <w:t>се определят:</w:t>
      </w:r>
    </w:p>
    <w:p w14:paraId="42196C94" w14:textId="77777777" w:rsidR="0089314C" w:rsidRPr="002C36F8" w:rsidRDefault="0089314C" w:rsidP="001A0506">
      <w:pPr>
        <w:pStyle w:val="ListParagraph"/>
        <w:widowControl w:val="0"/>
        <w:numPr>
          <w:ilvl w:val="0"/>
          <w:numId w:val="1"/>
        </w:numPr>
        <w:spacing w:after="0" w:line="274" w:lineRule="exact"/>
        <w:ind w:left="567" w:hanging="283"/>
        <w:jc w:val="both"/>
        <w:rPr>
          <w:rFonts w:ascii="Times New Roman" w:eastAsia="Courier New" w:hAnsi="Times New Roman" w:cs="Times New Roman"/>
          <w:color w:val="000000"/>
          <w:sz w:val="24"/>
          <w:szCs w:val="24"/>
          <w:lang w:eastAsia="bg-BG"/>
        </w:rPr>
      </w:pPr>
      <w:r w:rsidRPr="002C36F8">
        <w:rPr>
          <w:rFonts w:ascii="Times New Roman" w:eastAsia="Courier New" w:hAnsi="Times New Roman" w:cs="Times New Roman"/>
          <w:color w:val="000000"/>
          <w:sz w:val="24"/>
          <w:szCs w:val="24"/>
          <w:lang w:eastAsia="bg-BG"/>
        </w:rPr>
        <w:t>условията и редът за присъединяване на обекти на клиенти, на производители на електрическа енергия и на мрежови оператори към преносната или към разпределителните мрежи;</w:t>
      </w:r>
    </w:p>
    <w:p w14:paraId="64673E82" w14:textId="77777777" w:rsidR="00D345A8" w:rsidRPr="002C36F8" w:rsidRDefault="0089314C" w:rsidP="001A0506">
      <w:pPr>
        <w:pStyle w:val="ListParagraph"/>
        <w:widowControl w:val="0"/>
        <w:numPr>
          <w:ilvl w:val="0"/>
          <w:numId w:val="1"/>
        </w:numPr>
        <w:spacing w:after="0" w:line="274" w:lineRule="exact"/>
        <w:ind w:left="567" w:hanging="283"/>
        <w:jc w:val="both"/>
        <w:rPr>
          <w:rFonts w:ascii="Times New Roman" w:eastAsia="Courier New" w:hAnsi="Times New Roman" w:cs="Times New Roman"/>
          <w:color w:val="000000"/>
          <w:sz w:val="24"/>
          <w:szCs w:val="24"/>
          <w:lang w:eastAsia="bg-BG"/>
        </w:rPr>
      </w:pPr>
      <w:r w:rsidRPr="002C36F8">
        <w:rPr>
          <w:rFonts w:ascii="Times New Roman" w:eastAsia="Courier New" w:hAnsi="Times New Roman" w:cs="Times New Roman"/>
          <w:color w:val="000000"/>
          <w:sz w:val="24"/>
          <w:szCs w:val="24"/>
          <w:lang w:eastAsia="bg-BG"/>
        </w:rPr>
        <w:t>промени в присъединяването на съществуващи присъединени към електрическите мрежи обекти и електрически централи;</w:t>
      </w:r>
    </w:p>
    <w:p w14:paraId="67D5EBC6" w14:textId="77777777" w:rsidR="0089314C" w:rsidRPr="002C36F8" w:rsidRDefault="0089314C" w:rsidP="001A0506">
      <w:pPr>
        <w:pStyle w:val="ListParagraph"/>
        <w:widowControl w:val="0"/>
        <w:numPr>
          <w:ilvl w:val="0"/>
          <w:numId w:val="1"/>
        </w:numPr>
        <w:spacing w:after="0" w:line="274" w:lineRule="exact"/>
        <w:ind w:left="567" w:hanging="283"/>
        <w:jc w:val="both"/>
        <w:rPr>
          <w:rFonts w:ascii="Times New Roman" w:eastAsia="Courier New" w:hAnsi="Times New Roman" w:cs="Times New Roman"/>
          <w:color w:val="000000"/>
          <w:sz w:val="24"/>
          <w:szCs w:val="24"/>
          <w:lang w:eastAsia="bg-BG"/>
        </w:rPr>
      </w:pPr>
      <w:r w:rsidRPr="002C36F8">
        <w:rPr>
          <w:rFonts w:ascii="Times New Roman" w:eastAsia="Courier New" w:hAnsi="Times New Roman" w:cs="Times New Roman"/>
          <w:color w:val="000000"/>
          <w:sz w:val="24"/>
          <w:szCs w:val="24"/>
          <w:lang w:eastAsia="bg-BG"/>
        </w:rPr>
        <w:t>сключване на договорите за присъединяване; преустановяване присъединяването на обекти на клиенти и на електрически централи, както и границите на собственост между електрическите съоръжения на клиентите/производителите и електрическите съоръжения, елементи на преносната/разпределителната мрежа.</w:t>
      </w:r>
    </w:p>
    <w:p w14:paraId="14C2F003" w14:textId="77777777" w:rsidR="0089314C" w:rsidRPr="008E3ABF" w:rsidRDefault="0089314C" w:rsidP="00B97336">
      <w:pPr>
        <w:spacing w:after="0" w:line="240" w:lineRule="auto"/>
        <w:ind w:right="4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Комисията е приела също така и </w:t>
      </w:r>
      <w:r w:rsidRPr="008E3ABF">
        <w:rPr>
          <w:rFonts w:ascii="Times New Roman" w:eastAsia="Times New Roman" w:hAnsi="Times New Roman" w:cs="Times New Roman"/>
          <w:color w:val="000000"/>
          <w:sz w:val="24"/>
          <w:szCs w:val="24"/>
          <w:lang w:eastAsia="bg-BG"/>
        </w:rPr>
        <w:t xml:space="preserve">Правила за измерване на количеството електрическа енергия (обн., ДВ, бр. 98 от 2013 </w:t>
      </w:r>
      <w:r w:rsidRPr="008E3ABF">
        <w:rPr>
          <w:rFonts w:ascii="Times New Roman" w:eastAsia="Times New Roman" w:hAnsi="Times New Roman" w:cs="Times New Roman"/>
          <w:color w:val="000000"/>
          <w:sz w:val="24"/>
          <w:szCs w:val="24"/>
          <w:lang w:val="ru-RU" w:eastAsia="bg-BG"/>
        </w:rPr>
        <w:t xml:space="preserve">г.), с </w:t>
      </w:r>
      <w:r w:rsidRPr="008E3ABF">
        <w:rPr>
          <w:rFonts w:ascii="Times New Roman" w:eastAsia="Times New Roman" w:hAnsi="Times New Roman" w:cs="Times New Roman"/>
          <w:color w:val="000000"/>
          <w:sz w:val="24"/>
          <w:szCs w:val="24"/>
          <w:lang w:eastAsia="bg-BG"/>
        </w:rPr>
        <w:t>които се определят:</w:t>
      </w:r>
    </w:p>
    <w:p w14:paraId="157E57D8" w14:textId="77777777" w:rsidR="00D345A8"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8E3ABF">
        <w:rPr>
          <w:rFonts w:ascii="Times New Roman" w:eastAsia="Times New Roman" w:hAnsi="Times New Roman" w:cs="Times New Roman"/>
          <w:color w:val="000000"/>
          <w:sz w:val="24"/>
          <w:szCs w:val="24"/>
          <w:lang w:eastAsia="bg-BG"/>
        </w:rPr>
        <w:t>принципите, начини</w:t>
      </w:r>
      <w:r w:rsidRPr="002C36F8">
        <w:rPr>
          <w:rFonts w:ascii="Times New Roman" w:eastAsia="Times New Roman" w:hAnsi="Times New Roman" w:cs="Times New Roman"/>
          <w:color w:val="000000"/>
          <w:sz w:val="24"/>
          <w:szCs w:val="24"/>
          <w:lang w:eastAsia="bg-BG"/>
        </w:rPr>
        <w:t xml:space="preserve">те и местата на измерване на количествата </w:t>
      </w:r>
      <w:r w:rsidRPr="002C36F8">
        <w:rPr>
          <w:rFonts w:ascii="Times New Roman" w:eastAsia="Times New Roman" w:hAnsi="Times New Roman" w:cs="Times New Roman"/>
          <w:color w:val="000000"/>
          <w:sz w:val="24"/>
          <w:szCs w:val="24"/>
          <w:lang w:val="ru-RU" w:eastAsia="bg-BG"/>
        </w:rPr>
        <w:t xml:space="preserve">активна </w:t>
      </w:r>
      <w:r w:rsidRPr="002C36F8">
        <w:rPr>
          <w:rFonts w:ascii="Times New Roman" w:eastAsia="Times New Roman" w:hAnsi="Times New Roman" w:cs="Times New Roman"/>
          <w:color w:val="000000"/>
          <w:sz w:val="24"/>
          <w:szCs w:val="24"/>
          <w:lang w:eastAsia="bg-BG"/>
        </w:rPr>
        <w:t xml:space="preserve">и реактивна електрическа енергия и мощност; </w:t>
      </w:r>
    </w:p>
    <w:p w14:paraId="2AFCA827" w14:textId="77777777" w:rsidR="00D345A8"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изискванията за точността на измерване, проверката на техническите и метрологичните характеристики на измервателните средства/системи и свързаните </w:t>
      </w:r>
      <w:r w:rsidRPr="002C36F8">
        <w:rPr>
          <w:rFonts w:ascii="Times New Roman" w:eastAsia="Times New Roman" w:hAnsi="Times New Roman" w:cs="Times New Roman"/>
          <w:color w:val="000000"/>
          <w:sz w:val="24"/>
          <w:szCs w:val="24"/>
          <w:lang w:val="ru-RU" w:eastAsia="bg-BG"/>
        </w:rPr>
        <w:t xml:space="preserve">с </w:t>
      </w:r>
      <w:r w:rsidRPr="002C36F8">
        <w:rPr>
          <w:rFonts w:ascii="Times New Roman" w:eastAsia="Times New Roman" w:hAnsi="Times New Roman" w:cs="Times New Roman"/>
          <w:color w:val="000000"/>
          <w:sz w:val="24"/>
          <w:szCs w:val="24"/>
          <w:lang w:eastAsia="bg-BG"/>
        </w:rPr>
        <w:t>тях комуникационни връзки;</w:t>
      </w:r>
    </w:p>
    <w:p w14:paraId="39CB99DD" w14:textId="77777777" w:rsidR="00D345A8"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съдържанието на регистри и бази първични данни на измервателните системи, поддържането им, както и достъпът до регистъра на измервателната система;</w:t>
      </w:r>
    </w:p>
    <w:p w14:paraId="52DA87E1" w14:textId="77777777" w:rsidR="00D345A8"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измерването, валидирането, обработването, съхраняването и предоставянето на данни от измерването на електрическата енергия;</w:t>
      </w:r>
    </w:p>
    <w:p w14:paraId="249B9F5A" w14:textId="77777777" w:rsidR="00D345A8"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правата и задълженията на собственика на измервателна система и на страните по сделките </w:t>
      </w:r>
      <w:r w:rsidRPr="002C36F8">
        <w:rPr>
          <w:rFonts w:ascii="Times New Roman" w:eastAsia="Times New Roman" w:hAnsi="Times New Roman" w:cs="Times New Roman"/>
          <w:color w:val="000000"/>
          <w:sz w:val="24"/>
          <w:szCs w:val="24"/>
          <w:lang w:val="ru-RU" w:eastAsia="bg-BG"/>
        </w:rPr>
        <w:t xml:space="preserve">с </w:t>
      </w:r>
      <w:r w:rsidRPr="002C36F8">
        <w:rPr>
          <w:rFonts w:ascii="Times New Roman" w:eastAsia="Times New Roman" w:hAnsi="Times New Roman" w:cs="Times New Roman"/>
          <w:color w:val="000000"/>
          <w:sz w:val="24"/>
          <w:szCs w:val="24"/>
          <w:lang w:eastAsia="bg-BG"/>
        </w:rPr>
        <w:t>електрическа енергия;</w:t>
      </w:r>
    </w:p>
    <w:p w14:paraId="013D06A8" w14:textId="77777777" w:rsidR="0089314C" w:rsidRPr="002C36F8" w:rsidRDefault="0089314C" w:rsidP="001A0506">
      <w:pPr>
        <w:pStyle w:val="ListParagraph"/>
        <w:numPr>
          <w:ilvl w:val="0"/>
          <w:numId w:val="1"/>
        </w:numPr>
        <w:spacing w:after="0" w:line="240" w:lineRule="auto"/>
        <w:ind w:left="567" w:right="40"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условията и реда за установяване случаите на неизмерена, неправилно и/или неточно измерена електрическа енергия и начините за извършване на преизчисление (корекция) на количеството електрическа енергия.</w:t>
      </w:r>
    </w:p>
    <w:p w14:paraId="1D350F09" w14:textId="77777777" w:rsidR="0089314C" w:rsidRPr="002C36F8" w:rsidRDefault="0089314C" w:rsidP="00D345A8">
      <w:pPr>
        <w:widowControl w:val="0"/>
        <w:spacing w:after="0" w:line="274" w:lineRule="exact"/>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Структурата, условията за участие, правилата за сключване на сделки на пазара на електрическа енергия са регламентирани в приетите от КЕВР Правила за търговия </w:t>
      </w:r>
      <w:r w:rsidRPr="002C36F8">
        <w:rPr>
          <w:rFonts w:ascii="Times New Roman" w:hAnsi="Times New Roman" w:cs="Times New Roman"/>
          <w:sz w:val="24"/>
          <w:szCs w:val="24"/>
          <w:lang w:val="ru-RU"/>
        </w:rPr>
        <w:t xml:space="preserve">с </w:t>
      </w:r>
      <w:r w:rsidRPr="002C36F8">
        <w:rPr>
          <w:rFonts w:ascii="Times New Roman" w:hAnsi="Times New Roman" w:cs="Times New Roman"/>
          <w:sz w:val="24"/>
          <w:szCs w:val="24"/>
        </w:rPr>
        <w:t xml:space="preserve">електрическа енергия (обн., ДВ, бр. 66 от 2013 </w:t>
      </w:r>
      <w:r w:rsidRPr="002C36F8">
        <w:rPr>
          <w:rFonts w:ascii="Times New Roman" w:hAnsi="Times New Roman" w:cs="Times New Roman"/>
          <w:sz w:val="24"/>
          <w:szCs w:val="24"/>
          <w:lang w:val="ru-RU"/>
        </w:rPr>
        <w:t>г.)</w:t>
      </w:r>
      <w:r w:rsidRPr="002C36F8">
        <w:rPr>
          <w:rFonts w:ascii="Times New Roman" w:hAnsi="Times New Roman" w:cs="Times New Roman"/>
          <w:sz w:val="24"/>
          <w:szCs w:val="24"/>
        </w:rPr>
        <w:t>.</w:t>
      </w:r>
    </w:p>
    <w:p w14:paraId="178E81FF" w14:textId="77777777" w:rsidR="0089314C" w:rsidRPr="002C36F8" w:rsidRDefault="0089314C" w:rsidP="00B97336">
      <w:pPr>
        <w:widowControl w:val="0"/>
        <w:spacing w:after="0" w:line="274" w:lineRule="exact"/>
        <w:ind w:firstLine="567"/>
        <w:jc w:val="both"/>
        <w:rPr>
          <w:rFonts w:ascii="Times New Roman" w:hAnsi="Times New Roman" w:cs="Times New Roman"/>
          <w:sz w:val="24"/>
          <w:szCs w:val="24"/>
          <w:lang w:val="ru-RU"/>
        </w:rPr>
      </w:pPr>
      <w:r w:rsidRPr="002C36F8">
        <w:rPr>
          <w:rFonts w:ascii="Times New Roman" w:hAnsi="Times New Roman" w:cs="Times New Roman"/>
          <w:sz w:val="24"/>
          <w:szCs w:val="24"/>
          <w:lang w:val="ru-RU"/>
        </w:rPr>
        <w:t xml:space="preserve">По отношение транспонирането на чл. 4, т. 7-13 на Директивата следва да бъдат извършени промени в Закона за енергетиката и подзаконовата нормативна уредба, с които да се въведе в българското законодателство понятието „оператор на зарядна точка“. Необходимо е също така да се регламентират взаимоотношенията на този оператор със съответния мрежови оператор. </w:t>
      </w:r>
    </w:p>
    <w:p w14:paraId="511DDBAE" w14:textId="77777777" w:rsidR="0089314C" w:rsidRPr="002C36F8" w:rsidRDefault="0089314C" w:rsidP="00B97336">
      <w:pPr>
        <w:widowControl w:val="0"/>
        <w:spacing w:after="0" w:line="274" w:lineRule="exact"/>
        <w:ind w:firstLine="567"/>
        <w:jc w:val="both"/>
        <w:rPr>
          <w:rFonts w:ascii="Times New Roman" w:hAnsi="Times New Roman" w:cs="Times New Roman"/>
          <w:sz w:val="24"/>
          <w:szCs w:val="24"/>
          <w:shd w:val="clear" w:color="auto" w:fill="FFFFFF"/>
        </w:rPr>
      </w:pPr>
      <w:r w:rsidRPr="002C36F8">
        <w:rPr>
          <w:rFonts w:ascii="Times New Roman" w:hAnsi="Times New Roman" w:cs="Times New Roman"/>
          <w:sz w:val="24"/>
          <w:szCs w:val="24"/>
          <w:lang w:val="ru-RU"/>
        </w:rPr>
        <w:t xml:space="preserve">Операторът на зарядната точка ще купува електрическа енергия на едро и ще я продава на краен клиент (собственик на електрическо превозно средство), поради което </w:t>
      </w:r>
      <w:r w:rsidRPr="002C36F8">
        <w:rPr>
          <w:rFonts w:ascii="Times New Roman" w:hAnsi="Times New Roman" w:cs="Times New Roman"/>
          <w:sz w:val="24"/>
          <w:szCs w:val="24"/>
          <w:lang w:val="ru-RU"/>
        </w:rPr>
        <w:lastRenderedPageBreak/>
        <w:t>взаимоотношенията му по присъединяването и ползването на съответната електрическа мрежа, както и измерването на продаваната от него електрическа енергия, трябва да бъдат уредени в съответн</w:t>
      </w:r>
      <w:r w:rsidR="000472C3">
        <w:rPr>
          <w:rFonts w:ascii="Times New Roman" w:hAnsi="Times New Roman" w:cs="Times New Roman"/>
          <w:sz w:val="24"/>
          <w:szCs w:val="24"/>
          <w:lang w:val="ru-RU"/>
        </w:rPr>
        <w:t>ия</w:t>
      </w:r>
      <w:r w:rsidRPr="002C36F8">
        <w:rPr>
          <w:rFonts w:ascii="Times New Roman" w:hAnsi="Times New Roman" w:cs="Times New Roman"/>
          <w:sz w:val="24"/>
          <w:szCs w:val="24"/>
          <w:lang w:val="ru-RU"/>
        </w:rPr>
        <w:t xml:space="preserve"> нормативен акт. </w:t>
      </w:r>
      <w:r w:rsidRPr="002C36F8">
        <w:rPr>
          <w:rFonts w:ascii="Times New Roman" w:hAnsi="Times New Roman" w:cs="Times New Roman"/>
          <w:sz w:val="24"/>
          <w:szCs w:val="24"/>
        </w:rPr>
        <w:t>Компетентният орган</w:t>
      </w:r>
      <w:r w:rsidR="000472C3">
        <w:rPr>
          <w:rFonts w:ascii="Times New Roman" w:hAnsi="Times New Roman" w:cs="Times New Roman"/>
          <w:sz w:val="24"/>
          <w:szCs w:val="24"/>
        </w:rPr>
        <w:t xml:space="preserve">, който следва да регламентира тези обществени отношения </w:t>
      </w:r>
      <w:r w:rsidRPr="002C36F8">
        <w:rPr>
          <w:rFonts w:ascii="Times New Roman" w:hAnsi="Times New Roman" w:cs="Times New Roman"/>
          <w:sz w:val="24"/>
          <w:szCs w:val="24"/>
        </w:rPr>
        <w:t xml:space="preserve"> </w:t>
      </w:r>
      <w:r w:rsidRPr="002C36F8">
        <w:rPr>
          <w:rFonts w:ascii="Times New Roman" w:hAnsi="Times New Roman" w:cs="Times New Roman"/>
          <w:sz w:val="24"/>
          <w:szCs w:val="24"/>
          <w:shd w:val="clear" w:color="auto" w:fill="FFFFFF"/>
        </w:rPr>
        <w:t>е КЕВР.</w:t>
      </w:r>
    </w:p>
    <w:p w14:paraId="018181B6" w14:textId="77777777" w:rsidR="0089314C" w:rsidRPr="002C36F8" w:rsidRDefault="0089314C" w:rsidP="00B97336">
      <w:pPr>
        <w:widowControl w:val="0"/>
        <w:spacing w:after="0" w:line="274" w:lineRule="exact"/>
        <w:ind w:firstLine="567"/>
        <w:jc w:val="both"/>
        <w:rPr>
          <w:rFonts w:ascii="Times New Roman" w:hAnsi="Times New Roman" w:cs="Times New Roman"/>
          <w:sz w:val="24"/>
          <w:szCs w:val="24"/>
          <w:shd w:val="clear" w:color="auto" w:fill="FFFFFF"/>
        </w:rPr>
      </w:pPr>
    </w:p>
    <w:p w14:paraId="6059D6AB" w14:textId="77777777" w:rsidR="0089314C" w:rsidRPr="002C36F8" w:rsidRDefault="00466BDD" w:rsidP="00466BDD">
      <w:pPr>
        <w:widowControl w:val="0"/>
        <w:spacing w:after="0" w:line="274" w:lineRule="exact"/>
        <w:jc w:val="both"/>
        <w:rPr>
          <w:rFonts w:ascii="Times New Roman" w:hAnsi="Times New Roman" w:cs="Times New Roman"/>
          <w:i/>
          <w:sz w:val="24"/>
          <w:szCs w:val="24"/>
        </w:rPr>
      </w:pPr>
      <w:r w:rsidRPr="002C36F8">
        <w:rPr>
          <w:rFonts w:ascii="Times New Roman" w:hAnsi="Times New Roman" w:cs="Times New Roman"/>
          <w:i/>
          <w:sz w:val="24"/>
          <w:szCs w:val="24"/>
        </w:rPr>
        <w:t xml:space="preserve">3.1.3.2.4 </w:t>
      </w:r>
      <w:r w:rsidR="0089314C" w:rsidRPr="002C36F8">
        <w:rPr>
          <w:rFonts w:ascii="Times New Roman" w:hAnsi="Times New Roman" w:cs="Times New Roman"/>
          <w:i/>
          <w:sz w:val="24"/>
          <w:szCs w:val="24"/>
        </w:rPr>
        <w:t>Електроснабдяване на стационарни самолети</w:t>
      </w:r>
    </w:p>
    <w:p w14:paraId="718D36C2" w14:textId="77777777" w:rsidR="00D345A8" w:rsidRPr="002C36F8" w:rsidRDefault="00D345A8" w:rsidP="00B97336">
      <w:pPr>
        <w:widowControl w:val="0"/>
        <w:spacing w:after="0" w:line="240" w:lineRule="auto"/>
        <w:ind w:firstLine="567"/>
        <w:jc w:val="both"/>
        <w:rPr>
          <w:rFonts w:ascii="Times New Roman" w:eastAsia="Times New Roman" w:hAnsi="Times New Roman" w:cs="Times New Roman"/>
          <w:bCs/>
          <w:color w:val="000000"/>
          <w:sz w:val="24"/>
          <w:szCs w:val="24"/>
          <w:lang w:eastAsia="bg-BG"/>
        </w:rPr>
      </w:pPr>
    </w:p>
    <w:p w14:paraId="517AB792" w14:textId="77777777" w:rsidR="0089314C" w:rsidRPr="002C36F8" w:rsidRDefault="0089314C" w:rsidP="00B97336">
      <w:pPr>
        <w:widowControl w:val="0"/>
        <w:spacing w:after="0" w:line="240" w:lineRule="auto"/>
        <w:ind w:firstLine="567"/>
        <w:jc w:val="both"/>
        <w:rPr>
          <w:rFonts w:ascii="Times New Roman" w:eastAsia="Times New Roman" w:hAnsi="Times New Roman" w:cs="Times New Roman"/>
          <w:bCs/>
          <w:color w:val="000000"/>
          <w:sz w:val="24"/>
          <w:szCs w:val="24"/>
          <w:lang w:eastAsia="bg-BG"/>
        </w:rPr>
      </w:pPr>
      <w:r w:rsidRPr="002C36F8">
        <w:rPr>
          <w:rFonts w:ascii="Times New Roman" w:eastAsia="Times New Roman" w:hAnsi="Times New Roman" w:cs="Times New Roman"/>
          <w:bCs/>
          <w:color w:val="000000"/>
          <w:sz w:val="24"/>
          <w:szCs w:val="24"/>
          <w:lang w:eastAsia="bg-BG"/>
        </w:rPr>
        <w:t xml:space="preserve">Обхватът на услугите по наземно обслужване се регламентира </w:t>
      </w:r>
      <w:r w:rsidR="000472C3">
        <w:rPr>
          <w:rFonts w:ascii="Times New Roman" w:eastAsia="Times New Roman" w:hAnsi="Times New Roman" w:cs="Times New Roman"/>
          <w:bCs/>
          <w:color w:val="000000"/>
          <w:sz w:val="24"/>
          <w:szCs w:val="24"/>
          <w:lang w:eastAsia="bg-BG"/>
        </w:rPr>
        <w:t>с</w:t>
      </w:r>
      <w:r w:rsidR="000472C3" w:rsidRPr="002C36F8">
        <w:rPr>
          <w:rFonts w:ascii="Times New Roman" w:eastAsia="Times New Roman" w:hAnsi="Times New Roman" w:cs="Times New Roman"/>
          <w:bCs/>
          <w:color w:val="000000"/>
          <w:sz w:val="24"/>
          <w:szCs w:val="24"/>
          <w:lang w:eastAsia="bg-BG"/>
        </w:rPr>
        <w:t xml:space="preserve"> </w:t>
      </w:r>
      <w:r w:rsidR="000472C3">
        <w:rPr>
          <w:rFonts w:ascii="Times New Roman" w:eastAsia="Times New Roman" w:hAnsi="Times New Roman" w:cs="Times New Roman"/>
          <w:bCs/>
          <w:color w:val="000000"/>
          <w:sz w:val="24"/>
          <w:szCs w:val="24"/>
          <w:lang w:eastAsia="bg-BG"/>
        </w:rPr>
        <w:t>Н</w:t>
      </w:r>
      <w:r w:rsidR="000472C3" w:rsidRPr="002C36F8">
        <w:rPr>
          <w:rFonts w:ascii="Times New Roman" w:eastAsia="Times New Roman" w:hAnsi="Times New Roman" w:cs="Times New Roman"/>
          <w:bCs/>
          <w:color w:val="000000"/>
          <w:sz w:val="24"/>
          <w:szCs w:val="24"/>
          <w:lang w:eastAsia="bg-BG"/>
        </w:rPr>
        <w:t>аредба</w:t>
      </w:r>
      <w:r w:rsidRPr="002C36F8">
        <w:rPr>
          <w:rFonts w:ascii="Times New Roman" w:eastAsia="Times New Roman" w:hAnsi="Times New Roman" w:cs="Times New Roman"/>
          <w:bCs/>
          <w:color w:val="000000"/>
          <w:sz w:val="24"/>
          <w:szCs w:val="24"/>
          <w:lang w:eastAsia="bg-BG"/>
        </w:rPr>
        <w:t xml:space="preserve"> № 20 от 24.11.2006 г. за удостоверяване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w:t>
      </w:r>
    </w:p>
    <w:p w14:paraId="6BE1490F" w14:textId="77777777" w:rsidR="0089314C" w:rsidRPr="002C36F8" w:rsidRDefault="0089314C" w:rsidP="00B97336">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Летищните оператори, които в общия случай са и оператори по наземно обслужване, </w:t>
      </w:r>
      <w:r w:rsidRPr="003148FF">
        <w:rPr>
          <w:rFonts w:ascii="Times New Roman" w:eastAsia="Times New Roman" w:hAnsi="Times New Roman" w:cs="Times New Roman"/>
          <w:color w:val="000000"/>
          <w:sz w:val="24"/>
          <w:szCs w:val="24"/>
          <w:lang w:eastAsia="bg-BG"/>
        </w:rPr>
        <w:t>предоставят електрозахранване</w:t>
      </w:r>
      <w:r w:rsidRPr="002C36F8">
        <w:rPr>
          <w:rFonts w:ascii="Times New Roman" w:eastAsia="Times New Roman" w:hAnsi="Times New Roman" w:cs="Times New Roman"/>
          <w:color w:val="000000"/>
          <w:sz w:val="24"/>
          <w:szCs w:val="24"/>
          <w:lang w:eastAsia="bg-BG"/>
        </w:rPr>
        <w:t xml:space="preserve"> и отопление/охлаждане на салона на самолетите като елемент от общия пакет на наземното обслужване или по отделна заявка от авиопревозвачите.</w:t>
      </w:r>
    </w:p>
    <w:p w14:paraId="3CBCA94E" w14:textId="77777777" w:rsidR="0089314C" w:rsidRPr="002C36F8" w:rsidRDefault="0089314C" w:rsidP="00D345A8">
      <w:pPr>
        <w:widowControl w:val="0"/>
        <w:spacing w:after="0" w:line="240" w:lineRule="auto"/>
        <w:ind w:firstLine="567"/>
        <w:jc w:val="both"/>
        <w:rPr>
          <w:rFonts w:ascii="Times New Roman" w:hAnsi="Times New Roman" w:cs="Times New Roman"/>
          <w:sz w:val="24"/>
          <w:szCs w:val="24"/>
          <w:shd w:val="clear" w:color="auto" w:fill="FFFFFF"/>
        </w:rPr>
      </w:pPr>
    </w:p>
    <w:p w14:paraId="2CB7DBB2" w14:textId="77777777" w:rsidR="00D345A8" w:rsidRPr="002C36F8" w:rsidRDefault="00D345A8" w:rsidP="0073243F">
      <w:pPr>
        <w:widowControl w:val="0"/>
        <w:spacing w:after="0" w:line="240" w:lineRule="auto"/>
        <w:jc w:val="both"/>
        <w:rPr>
          <w:rFonts w:ascii="Times New Roman" w:hAnsi="Times New Roman" w:cs="Times New Roman"/>
          <w:sz w:val="24"/>
          <w:szCs w:val="24"/>
          <w:shd w:val="clear" w:color="auto" w:fill="FFFFFF"/>
        </w:rPr>
      </w:pPr>
    </w:p>
    <w:p w14:paraId="247404A5" w14:textId="77777777" w:rsidR="0089314C" w:rsidRPr="002C36F8" w:rsidRDefault="000443D2" w:rsidP="000443D2">
      <w:pPr>
        <w:widowControl w:val="0"/>
        <w:spacing w:after="0" w:line="240" w:lineRule="auto"/>
        <w:jc w:val="both"/>
        <w:rPr>
          <w:rFonts w:ascii="Times New Roman" w:hAnsi="Times New Roman" w:cs="Times New Roman"/>
          <w:b/>
          <w:i/>
          <w:sz w:val="24"/>
          <w:szCs w:val="24"/>
          <w:u w:val="single"/>
          <w:shd w:val="clear" w:color="auto" w:fill="FFFFFF"/>
        </w:rPr>
      </w:pPr>
      <w:r w:rsidRPr="002C36F8">
        <w:rPr>
          <w:rFonts w:ascii="Times New Roman" w:hAnsi="Times New Roman" w:cs="Times New Roman"/>
          <w:b/>
          <w:i/>
          <w:sz w:val="24"/>
          <w:szCs w:val="24"/>
          <w:u w:val="single"/>
          <w:shd w:val="clear" w:color="auto" w:fill="FFFFFF"/>
        </w:rPr>
        <w:t xml:space="preserve">3.2 </w:t>
      </w:r>
      <w:r w:rsidR="0089314C" w:rsidRPr="002C36F8">
        <w:rPr>
          <w:rFonts w:ascii="Times New Roman" w:hAnsi="Times New Roman" w:cs="Times New Roman"/>
          <w:b/>
          <w:i/>
          <w:sz w:val="24"/>
          <w:szCs w:val="24"/>
          <w:u w:val="single"/>
          <w:shd w:val="clear" w:color="auto" w:fill="FFFFFF"/>
        </w:rPr>
        <w:t>Законодателна рамка - природен газ (втечнен и компресиран), втечнен нефтен газ</w:t>
      </w:r>
    </w:p>
    <w:p w14:paraId="11E304A3" w14:textId="77777777" w:rsidR="0089314C" w:rsidRPr="002C36F8" w:rsidRDefault="0089314C" w:rsidP="00D345A8">
      <w:pPr>
        <w:widowControl w:val="0"/>
        <w:spacing w:after="0" w:line="240" w:lineRule="auto"/>
        <w:ind w:right="20" w:firstLine="567"/>
        <w:jc w:val="both"/>
        <w:rPr>
          <w:rFonts w:ascii="Times New Roman" w:eastAsia="Times New Roman" w:hAnsi="Times New Roman" w:cs="Times New Roman"/>
          <w:i/>
          <w:color w:val="000000"/>
          <w:sz w:val="24"/>
          <w:szCs w:val="24"/>
          <w:lang w:eastAsia="bg-BG"/>
        </w:rPr>
      </w:pPr>
    </w:p>
    <w:p w14:paraId="4D359AC2" w14:textId="77777777" w:rsidR="0089314C" w:rsidRPr="002C36F8" w:rsidRDefault="000443D2" w:rsidP="000443D2">
      <w:pPr>
        <w:widowControl w:val="0"/>
        <w:spacing w:after="0" w:line="240" w:lineRule="auto"/>
        <w:ind w:right="20"/>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3.2.1 </w:t>
      </w:r>
      <w:r w:rsidR="0089314C" w:rsidRPr="002C36F8">
        <w:rPr>
          <w:rFonts w:ascii="Times New Roman" w:eastAsia="Times New Roman" w:hAnsi="Times New Roman" w:cs="Times New Roman"/>
          <w:i/>
          <w:color w:val="000000"/>
          <w:sz w:val="24"/>
          <w:szCs w:val="24"/>
          <w:lang w:eastAsia="bg-BG"/>
        </w:rPr>
        <w:t xml:space="preserve">Акцизни ставки </w:t>
      </w:r>
    </w:p>
    <w:p w14:paraId="1C7EF180" w14:textId="77777777" w:rsidR="00D345A8" w:rsidRPr="002C36F8" w:rsidRDefault="00D345A8" w:rsidP="00D345A8">
      <w:pPr>
        <w:widowControl w:val="0"/>
        <w:spacing w:after="0" w:line="240" w:lineRule="auto"/>
        <w:ind w:right="20" w:firstLine="567"/>
        <w:jc w:val="both"/>
        <w:rPr>
          <w:rFonts w:ascii="Times New Roman" w:eastAsia="Times New Roman" w:hAnsi="Times New Roman" w:cs="Times New Roman"/>
          <w:i/>
          <w:color w:val="000000"/>
          <w:sz w:val="24"/>
          <w:szCs w:val="24"/>
          <w:lang w:eastAsia="bg-BG"/>
        </w:rPr>
      </w:pPr>
    </w:p>
    <w:p w14:paraId="4D0379FD" w14:textId="77777777" w:rsidR="0089314C" w:rsidRPr="002C36F8" w:rsidRDefault="0089314C" w:rsidP="00D345A8">
      <w:pPr>
        <w:widowControl w:val="0"/>
        <w:spacing w:after="0" w:line="240" w:lineRule="auto"/>
        <w:ind w:left="20" w:right="2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В действащия Закон за акцизите и данъчните складове е регламентирана намалена акцизна ставка върху природния газ, използван като моторно гориво в размер на 0.85 лв. за 1 гигаджаул. както и нулева акцизна ставка за биогаз използван, като моторно гориво. За втечнения нефтен газ акцизната ставка е 340 лв. на 1000 кг.</w:t>
      </w:r>
    </w:p>
    <w:p w14:paraId="196BCB7C" w14:textId="77777777" w:rsidR="0089314C" w:rsidRPr="002C36F8" w:rsidRDefault="0089314C" w:rsidP="00D345A8">
      <w:pPr>
        <w:widowControl w:val="0"/>
        <w:spacing w:after="0" w:line="240" w:lineRule="auto"/>
        <w:ind w:left="20" w:right="2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Основната цел при прилагането на тези намалени ставки е именно намаляване на вредните емисии на въглероден диоксид</w:t>
      </w:r>
      <w:r w:rsidR="000472C3">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 тъй като използването на природен газ и биогаз влияе по-благоприятно върху околната среда и отделянето на въглероден двуокис е значително по-малко в сравнение с използването на други енергийни продукти.</w:t>
      </w:r>
    </w:p>
    <w:p w14:paraId="576A0F17" w14:textId="77777777" w:rsidR="0089314C" w:rsidRPr="002C36F8" w:rsidRDefault="0089314C" w:rsidP="00D345A8">
      <w:pPr>
        <w:spacing w:after="0" w:line="240" w:lineRule="auto"/>
        <w:ind w:firstLine="567"/>
        <w:jc w:val="both"/>
        <w:outlineLvl w:val="2"/>
        <w:rPr>
          <w:rFonts w:ascii="Times New Roman" w:eastAsia="Times New Roman" w:hAnsi="Times New Roman" w:cs="Times New Roman"/>
          <w:sz w:val="24"/>
          <w:szCs w:val="24"/>
          <w:lang w:eastAsia="bg-BG"/>
        </w:rPr>
      </w:pPr>
    </w:p>
    <w:p w14:paraId="1AD1C44B" w14:textId="77777777" w:rsidR="0089314C" w:rsidRPr="002C36F8" w:rsidRDefault="000443D2" w:rsidP="000443D2">
      <w:pPr>
        <w:spacing w:after="0" w:line="240" w:lineRule="auto"/>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3.2.2 </w:t>
      </w:r>
      <w:r w:rsidR="0089314C" w:rsidRPr="002C36F8">
        <w:rPr>
          <w:rFonts w:ascii="Times New Roman" w:eastAsia="Times New Roman" w:hAnsi="Times New Roman" w:cs="Times New Roman"/>
          <w:i/>
          <w:sz w:val="24"/>
          <w:szCs w:val="24"/>
          <w:lang w:eastAsia="bg-BG"/>
        </w:rPr>
        <w:t xml:space="preserve">Европейски изисквания </w:t>
      </w:r>
    </w:p>
    <w:p w14:paraId="7C642A0A" w14:textId="77777777" w:rsidR="00D345A8" w:rsidRPr="002C36F8" w:rsidRDefault="00D345A8" w:rsidP="00D345A8">
      <w:pPr>
        <w:spacing w:after="0" w:line="240" w:lineRule="auto"/>
        <w:ind w:firstLine="567"/>
        <w:jc w:val="both"/>
        <w:outlineLvl w:val="2"/>
        <w:rPr>
          <w:rFonts w:ascii="Times New Roman" w:eastAsia="Times New Roman" w:hAnsi="Times New Roman" w:cs="Times New Roman"/>
          <w:i/>
          <w:sz w:val="24"/>
          <w:szCs w:val="24"/>
          <w:lang w:eastAsia="bg-BG"/>
        </w:rPr>
      </w:pPr>
    </w:p>
    <w:p w14:paraId="29ADB5B3" w14:textId="77777777" w:rsidR="0089314C" w:rsidRPr="002C36F8" w:rsidRDefault="000443D2" w:rsidP="000443D2">
      <w:pPr>
        <w:spacing w:after="0" w:line="240" w:lineRule="auto"/>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3.2.2.1 </w:t>
      </w:r>
      <w:r w:rsidR="0089314C" w:rsidRPr="002C36F8">
        <w:rPr>
          <w:rFonts w:ascii="Times New Roman" w:eastAsia="Times New Roman" w:hAnsi="Times New Roman" w:cs="Times New Roman"/>
          <w:i/>
          <w:sz w:val="24"/>
          <w:szCs w:val="24"/>
          <w:lang w:eastAsia="bg-BG"/>
        </w:rPr>
        <w:t>Одобряването на типа на МПС, задвижвани с втечнен нефтен газ или сгъстен природен газ</w:t>
      </w:r>
    </w:p>
    <w:p w14:paraId="08205572" w14:textId="77777777" w:rsidR="00D345A8" w:rsidRPr="002C36F8" w:rsidRDefault="00D345A8" w:rsidP="00D345A8">
      <w:pPr>
        <w:spacing w:after="0" w:line="240" w:lineRule="auto"/>
        <w:ind w:firstLine="567"/>
        <w:jc w:val="both"/>
        <w:outlineLvl w:val="2"/>
        <w:rPr>
          <w:rFonts w:ascii="Times New Roman" w:eastAsia="Times New Roman" w:hAnsi="Times New Roman" w:cs="Times New Roman"/>
          <w:i/>
          <w:sz w:val="24"/>
          <w:szCs w:val="24"/>
          <w:lang w:eastAsia="bg-BG"/>
        </w:rPr>
      </w:pPr>
    </w:p>
    <w:p w14:paraId="5B7A997B" w14:textId="77777777" w:rsidR="0089314C" w:rsidRPr="002800B2" w:rsidRDefault="0089314C" w:rsidP="00D345A8">
      <w:pPr>
        <w:spacing w:after="0" w:line="240" w:lineRule="auto"/>
        <w:ind w:firstLine="567"/>
        <w:jc w:val="both"/>
        <w:outlineLvl w:val="2"/>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В европейското законодателство за </w:t>
      </w:r>
      <w:r w:rsidR="00B35B1A">
        <w:rPr>
          <w:rFonts w:ascii="Times New Roman" w:eastAsia="Times New Roman" w:hAnsi="Times New Roman" w:cs="Times New Roman"/>
          <w:sz w:val="24"/>
          <w:szCs w:val="24"/>
          <w:lang w:eastAsia="bg-BG"/>
        </w:rPr>
        <w:t>одобряване</w:t>
      </w:r>
      <w:r w:rsidRPr="002C36F8">
        <w:rPr>
          <w:rFonts w:ascii="Times New Roman" w:eastAsia="Times New Roman" w:hAnsi="Times New Roman" w:cs="Times New Roman"/>
          <w:sz w:val="24"/>
          <w:szCs w:val="24"/>
          <w:lang w:eastAsia="bg-BG"/>
        </w:rPr>
        <w:t xml:space="preserve"> на типа</w:t>
      </w:r>
      <w:r w:rsidR="00406ABF">
        <w:rPr>
          <w:rFonts w:ascii="Times New Roman" w:eastAsia="Times New Roman" w:hAnsi="Times New Roman" w:cs="Times New Roman"/>
          <w:sz w:val="24"/>
          <w:szCs w:val="24"/>
          <w:lang w:eastAsia="bg-BG"/>
        </w:rPr>
        <w:t xml:space="preserve"> са предвидени изисквания за моторни превозни средства</w:t>
      </w:r>
      <w:r w:rsidRPr="002C36F8">
        <w:rPr>
          <w:rFonts w:ascii="Times New Roman" w:eastAsia="Times New Roman" w:hAnsi="Times New Roman" w:cs="Times New Roman"/>
          <w:sz w:val="24"/>
          <w:szCs w:val="24"/>
          <w:lang w:eastAsia="bg-BG"/>
        </w:rPr>
        <w:t>, които се задвижват с втечнен нефтен газ или сгъстен природен газ. Нормативните актове, в които се съдържат изисквания към тези видове горива са Наредба № 60 от 2009 г., Правило № 67 на ООН/ИКЕ – Единни предписания относно: I. Одобряване на специфично оборудване на моторни превозни средства, използващи втечнени нефтени газове в тяхната система на задвижване. II. Одобряване на превозно средство, снабдено със специфично оборудване за използване на втечнени нефтени газове като гориво в техните двигатели, по отношение на монтажа на такова</w:t>
      </w:r>
      <w:r w:rsidRPr="002C36F8">
        <w:rPr>
          <w:rFonts w:ascii="Times New Roman" w:eastAsia="Times New Roman" w:hAnsi="Times New Roman" w:cs="Times New Roman"/>
          <w:i/>
          <w:sz w:val="24"/>
          <w:szCs w:val="24"/>
          <w:lang w:eastAsia="bg-BG"/>
        </w:rPr>
        <w:t xml:space="preserve"> </w:t>
      </w:r>
      <w:r w:rsidRPr="002C36F8">
        <w:rPr>
          <w:rFonts w:ascii="Times New Roman" w:eastAsia="Times New Roman" w:hAnsi="Times New Roman" w:cs="Times New Roman"/>
          <w:sz w:val="24"/>
          <w:szCs w:val="24"/>
          <w:lang w:eastAsia="bg-BG"/>
        </w:rPr>
        <w:t>оборудване</w:t>
      </w:r>
      <w:r w:rsidRPr="008045CD">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 xml:space="preserve">(ОВ, </w:t>
      </w:r>
      <w:r w:rsidRPr="002C36F8">
        <w:rPr>
          <w:rFonts w:ascii="Times New Roman" w:eastAsia="Times New Roman" w:hAnsi="Times New Roman" w:cs="Times New Roman"/>
          <w:sz w:val="24"/>
          <w:szCs w:val="24"/>
          <w:lang w:val="en-US" w:eastAsia="bg-BG"/>
        </w:rPr>
        <w:t>L</w:t>
      </w:r>
      <w:r w:rsidRPr="008045CD">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72 от 14.03.2008 г.), Правило № 110 на ООН/ИКЕ – Единни предписания относно одобрението на: I. Специалните компоненти на моторните превозни средства със системи за задвижване, работещи със сгъстен природен газ. II. Превозните средства, по отношение на</w:t>
      </w:r>
      <w:r w:rsidRPr="008045CD">
        <w:rPr>
          <w:rFonts w:ascii="Times New Roman" w:eastAsia="Times New Roman" w:hAnsi="Times New Roman" w:cs="Times New Roman"/>
          <w:sz w:val="24"/>
          <w:szCs w:val="24"/>
          <w:lang w:eastAsia="bg-BG"/>
        </w:rPr>
        <w:t xml:space="preserve"> монтирането на </w:t>
      </w:r>
      <w:r w:rsidRPr="002C36F8">
        <w:rPr>
          <w:rFonts w:ascii="Times New Roman" w:eastAsia="Times New Roman" w:hAnsi="Times New Roman" w:cs="Times New Roman"/>
          <w:sz w:val="24"/>
          <w:szCs w:val="24"/>
          <w:lang w:eastAsia="bg-BG"/>
        </w:rPr>
        <w:t xml:space="preserve">специални компоненти, чийто тип е одобрен, за системи за задвижване, работещи със сгъстен природен газ (ОВ, L 166 от 30.06.2015 г.) и Регламент (ЕО) № 692/2008. В Наредба № 60 от 2009 г. са включени </w:t>
      </w:r>
      <w:r w:rsidRPr="002C36F8">
        <w:rPr>
          <w:rFonts w:ascii="Times New Roman" w:eastAsia="Times New Roman" w:hAnsi="Times New Roman" w:cs="Times New Roman"/>
          <w:sz w:val="24"/>
          <w:szCs w:val="24"/>
          <w:lang w:eastAsia="bg-BG"/>
        </w:rPr>
        <w:lastRenderedPageBreak/>
        <w:t xml:space="preserve">препратки към двете цитирани правила на ООН/ИКЕ. Също така Регламент (ЕО) № 692/2008 препраща към Правило № 83 на ООН/ИКЕ, в чийто Раздел 1 на Приложение № 12 се съдържат общи изисквания за изпитване на превозни средства, задвижвани от </w:t>
      </w:r>
      <w:r w:rsidRPr="002800B2">
        <w:rPr>
          <w:rFonts w:ascii="Times New Roman" w:eastAsia="Times New Roman" w:hAnsi="Times New Roman" w:cs="Times New Roman"/>
          <w:sz w:val="24"/>
          <w:szCs w:val="24"/>
          <w:lang w:eastAsia="bg-BG"/>
        </w:rPr>
        <w:t>втечнен нефтен газ или сгъстен природен газ.</w:t>
      </w:r>
    </w:p>
    <w:p w14:paraId="095EDDD3" w14:textId="77777777" w:rsidR="0089314C" w:rsidRPr="002800B2" w:rsidRDefault="0089314C" w:rsidP="00D345A8">
      <w:pPr>
        <w:spacing w:after="0" w:line="240" w:lineRule="auto"/>
        <w:ind w:firstLine="567"/>
        <w:jc w:val="both"/>
        <w:outlineLvl w:val="2"/>
        <w:rPr>
          <w:rFonts w:ascii="Times New Roman" w:eastAsia="Times New Roman" w:hAnsi="Times New Roman" w:cs="Times New Roman"/>
          <w:sz w:val="24"/>
          <w:szCs w:val="24"/>
          <w:lang w:eastAsia="bg-BG"/>
        </w:rPr>
      </w:pPr>
      <w:r w:rsidRPr="002800B2">
        <w:rPr>
          <w:rFonts w:ascii="Times New Roman" w:eastAsia="Times New Roman" w:hAnsi="Times New Roman" w:cs="Times New Roman"/>
          <w:sz w:val="24"/>
          <w:szCs w:val="24"/>
          <w:lang w:eastAsia="bg-BG"/>
        </w:rPr>
        <w:t>В чл. 3 от Регламент (ЕС) № 168/2013 са разписани определения свързани с превозните средства, задвижвани с втечнен нефтен газ или сгъстен природен газ, като дефиниции за „едногоривно превозно средство, работещо с газообразно гориво“, „втечнен нефтен газ“, „природен газ“ и др.</w:t>
      </w:r>
    </w:p>
    <w:p w14:paraId="1770AED6" w14:textId="77777777" w:rsidR="0089314C" w:rsidRPr="002C36F8" w:rsidRDefault="0089314C" w:rsidP="00D345A8">
      <w:pPr>
        <w:spacing w:after="0" w:line="240" w:lineRule="auto"/>
        <w:ind w:firstLine="567"/>
        <w:jc w:val="both"/>
        <w:outlineLvl w:val="2"/>
        <w:rPr>
          <w:rFonts w:ascii="Times New Roman" w:eastAsia="Times New Roman" w:hAnsi="Times New Roman" w:cs="Times New Roman"/>
          <w:sz w:val="24"/>
          <w:szCs w:val="24"/>
          <w:lang w:eastAsia="bg-BG"/>
        </w:rPr>
      </w:pPr>
      <w:r w:rsidRPr="002800B2">
        <w:rPr>
          <w:rFonts w:ascii="Times New Roman" w:eastAsia="Times New Roman" w:hAnsi="Times New Roman" w:cs="Times New Roman"/>
          <w:sz w:val="24"/>
          <w:szCs w:val="24"/>
          <w:lang w:eastAsia="bg-BG"/>
        </w:rPr>
        <w:t>В Делегиран регламент (ЕС) № 134/2014 на Комисията от 2013 година за допълнение на Регламент (ЕС) № 168/2013 на Европейския парламент и на Съвета във връзка с изискванията по отношение на екологичните характеристики и характеристиките на задвижването и за изменение на приложение V от него (Делегиран регламент (ЕС) № 134/2014) (OB L 53, 21.2.2014 г.) са регламентирани технически изисквания за изпитване на превозни средства от категория L, работещи с втечнен нефтен газ или природен газ.</w:t>
      </w:r>
      <w:r w:rsidRPr="002800B2">
        <w:rPr>
          <w:rFonts w:ascii="Times New Roman" w:hAnsi="Times New Roman" w:cs="Times New Roman"/>
          <w:sz w:val="24"/>
          <w:szCs w:val="24"/>
        </w:rPr>
        <w:t xml:space="preserve"> </w:t>
      </w:r>
      <w:r w:rsidRPr="002800B2">
        <w:rPr>
          <w:rFonts w:ascii="Times New Roman" w:eastAsia="Times New Roman" w:hAnsi="Times New Roman" w:cs="Times New Roman"/>
          <w:sz w:val="24"/>
          <w:szCs w:val="24"/>
          <w:lang w:eastAsia="bg-BG"/>
        </w:rPr>
        <w:t>В регламента също така е включено определение за „Превозно средство, работещо с алтернативно гориво“.</w:t>
      </w:r>
    </w:p>
    <w:p w14:paraId="58F010A5" w14:textId="77777777" w:rsidR="00D345A8" w:rsidRPr="002C36F8" w:rsidRDefault="00D345A8" w:rsidP="00D345A8">
      <w:pPr>
        <w:spacing w:after="0" w:line="240" w:lineRule="auto"/>
        <w:ind w:firstLine="567"/>
        <w:jc w:val="both"/>
        <w:outlineLvl w:val="2"/>
        <w:rPr>
          <w:rFonts w:ascii="Times New Roman" w:eastAsia="Times New Roman" w:hAnsi="Times New Roman" w:cs="Times New Roman"/>
          <w:i/>
          <w:sz w:val="24"/>
          <w:szCs w:val="24"/>
          <w:lang w:eastAsia="bg-BG"/>
        </w:rPr>
      </w:pPr>
    </w:p>
    <w:p w14:paraId="0CBB8008" w14:textId="77777777" w:rsidR="0089314C" w:rsidRPr="002C36F8" w:rsidRDefault="000443D2" w:rsidP="000443D2">
      <w:pPr>
        <w:spacing w:after="0" w:line="240" w:lineRule="auto"/>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3.2.3 </w:t>
      </w:r>
      <w:r w:rsidR="0089314C" w:rsidRPr="002C36F8">
        <w:rPr>
          <w:rFonts w:ascii="Times New Roman" w:eastAsia="Times New Roman" w:hAnsi="Times New Roman" w:cs="Times New Roman"/>
          <w:i/>
          <w:sz w:val="24"/>
          <w:szCs w:val="24"/>
          <w:lang w:eastAsia="bg-BG"/>
        </w:rPr>
        <w:t>Национални изисквания</w:t>
      </w:r>
    </w:p>
    <w:p w14:paraId="102B7093" w14:textId="77777777" w:rsidR="00D345A8" w:rsidRPr="002C36F8" w:rsidRDefault="00D345A8" w:rsidP="00D345A8">
      <w:pPr>
        <w:spacing w:after="0" w:line="240" w:lineRule="auto"/>
        <w:ind w:firstLine="567"/>
        <w:jc w:val="both"/>
        <w:outlineLvl w:val="2"/>
        <w:rPr>
          <w:rFonts w:ascii="Times New Roman" w:eastAsia="Times New Roman" w:hAnsi="Times New Roman" w:cs="Times New Roman"/>
          <w:i/>
          <w:sz w:val="24"/>
          <w:szCs w:val="24"/>
          <w:lang w:eastAsia="bg-BG"/>
        </w:rPr>
      </w:pPr>
    </w:p>
    <w:p w14:paraId="6D8A7DAF" w14:textId="77777777" w:rsidR="0089314C" w:rsidRPr="002C36F8" w:rsidRDefault="000443D2" w:rsidP="000443D2">
      <w:pPr>
        <w:spacing w:after="0" w:line="240" w:lineRule="auto"/>
        <w:jc w:val="both"/>
        <w:outlineLvl w:val="2"/>
        <w:rPr>
          <w:rFonts w:ascii="Times New Roman" w:eastAsia="Times New Roman" w:hAnsi="Times New Roman" w:cs="Times New Roman"/>
          <w:i/>
          <w:sz w:val="24"/>
          <w:szCs w:val="24"/>
          <w:lang w:eastAsia="bg-BG"/>
        </w:rPr>
      </w:pPr>
      <w:r w:rsidRPr="002C36F8">
        <w:rPr>
          <w:rFonts w:ascii="Times New Roman" w:eastAsia="Times New Roman" w:hAnsi="Times New Roman" w:cs="Times New Roman"/>
          <w:i/>
          <w:sz w:val="24"/>
          <w:szCs w:val="24"/>
          <w:lang w:eastAsia="bg-BG"/>
        </w:rPr>
        <w:t xml:space="preserve">3.2.3.1 </w:t>
      </w:r>
      <w:r w:rsidR="0089314C" w:rsidRPr="002C36F8">
        <w:rPr>
          <w:rFonts w:ascii="Times New Roman" w:eastAsia="Times New Roman" w:hAnsi="Times New Roman" w:cs="Times New Roman"/>
          <w:i/>
          <w:sz w:val="24"/>
          <w:szCs w:val="24"/>
          <w:lang w:eastAsia="bg-BG"/>
        </w:rPr>
        <w:t>Монтиране на уредби за работа на двигателя с втечнен нефтен газ (LPG) или сгъстен природен газ (CNG) в моторните превозни средства</w:t>
      </w:r>
    </w:p>
    <w:p w14:paraId="75048AF2" w14:textId="77777777" w:rsidR="0089314C" w:rsidRPr="002C36F8" w:rsidRDefault="0089314C" w:rsidP="00D345A8">
      <w:pPr>
        <w:spacing w:after="0" w:line="240" w:lineRule="auto"/>
        <w:ind w:firstLine="567"/>
        <w:jc w:val="both"/>
        <w:rPr>
          <w:rFonts w:ascii="Times New Roman" w:eastAsia="Times New Roman" w:hAnsi="Times New Roman" w:cs="Times New Roman"/>
          <w:sz w:val="24"/>
          <w:szCs w:val="24"/>
          <w:lang w:eastAsia="bg-BG"/>
        </w:rPr>
      </w:pPr>
    </w:p>
    <w:p w14:paraId="4A53672A" w14:textId="77777777" w:rsidR="0089314C" w:rsidRPr="008045CD" w:rsidRDefault="0089314C" w:rsidP="00B97336">
      <w:pPr>
        <w:spacing w:after="0" w:line="270" w:lineRule="atLeast"/>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В Наредба № Н-3 от 18.02.2013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(обн., ДВ, бр. 21 от 2013 г.) са разписани национални изисквания за индивидуално одобряване и изменение в конструкцията на регистрирани ППС. В чл. 20 от наредбата са определени изискванията, които трябва да се спазват при допълнително монтиране на уредби за работа на двигателя с втечнен нефтен газ или сгъстен природен газ в моторните превозни средства. Изискванията към газовите уредби са определени в приложение № 1 към чл. 20, ал. 1</w:t>
      </w:r>
      <w:r w:rsidR="000472C3">
        <w:rPr>
          <w:rFonts w:ascii="Times New Roman" w:eastAsia="Times New Roman" w:hAnsi="Times New Roman" w:cs="Times New Roman"/>
          <w:sz w:val="24"/>
          <w:szCs w:val="24"/>
          <w:lang w:eastAsia="bg-BG"/>
        </w:rPr>
        <w:t xml:space="preserve"> от наредбата</w:t>
      </w:r>
      <w:r w:rsidRPr="002C36F8">
        <w:rPr>
          <w:rFonts w:ascii="Times New Roman" w:eastAsia="Times New Roman" w:hAnsi="Times New Roman" w:cs="Times New Roman"/>
          <w:sz w:val="24"/>
          <w:szCs w:val="24"/>
          <w:lang w:eastAsia="bg-BG"/>
        </w:rPr>
        <w:t>. Също така е създаден образец на протокол за допълнително монтиране на газови уредби в моторните превозни средства, който се издава от лицата, които монтират уредбите. С образеца на протокол са уеднаквени документите, които се издават при допълнително монтиране на газови уредби и е улеснена работата на лицата, които извършват първоначалната проверка на тези уредби. В чл. 26, ал. 3 – 5 са уредени изискванията към лицата, които извършват първоначалната проверка на газовите уредби в автомобилите. Към настоящия момент първоначалната проверка на газовите уредби се извършва от лица, които са акредитирани по стандарт БДС EN ISO/IEC 17020 „Общи критерии за дейността на различните видове органи за контрол“ (ЕN ISO/IEC 17020). Сертификатът за акредитация следва да е издаден от изпълнителния директор на Изпълнителна агенция „Българска служба за акредитация“ или от национален орган по акредитация на държава – членка на Европейския съюз.</w:t>
      </w:r>
      <w:r w:rsidRPr="008045CD">
        <w:rPr>
          <w:rFonts w:ascii="Times New Roman" w:eastAsia="Times New Roman" w:hAnsi="Times New Roman" w:cs="Times New Roman"/>
          <w:sz w:val="24"/>
          <w:szCs w:val="24"/>
          <w:lang w:eastAsia="bg-BG"/>
        </w:rPr>
        <w:t>.</w:t>
      </w:r>
    </w:p>
    <w:p w14:paraId="7CA99CD5" w14:textId="77777777" w:rsidR="0089314C" w:rsidRPr="002C36F8" w:rsidRDefault="0089314C" w:rsidP="00B97336">
      <w:pPr>
        <w:widowControl w:val="0"/>
        <w:spacing w:after="0" w:line="274" w:lineRule="exact"/>
        <w:ind w:firstLine="567"/>
        <w:jc w:val="both"/>
        <w:rPr>
          <w:rFonts w:ascii="Times New Roman" w:hAnsi="Times New Roman" w:cs="Times New Roman"/>
          <w:b/>
          <w:sz w:val="24"/>
          <w:szCs w:val="24"/>
        </w:rPr>
      </w:pPr>
    </w:p>
    <w:p w14:paraId="11F28AC6" w14:textId="77777777" w:rsidR="0089314C" w:rsidRPr="002C36F8" w:rsidRDefault="000443D2" w:rsidP="000443D2">
      <w:pPr>
        <w:widowControl w:val="0"/>
        <w:spacing w:after="0" w:line="274" w:lineRule="exact"/>
        <w:jc w:val="both"/>
        <w:rPr>
          <w:rFonts w:ascii="Times New Roman" w:hAnsi="Times New Roman" w:cs="Times New Roman"/>
          <w:i/>
          <w:sz w:val="24"/>
          <w:szCs w:val="24"/>
        </w:rPr>
      </w:pPr>
      <w:r w:rsidRPr="002C36F8">
        <w:rPr>
          <w:rFonts w:ascii="Times New Roman" w:eastAsia="Times New Roman" w:hAnsi="Times New Roman" w:cs="Times New Roman"/>
          <w:i/>
          <w:sz w:val="24"/>
          <w:szCs w:val="24"/>
          <w:lang w:eastAsia="bg-BG"/>
        </w:rPr>
        <w:t xml:space="preserve">3.2.3.2 </w:t>
      </w:r>
      <w:r w:rsidR="0089314C" w:rsidRPr="002C36F8">
        <w:rPr>
          <w:rFonts w:ascii="Times New Roman" w:hAnsi="Times New Roman" w:cs="Times New Roman"/>
          <w:i/>
          <w:sz w:val="24"/>
          <w:szCs w:val="24"/>
        </w:rPr>
        <w:t>Статут на Зарядна инфраструктура за природен газ</w:t>
      </w:r>
    </w:p>
    <w:p w14:paraId="20C276EB" w14:textId="77777777" w:rsidR="000443D2" w:rsidRPr="002C36F8" w:rsidRDefault="000443D2" w:rsidP="00B97336">
      <w:pPr>
        <w:widowControl w:val="0"/>
        <w:spacing w:after="0" w:line="240" w:lineRule="auto"/>
        <w:ind w:firstLine="567"/>
        <w:jc w:val="both"/>
        <w:rPr>
          <w:rFonts w:ascii="Times New Roman" w:hAnsi="Times New Roman" w:cs="Times New Roman"/>
          <w:b/>
          <w:sz w:val="24"/>
          <w:szCs w:val="24"/>
        </w:rPr>
      </w:pPr>
    </w:p>
    <w:p w14:paraId="5F58D68F" w14:textId="77777777" w:rsidR="0089314C" w:rsidRPr="002C36F8" w:rsidRDefault="0089314C" w:rsidP="00B97336">
      <w:pPr>
        <w:widowControl w:val="0"/>
        <w:spacing w:after="0" w:line="240" w:lineRule="auto"/>
        <w:ind w:firstLine="567"/>
        <w:jc w:val="both"/>
        <w:rPr>
          <w:rFonts w:ascii="Times New Roman" w:hAnsi="Times New Roman" w:cs="Times New Roman"/>
          <w:sz w:val="24"/>
          <w:szCs w:val="24"/>
        </w:rPr>
      </w:pPr>
      <w:r w:rsidRPr="00D21EAB">
        <w:rPr>
          <w:rFonts w:ascii="Times New Roman" w:hAnsi="Times New Roman" w:cs="Times New Roman"/>
          <w:sz w:val="24"/>
          <w:szCs w:val="24"/>
        </w:rPr>
        <w:t>Газозарядните станции</w:t>
      </w:r>
      <w:r w:rsidRPr="002C36F8">
        <w:rPr>
          <w:rFonts w:ascii="Times New Roman" w:hAnsi="Times New Roman" w:cs="Times New Roman"/>
          <w:sz w:val="24"/>
          <w:szCs w:val="24"/>
        </w:rPr>
        <w:t xml:space="preserve"> представляват комплекс от съдове под налягане за съхранение на гориво и тръбна система, като същите </w:t>
      </w:r>
      <w:r w:rsidRPr="00D21EAB">
        <w:rPr>
          <w:rFonts w:ascii="Times New Roman" w:hAnsi="Times New Roman" w:cs="Times New Roman"/>
          <w:sz w:val="24"/>
          <w:szCs w:val="24"/>
        </w:rPr>
        <w:t>отговарят на дефиницията за „строежи“, дад</w:t>
      </w:r>
      <w:r w:rsidRPr="002C36F8">
        <w:rPr>
          <w:rFonts w:ascii="Times New Roman" w:hAnsi="Times New Roman" w:cs="Times New Roman"/>
          <w:sz w:val="24"/>
          <w:szCs w:val="24"/>
        </w:rPr>
        <w:t xml:space="preserve">ена в § 5, т. 38 от Допълнителните разпоредби на Закона за устройство на територията и следва да се категоризират като </w:t>
      </w:r>
      <w:r w:rsidRPr="00D21EAB">
        <w:rPr>
          <w:rFonts w:ascii="Times New Roman" w:hAnsi="Times New Roman" w:cs="Times New Roman"/>
          <w:sz w:val="24"/>
          <w:szCs w:val="24"/>
        </w:rPr>
        <w:t>строежи първа категория</w:t>
      </w:r>
      <w:r w:rsidRPr="002C36F8">
        <w:rPr>
          <w:rFonts w:ascii="Times New Roman" w:hAnsi="Times New Roman" w:cs="Times New Roman"/>
          <w:sz w:val="24"/>
          <w:szCs w:val="24"/>
        </w:rPr>
        <w:t xml:space="preserve"> по смисъла на чл. 137, ал. 1, т. 1, буква “г“ от ЗУТ и чл. 2, ал. 4, т. 1, буква “а“ и буква “д“ от Наредба </w:t>
      </w:r>
      <w:r w:rsidRPr="002C36F8">
        <w:rPr>
          <w:rFonts w:ascii="Times New Roman" w:hAnsi="Times New Roman" w:cs="Times New Roman"/>
          <w:sz w:val="24"/>
          <w:szCs w:val="24"/>
        </w:rPr>
        <w:lastRenderedPageBreak/>
        <w:t>№ 1 от 2003 г. за номенклатурата на видовете строежи (обн., ДВ, бр. 72 от 2003 г.).</w:t>
      </w:r>
    </w:p>
    <w:p w14:paraId="6E2C06D6" w14:textId="77777777" w:rsidR="0089314C" w:rsidRPr="002C36F8" w:rsidRDefault="0089314C" w:rsidP="00B97336">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Изграждането на газозарядните станции е свързано с изграждане и на допълнителни защитни съоръжения, инсталации и съпътстваща инженерна инфраструктура, осигуряващи безопасното ползване на тези строежи. </w:t>
      </w:r>
    </w:p>
    <w:p w14:paraId="2A0F263F" w14:textId="77777777" w:rsidR="0089314C" w:rsidRPr="002C36F8" w:rsidRDefault="0089314C" w:rsidP="00B97336">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Предвид характера на газозарядните станции, криещи опасност от взрив, от значително вредно въздействие върху околната среда и опасност за здравето и живота на хората, при изграждането им следва да се съблюдават изискванията, освен на нормативната уредба по устройство на територията, така и специфичните изисквания на нормативните актове, свързани с опазване на околната среда, с пожарната безопасност и с осигуряване защита на здравето и живота на хората.</w:t>
      </w:r>
    </w:p>
    <w:p w14:paraId="223B04F2" w14:textId="77777777" w:rsidR="00E510F7" w:rsidRPr="00E510F7" w:rsidRDefault="00E510F7" w:rsidP="00E510F7">
      <w:pPr>
        <w:spacing w:after="0" w:line="240" w:lineRule="auto"/>
        <w:jc w:val="both"/>
        <w:rPr>
          <w:rFonts w:ascii="Times New Roman" w:hAnsi="Times New Roman" w:cs="Times New Roman"/>
          <w:i/>
          <w:sz w:val="24"/>
          <w:szCs w:val="24"/>
        </w:rPr>
      </w:pPr>
      <w:r w:rsidRPr="00E510F7">
        <w:rPr>
          <w:rFonts w:ascii="Times New Roman" w:hAnsi="Times New Roman" w:cs="Times New Roman"/>
          <w:i/>
          <w:sz w:val="24"/>
          <w:szCs w:val="24"/>
        </w:rPr>
        <w:t>3.2.3.3</w:t>
      </w:r>
      <w:r>
        <w:rPr>
          <w:rFonts w:ascii="Times New Roman" w:hAnsi="Times New Roman" w:cs="Times New Roman"/>
          <w:b/>
          <w:i/>
          <w:sz w:val="24"/>
          <w:szCs w:val="24"/>
        </w:rPr>
        <w:t xml:space="preserve"> </w:t>
      </w:r>
      <w:r w:rsidRPr="00E510F7">
        <w:rPr>
          <w:rFonts w:ascii="Times New Roman" w:hAnsi="Times New Roman" w:cs="Times New Roman"/>
          <w:i/>
          <w:sz w:val="24"/>
          <w:szCs w:val="24"/>
        </w:rPr>
        <w:t xml:space="preserve">Изисквания за пожарна безопасност към газоснабдителните станции за природен газ </w:t>
      </w:r>
    </w:p>
    <w:p w14:paraId="4D398B62" w14:textId="64DCEA07" w:rsidR="00E510F7" w:rsidRPr="00E510F7" w:rsidRDefault="00E510F7" w:rsidP="00E510F7">
      <w:pPr>
        <w:jc w:val="both"/>
        <w:rPr>
          <w:rFonts w:ascii="Times New Roman" w:hAnsi="Times New Roman" w:cs="Times New Roman"/>
          <w:sz w:val="24"/>
          <w:szCs w:val="24"/>
        </w:rPr>
      </w:pPr>
      <w:r w:rsidRPr="00E66958">
        <w:rPr>
          <w:rFonts w:ascii="Times New Roman" w:hAnsi="Times New Roman" w:cs="Times New Roman"/>
          <w:sz w:val="24"/>
          <w:szCs w:val="24"/>
        </w:rPr>
        <w:t xml:space="preserve">Основните изисквания по отношение проектирането, строителството и функционирането на газоснабдителните станции във връзка с пожарната безопасност са </w:t>
      </w:r>
      <w:r w:rsidR="00110D1D">
        <w:rPr>
          <w:rFonts w:ascii="Times New Roman" w:hAnsi="Times New Roman" w:cs="Times New Roman"/>
          <w:sz w:val="24"/>
          <w:szCs w:val="24"/>
        </w:rPr>
        <w:t>регламентирани</w:t>
      </w:r>
      <w:r w:rsidR="00110D1D" w:rsidRPr="00E66958">
        <w:rPr>
          <w:rFonts w:ascii="Times New Roman" w:hAnsi="Times New Roman" w:cs="Times New Roman"/>
          <w:sz w:val="24"/>
          <w:szCs w:val="24"/>
        </w:rPr>
        <w:t xml:space="preserve"> </w:t>
      </w:r>
      <w:r w:rsidRPr="00E66958">
        <w:rPr>
          <w:rFonts w:ascii="Times New Roman" w:hAnsi="Times New Roman" w:cs="Times New Roman"/>
          <w:sz w:val="24"/>
          <w:szCs w:val="24"/>
        </w:rPr>
        <w:t>в</w:t>
      </w:r>
      <w:r w:rsidRPr="00E66958">
        <w:rPr>
          <w:rFonts w:ascii="Times New Roman" w:hAnsi="Times New Roman" w:cs="Times New Roman"/>
          <w:b/>
          <w:sz w:val="24"/>
          <w:szCs w:val="24"/>
        </w:rPr>
        <w:t xml:space="preserve"> </w:t>
      </w:r>
      <w:r w:rsidRPr="006D09E6">
        <w:rPr>
          <w:rFonts w:ascii="Times New Roman" w:hAnsi="Times New Roman" w:cs="Times New Roman"/>
          <w:sz w:val="24"/>
          <w:szCs w:val="24"/>
        </w:rPr>
        <w:t>Наредба № Iз-1971 от 29.10.2009 г. за строително-технически правила и норми за осигуряване на безопасност при пожар</w:t>
      </w:r>
      <w:r w:rsidR="007F23EE">
        <w:rPr>
          <w:rFonts w:ascii="Times New Roman" w:hAnsi="Times New Roman" w:cs="Times New Roman"/>
          <w:sz w:val="24"/>
          <w:szCs w:val="24"/>
        </w:rPr>
        <w:t xml:space="preserve"> </w:t>
      </w:r>
      <w:r w:rsidR="007F23EE" w:rsidRPr="008045CD">
        <w:rPr>
          <w:rFonts w:ascii="Times New Roman" w:hAnsi="Times New Roman" w:cs="Times New Roman"/>
          <w:sz w:val="24"/>
          <w:szCs w:val="24"/>
        </w:rPr>
        <w:t>(обн., ДВ, бр. 96 от 2009 г.)</w:t>
      </w:r>
      <w:r w:rsidRPr="00E66958">
        <w:rPr>
          <w:rFonts w:ascii="Times New Roman" w:hAnsi="Times New Roman" w:cs="Times New Roman"/>
          <w:sz w:val="24"/>
          <w:szCs w:val="24"/>
        </w:rPr>
        <w:t>. Газоснабдителните станции за природен газ са автоснабдителни станции за зареждане на моторните превозни средства (МПС) с горива и са строежи от клас на</w:t>
      </w:r>
      <w:r w:rsidRPr="00E66958">
        <w:rPr>
          <w:rFonts w:ascii="Times New Roman" w:hAnsi="Times New Roman" w:cs="Times New Roman"/>
          <w:b/>
          <w:sz w:val="24"/>
          <w:szCs w:val="24"/>
        </w:rPr>
        <w:t xml:space="preserve"> функционална пожарна опасност Ф 5.3</w:t>
      </w:r>
      <w:r w:rsidR="00D21EAB" w:rsidRPr="00E66958">
        <w:rPr>
          <w:rFonts w:ascii="Times New Roman" w:hAnsi="Times New Roman" w:cs="Times New Roman"/>
          <w:sz w:val="24"/>
          <w:szCs w:val="24"/>
        </w:rPr>
        <w:t>. В наредбата се</w:t>
      </w:r>
      <w:r w:rsidRPr="00E66958">
        <w:rPr>
          <w:rFonts w:ascii="Times New Roman" w:hAnsi="Times New Roman" w:cs="Times New Roman"/>
          <w:sz w:val="24"/>
          <w:szCs w:val="24"/>
        </w:rPr>
        <w:t xml:space="preserve"> съдържат изисквания относно общия обем на резервоарите в газоснабдителните станции в и извън населени места, както и на територията на стопански обекти, минималните разстояния от резервоари, отдушни тръби, шахти за отработени масла, колонки за зареждане и съоръжения за пълнене на резервоарите до съседни строежи, разстоянието от шахти на подземни комуникации до шахти на резервоари, др.</w:t>
      </w:r>
    </w:p>
    <w:p w14:paraId="33A515C7" w14:textId="77777777" w:rsidR="0089314C" w:rsidRPr="002C36F8" w:rsidRDefault="0089314C" w:rsidP="00E510F7">
      <w:pPr>
        <w:widowControl w:val="0"/>
        <w:tabs>
          <w:tab w:val="left" w:pos="1186"/>
        </w:tabs>
        <w:spacing w:after="0" w:line="274" w:lineRule="exact"/>
        <w:ind w:right="40"/>
        <w:jc w:val="both"/>
        <w:rPr>
          <w:rFonts w:ascii="Times New Roman" w:hAnsi="Times New Roman" w:cs="Times New Roman"/>
          <w:b/>
          <w:i/>
          <w:sz w:val="24"/>
          <w:szCs w:val="24"/>
        </w:rPr>
      </w:pPr>
    </w:p>
    <w:p w14:paraId="5F4151B3" w14:textId="77777777" w:rsidR="0089314C" w:rsidRPr="002C36F8" w:rsidRDefault="00E510F7" w:rsidP="000443D2">
      <w:pPr>
        <w:widowControl w:val="0"/>
        <w:tabs>
          <w:tab w:val="left" w:pos="1186"/>
        </w:tabs>
        <w:spacing w:after="0" w:line="274" w:lineRule="exact"/>
        <w:ind w:left="20" w:right="40" w:hanging="20"/>
        <w:jc w:val="both"/>
        <w:rPr>
          <w:rFonts w:ascii="Times New Roman" w:hAnsi="Times New Roman" w:cs="Times New Roman"/>
          <w:i/>
          <w:sz w:val="24"/>
          <w:szCs w:val="24"/>
        </w:rPr>
      </w:pPr>
      <w:r>
        <w:rPr>
          <w:rFonts w:ascii="Times New Roman" w:hAnsi="Times New Roman" w:cs="Times New Roman"/>
          <w:i/>
          <w:sz w:val="24"/>
          <w:szCs w:val="24"/>
        </w:rPr>
        <w:t>3.2.3.4</w:t>
      </w:r>
      <w:r w:rsidR="000443D2" w:rsidRPr="002C36F8">
        <w:rPr>
          <w:rFonts w:ascii="Times New Roman" w:hAnsi="Times New Roman" w:cs="Times New Roman"/>
          <w:i/>
          <w:sz w:val="24"/>
          <w:szCs w:val="24"/>
        </w:rPr>
        <w:t xml:space="preserve"> </w:t>
      </w:r>
      <w:r w:rsidR="0089314C" w:rsidRPr="002C36F8">
        <w:rPr>
          <w:rFonts w:ascii="Times New Roman" w:hAnsi="Times New Roman" w:cs="Times New Roman"/>
          <w:i/>
          <w:sz w:val="24"/>
          <w:szCs w:val="24"/>
        </w:rPr>
        <w:t xml:space="preserve">Присъединяване към газопреносните и газоразпределителните мрежи </w:t>
      </w:r>
    </w:p>
    <w:p w14:paraId="67E83B22" w14:textId="77777777" w:rsidR="0089314C" w:rsidRPr="002C36F8" w:rsidRDefault="0089314C" w:rsidP="00B97336">
      <w:pPr>
        <w:widowControl w:val="0"/>
        <w:tabs>
          <w:tab w:val="left" w:pos="1186"/>
        </w:tabs>
        <w:spacing w:after="0" w:line="274" w:lineRule="exact"/>
        <w:ind w:left="20" w:right="40" w:firstLine="567"/>
        <w:jc w:val="both"/>
        <w:rPr>
          <w:rFonts w:ascii="Times New Roman" w:hAnsi="Times New Roman" w:cs="Times New Roman"/>
          <w:sz w:val="24"/>
          <w:szCs w:val="24"/>
        </w:rPr>
      </w:pPr>
    </w:p>
    <w:p w14:paraId="533171E6" w14:textId="77777777" w:rsidR="0089314C" w:rsidRPr="002C36F8" w:rsidRDefault="0089314C" w:rsidP="00B97336">
      <w:pPr>
        <w:widowControl w:val="0"/>
        <w:tabs>
          <w:tab w:val="left" w:pos="1186"/>
        </w:tabs>
        <w:spacing w:after="0" w:line="274" w:lineRule="exact"/>
        <w:ind w:left="20" w:right="40" w:firstLine="567"/>
        <w:jc w:val="both"/>
        <w:rPr>
          <w:rFonts w:ascii="Times New Roman" w:hAnsi="Times New Roman" w:cs="Times New Roman"/>
          <w:sz w:val="24"/>
          <w:szCs w:val="24"/>
          <w:lang w:val="ru-RU"/>
        </w:rPr>
      </w:pPr>
      <w:r w:rsidRPr="002C36F8">
        <w:rPr>
          <w:rFonts w:ascii="Times New Roman" w:hAnsi="Times New Roman" w:cs="Times New Roman"/>
          <w:sz w:val="24"/>
          <w:szCs w:val="24"/>
        </w:rPr>
        <w:t xml:space="preserve">Условията и редът за присъединяване към газопреносните и към </w:t>
      </w:r>
      <w:r w:rsidRPr="002C36F8">
        <w:rPr>
          <w:rFonts w:ascii="Times New Roman" w:eastAsia="Times New Roman" w:hAnsi="Times New Roman" w:cs="Times New Roman"/>
          <w:color w:val="000000"/>
          <w:sz w:val="24"/>
          <w:szCs w:val="24"/>
          <w:lang w:eastAsia="bg-BG"/>
        </w:rPr>
        <w:t xml:space="preserve">газоразпределителните мрежи са определени в </w:t>
      </w:r>
      <w:r w:rsidRPr="002C36F8">
        <w:rPr>
          <w:rFonts w:ascii="Times New Roman" w:hAnsi="Times New Roman" w:cs="Times New Roman"/>
          <w:sz w:val="24"/>
          <w:szCs w:val="24"/>
        </w:rPr>
        <w:t xml:space="preserve">приетата от КЕВР Наредба № 4 от 5 ноември 2013 г. за присъединяване към газопреносните и газоразпределителните мрежи (обн. ДВ, бр. 105 от 2013 </w:t>
      </w:r>
      <w:r w:rsidRPr="002C36F8">
        <w:rPr>
          <w:rFonts w:ascii="Times New Roman" w:hAnsi="Times New Roman" w:cs="Times New Roman"/>
          <w:sz w:val="24"/>
          <w:szCs w:val="24"/>
          <w:lang w:val="ru-RU"/>
        </w:rPr>
        <w:t xml:space="preserve">г.). </w:t>
      </w:r>
    </w:p>
    <w:p w14:paraId="2AEB69A2" w14:textId="77777777" w:rsidR="0089314C" w:rsidRPr="002C36F8" w:rsidRDefault="0089314C" w:rsidP="00B97336">
      <w:pPr>
        <w:widowControl w:val="0"/>
        <w:tabs>
          <w:tab w:val="left" w:pos="1186"/>
        </w:tabs>
        <w:spacing w:after="0" w:line="274" w:lineRule="exact"/>
        <w:ind w:left="20" w:right="40" w:firstLine="567"/>
        <w:jc w:val="both"/>
        <w:rPr>
          <w:rFonts w:ascii="Times New Roman" w:eastAsia="Times New Roman" w:hAnsi="Times New Roman" w:cs="Times New Roman"/>
          <w:color w:val="000000"/>
          <w:sz w:val="24"/>
          <w:szCs w:val="24"/>
          <w:lang w:eastAsia="bg-BG"/>
        </w:rPr>
      </w:pPr>
      <w:r w:rsidRPr="002C36F8">
        <w:rPr>
          <w:rFonts w:ascii="Times New Roman" w:hAnsi="Times New Roman" w:cs="Times New Roman"/>
          <w:sz w:val="24"/>
          <w:szCs w:val="24"/>
          <w:lang w:val="ru-RU"/>
        </w:rPr>
        <w:t xml:space="preserve">С </w:t>
      </w:r>
      <w:r w:rsidRPr="002C36F8">
        <w:rPr>
          <w:rFonts w:ascii="Times New Roman" w:hAnsi="Times New Roman" w:cs="Times New Roman"/>
          <w:sz w:val="24"/>
          <w:szCs w:val="24"/>
        </w:rPr>
        <w:t xml:space="preserve">Правилата за търговия </w:t>
      </w:r>
      <w:r w:rsidRPr="002C36F8">
        <w:rPr>
          <w:rFonts w:ascii="Times New Roman" w:hAnsi="Times New Roman" w:cs="Times New Roman"/>
          <w:sz w:val="24"/>
          <w:szCs w:val="24"/>
          <w:lang w:val="ru-RU"/>
        </w:rPr>
        <w:t xml:space="preserve">с </w:t>
      </w:r>
      <w:r w:rsidRPr="002C36F8">
        <w:rPr>
          <w:rFonts w:ascii="Times New Roman" w:hAnsi="Times New Roman" w:cs="Times New Roman"/>
          <w:sz w:val="24"/>
          <w:szCs w:val="24"/>
        </w:rPr>
        <w:t>природен газ (обн., ДВ, бр. 59 от 2015 г.) се регламентират структурата, условията за участие, правилата за сключване на сделки на пазара на природен газ.</w:t>
      </w:r>
    </w:p>
    <w:p w14:paraId="244046F7" w14:textId="77777777" w:rsidR="0089314C" w:rsidRPr="002C36F8" w:rsidRDefault="0089314C" w:rsidP="00B97336">
      <w:pPr>
        <w:widowControl w:val="0"/>
        <w:spacing w:after="0" w:line="274" w:lineRule="exact"/>
        <w:ind w:firstLine="567"/>
        <w:jc w:val="both"/>
        <w:rPr>
          <w:rFonts w:ascii="Times New Roman" w:eastAsia="Times New Roman" w:hAnsi="Times New Roman" w:cs="Times New Roman"/>
          <w:b/>
          <w:color w:val="000000"/>
          <w:sz w:val="24"/>
          <w:szCs w:val="24"/>
          <w:lang w:eastAsia="bg-BG"/>
        </w:rPr>
      </w:pPr>
    </w:p>
    <w:p w14:paraId="50EF46C6" w14:textId="77777777" w:rsidR="0089314C" w:rsidRPr="002C36F8" w:rsidRDefault="00E510F7" w:rsidP="000443D2">
      <w:pPr>
        <w:spacing w:after="0"/>
        <w:jc w:val="both"/>
        <w:rPr>
          <w:rFonts w:ascii="Times New Roman" w:hAnsi="Times New Roman" w:cs="Times New Roman"/>
          <w:i/>
          <w:sz w:val="24"/>
          <w:szCs w:val="24"/>
        </w:rPr>
      </w:pPr>
      <w:r>
        <w:rPr>
          <w:rFonts w:ascii="Times New Roman" w:hAnsi="Times New Roman" w:cs="Times New Roman"/>
          <w:i/>
          <w:sz w:val="24"/>
          <w:szCs w:val="24"/>
        </w:rPr>
        <w:t>3.2.3.5</w:t>
      </w:r>
      <w:r w:rsidR="000443D2" w:rsidRPr="002C36F8">
        <w:rPr>
          <w:rFonts w:ascii="Times New Roman" w:hAnsi="Times New Roman" w:cs="Times New Roman"/>
          <w:i/>
          <w:sz w:val="24"/>
          <w:szCs w:val="24"/>
        </w:rPr>
        <w:t xml:space="preserve"> </w:t>
      </w:r>
      <w:r w:rsidR="0089314C" w:rsidRPr="002C36F8">
        <w:rPr>
          <w:rFonts w:ascii="Times New Roman" w:hAnsi="Times New Roman" w:cs="Times New Roman"/>
          <w:i/>
          <w:sz w:val="24"/>
          <w:szCs w:val="24"/>
        </w:rPr>
        <w:t>Изграждането на съоръжения и транспортирането на втечнен при</w:t>
      </w:r>
      <w:r w:rsidR="007C210A" w:rsidRPr="002C36F8">
        <w:rPr>
          <w:rFonts w:ascii="Times New Roman" w:hAnsi="Times New Roman" w:cs="Times New Roman"/>
          <w:i/>
          <w:sz w:val="24"/>
          <w:szCs w:val="24"/>
        </w:rPr>
        <w:t xml:space="preserve">роден газ във водния транспорт </w:t>
      </w:r>
    </w:p>
    <w:p w14:paraId="067AF9FE"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Съгласно чл. 112а от Закона за морските пространства, вътрешните водни пътища и пристанищата на Република България изграждането на ново пристанище за обществен транспорт с национално значение или разширение на съществуващо такова изисква да бъде взето решение от министъра на транспорта, информационните технологии и съобщенията в съответствие с одобрената от Министерския съвет Стратегия за развитите на транспортната система на Република България и Общия генерален план за транспорта на България. Решението трябва да се предхожда от предварително (прединвестиционно) проучване и изработен на негова основа проект на генерален план за развитие на пристанището.</w:t>
      </w:r>
    </w:p>
    <w:p w14:paraId="36D53381"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Инвестиционните проекти за строителството на нови или за разширение на съществуващи пристанище за обществен транспорт с регионално значение са координирани от министъра на транспорта, информационните технологии и съобщенията и са одобрявани от министъра на регионалното развитие и </w:t>
      </w:r>
      <w:r w:rsidRPr="002C36F8">
        <w:rPr>
          <w:rFonts w:ascii="Times New Roman" w:hAnsi="Times New Roman" w:cs="Times New Roman"/>
          <w:sz w:val="24"/>
          <w:szCs w:val="24"/>
        </w:rPr>
        <w:lastRenderedPageBreak/>
        <w:t>благоустройството (чл. 112г, ал. 5 от Закона за морските пространства, вътрешните водни пътища и пристанищата на Република България).</w:t>
      </w:r>
    </w:p>
    <w:p w14:paraId="2C25B87A"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Освен това, строителството и експлоатацията на пристанищата по вътрешните водни пътища, терминали за втечнен природен газ или морски станции за зареждане (сгради, съоръжения и инфраструктура) изискват съответните разрешения за </w:t>
      </w:r>
      <w:r w:rsidR="00B959F5">
        <w:rPr>
          <w:rFonts w:ascii="Times New Roman" w:hAnsi="Times New Roman" w:cs="Times New Roman"/>
          <w:sz w:val="24"/>
          <w:szCs w:val="24"/>
        </w:rPr>
        <w:t>строителство и експлоатация по З</w:t>
      </w:r>
      <w:r w:rsidRPr="002C36F8">
        <w:rPr>
          <w:rFonts w:ascii="Times New Roman" w:hAnsi="Times New Roman" w:cs="Times New Roman"/>
          <w:sz w:val="24"/>
          <w:szCs w:val="24"/>
        </w:rPr>
        <w:t>акона за устройство на територията. Инвеститорът трябва също така да получи други съгласия и разрешителни по всички действащи закони (Закон за водите, Закон за опазване на околната среда и т.н.).</w:t>
      </w:r>
    </w:p>
    <w:p w14:paraId="3E22E747"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Министърът на транспорта, информационните технологии и съобщенията, министъра на регионалното развитие и благоустройството и Изпълнителна агенция Морска администрация (ИА</w:t>
      </w:r>
      <w:r w:rsidR="007F23EE">
        <w:rPr>
          <w:rFonts w:ascii="Times New Roman" w:hAnsi="Times New Roman" w:cs="Times New Roman"/>
          <w:sz w:val="24"/>
          <w:szCs w:val="24"/>
        </w:rPr>
        <w:t xml:space="preserve"> „</w:t>
      </w:r>
      <w:r w:rsidRPr="002C36F8">
        <w:rPr>
          <w:rFonts w:ascii="Times New Roman" w:hAnsi="Times New Roman" w:cs="Times New Roman"/>
          <w:sz w:val="24"/>
          <w:szCs w:val="24"/>
        </w:rPr>
        <w:t>МА</w:t>
      </w:r>
      <w:r w:rsidR="007F23EE">
        <w:rPr>
          <w:rFonts w:ascii="Times New Roman" w:hAnsi="Times New Roman" w:cs="Times New Roman"/>
          <w:sz w:val="24"/>
          <w:szCs w:val="24"/>
        </w:rPr>
        <w:t>“</w:t>
      </w:r>
      <w:r w:rsidRPr="002C36F8">
        <w:rPr>
          <w:rFonts w:ascii="Times New Roman" w:hAnsi="Times New Roman" w:cs="Times New Roman"/>
          <w:sz w:val="24"/>
          <w:szCs w:val="24"/>
        </w:rPr>
        <w:t>) са компетентни да вземат решения относно изграждането и лицензирането на пристанищата за обществен транспорт (пристанище със съоръжения за ВПГ се квалифицира като пристанище за обществен транспорт).</w:t>
      </w:r>
    </w:p>
    <w:p w14:paraId="5C0F6928"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Процедурата по лицензиране се инициира с подаване на заявление до ИА</w:t>
      </w:r>
      <w:r w:rsidR="007F23EE">
        <w:rPr>
          <w:rFonts w:ascii="Times New Roman" w:hAnsi="Times New Roman" w:cs="Times New Roman"/>
          <w:sz w:val="24"/>
          <w:szCs w:val="24"/>
        </w:rPr>
        <w:t xml:space="preserve"> „</w:t>
      </w:r>
      <w:r w:rsidRPr="002C36F8">
        <w:rPr>
          <w:rFonts w:ascii="Times New Roman" w:hAnsi="Times New Roman" w:cs="Times New Roman"/>
          <w:sz w:val="24"/>
          <w:szCs w:val="24"/>
        </w:rPr>
        <w:t>МА</w:t>
      </w:r>
      <w:r w:rsidR="007F23EE">
        <w:rPr>
          <w:rFonts w:ascii="Times New Roman" w:hAnsi="Times New Roman" w:cs="Times New Roman"/>
          <w:sz w:val="24"/>
          <w:szCs w:val="24"/>
        </w:rPr>
        <w:t>“</w:t>
      </w:r>
      <w:r w:rsidRPr="002C36F8">
        <w:rPr>
          <w:rFonts w:ascii="Times New Roman" w:hAnsi="Times New Roman" w:cs="Times New Roman"/>
          <w:sz w:val="24"/>
          <w:szCs w:val="24"/>
        </w:rPr>
        <w:t xml:space="preserve"> и е последвано от издаването на строителни и експлоатационни разрешения по </w:t>
      </w:r>
      <w:r w:rsidR="007F23EE">
        <w:rPr>
          <w:rFonts w:ascii="Times New Roman" w:hAnsi="Times New Roman" w:cs="Times New Roman"/>
          <w:sz w:val="24"/>
          <w:szCs w:val="24"/>
        </w:rPr>
        <w:t>З</w:t>
      </w:r>
      <w:r w:rsidRPr="002C36F8">
        <w:rPr>
          <w:rFonts w:ascii="Times New Roman" w:hAnsi="Times New Roman" w:cs="Times New Roman"/>
          <w:sz w:val="24"/>
          <w:szCs w:val="24"/>
        </w:rPr>
        <w:t xml:space="preserve">акона за устройство на територията. </w:t>
      </w:r>
    </w:p>
    <w:p w14:paraId="5641FF9E"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Освен това, пристанищни дейности и услуги могат да се извършват само в пристанище (вкл. корабни съоръжения и терминали), което е регистрирано в регистъра на пристанищата и има удостоверение за експлоатационна годност по смисъла на Закона за морските пространства, вътрешните водни пътища и пристанищата на Република България.</w:t>
      </w:r>
    </w:p>
    <w:p w14:paraId="3CF8334E"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Процедурата за издаване на удостоверение за експлоатационна годност се регулира в детайли в Наредба №</w:t>
      </w:r>
      <w:r w:rsidR="007C210A" w:rsidRPr="002C36F8">
        <w:rPr>
          <w:rFonts w:ascii="Times New Roman" w:hAnsi="Times New Roman" w:cs="Times New Roman"/>
          <w:sz w:val="24"/>
          <w:szCs w:val="24"/>
        </w:rPr>
        <w:t xml:space="preserve"> </w:t>
      </w:r>
      <w:r w:rsidRPr="002C36F8">
        <w:rPr>
          <w:rFonts w:ascii="Times New Roman" w:hAnsi="Times New Roman" w:cs="Times New Roman"/>
          <w:sz w:val="24"/>
          <w:szCs w:val="24"/>
        </w:rPr>
        <w:t>9 от 17.10.2013 г. за изискванията за експлоатационна годност на пристанищата и специализираните пристанищни обекти</w:t>
      </w:r>
      <w:r w:rsidR="007F23EE">
        <w:rPr>
          <w:rFonts w:ascii="Times New Roman" w:hAnsi="Times New Roman" w:cs="Times New Roman"/>
          <w:sz w:val="24"/>
          <w:szCs w:val="24"/>
        </w:rPr>
        <w:t xml:space="preserve"> </w:t>
      </w:r>
      <w:r w:rsidR="007F23EE" w:rsidRPr="008045CD">
        <w:rPr>
          <w:rFonts w:ascii="Times New Roman" w:hAnsi="Times New Roman" w:cs="Times New Roman"/>
          <w:sz w:val="24"/>
          <w:szCs w:val="24"/>
        </w:rPr>
        <w:t>(обн., ДВ, бр. 96 от 2013 г.)</w:t>
      </w:r>
      <w:r w:rsidRPr="002C36F8">
        <w:rPr>
          <w:rFonts w:ascii="Times New Roman" w:hAnsi="Times New Roman" w:cs="Times New Roman"/>
          <w:sz w:val="24"/>
          <w:szCs w:val="24"/>
        </w:rPr>
        <w:t>. Процедурата се инициира въз основа на подаване на заявление от собственика на пристанището. Удостоверението се издава за срок до 35 години или за срока на предоставена концесия и ако пристанището е в съответствие със специалните изисквания, определени в наредбата.</w:t>
      </w:r>
    </w:p>
    <w:p w14:paraId="18D50830"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Процедурата по регистрация на пристанището се регулира в детайли от Наредба №</w:t>
      </w:r>
      <w:r w:rsidR="00B42ED3">
        <w:rPr>
          <w:rFonts w:ascii="Times New Roman" w:hAnsi="Times New Roman" w:cs="Times New Roman"/>
          <w:sz w:val="24"/>
          <w:szCs w:val="24"/>
        </w:rPr>
        <w:t xml:space="preserve"> </w:t>
      </w:r>
      <w:r w:rsidRPr="002C36F8">
        <w:rPr>
          <w:rFonts w:ascii="Times New Roman" w:hAnsi="Times New Roman" w:cs="Times New Roman"/>
          <w:sz w:val="24"/>
          <w:szCs w:val="24"/>
        </w:rPr>
        <w:t>19 от 9.12.2004 г. за регистрация на пристанищата в Република България</w:t>
      </w:r>
      <w:r w:rsidR="00B42ED3">
        <w:rPr>
          <w:rFonts w:ascii="Times New Roman" w:hAnsi="Times New Roman" w:cs="Times New Roman"/>
          <w:sz w:val="24"/>
          <w:szCs w:val="24"/>
        </w:rPr>
        <w:t xml:space="preserve"> </w:t>
      </w:r>
      <w:r w:rsidR="00B42ED3" w:rsidRPr="008045CD">
        <w:rPr>
          <w:rFonts w:ascii="Times New Roman" w:hAnsi="Times New Roman" w:cs="Times New Roman"/>
          <w:sz w:val="24"/>
          <w:szCs w:val="24"/>
        </w:rPr>
        <w:t>(обн., ДВ, бр. 111 от 2004 г.)</w:t>
      </w:r>
      <w:r w:rsidRPr="002C36F8">
        <w:rPr>
          <w:rFonts w:ascii="Times New Roman" w:hAnsi="Times New Roman" w:cs="Times New Roman"/>
          <w:sz w:val="24"/>
          <w:szCs w:val="24"/>
        </w:rPr>
        <w:t xml:space="preserve">. Процедурата </w:t>
      </w:r>
      <w:r w:rsidR="00B42ED3">
        <w:rPr>
          <w:rFonts w:ascii="Times New Roman" w:hAnsi="Times New Roman" w:cs="Times New Roman"/>
          <w:sz w:val="24"/>
          <w:szCs w:val="24"/>
        </w:rPr>
        <w:t xml:space="preserve">се </w:t>
      </w:r>
      <w:r w:rsidRPr="002C36F8">
        <w:rPr>
          <w:rFonts w:ascii="Times New Roman" w:hAnsi="Times New Roman" w:cs="Times New Roman"/>
          <w:sz w:val="24"/>
          <w:szCs w:val="24"/>
        </w:rPr>
        <w:t>стартира при подаване на заявление от страна на собственик на пристанището до изпълнителния директор на ИА</w:t>
      </w:r>
      <w:r w:rsidR="00B42ED3">
        <w:rPr>
          <w:rFonts w:ascii="Times New Roman" w:hAnsi="Times New Roman" w:cs="Times New Roman"/>
          <w:sz w:val="24"/>
          <w:szCs w:val="24"/>
        </w:rPr>
        <w:t xml:space="preserve"> „</w:t>
      </w:r>
      <w:r w:rsidRPr="002C36F8">
        <w:rPr>
          <w:rFonts w:ascii="Times New Roman" w:hAnsi="Times New Roman" w:cs="Times New Roman"/>
          <w:sz w:val="24"/>
          <w:szCs w:val="24"/>
        </w:rPr>
        <w:t>МА</w:t>
      </w:r>
      <w:r w:rsidR="00B42ED3">
        <w:rPr>
          <w:rFonts w:ascii="Times New Roman" w:hAnsi="Times New Roman" w:cs="Times New Roman"/>
          <w:sz w:val="24"/>
          <w:szCs w:val="24"/>
        </w:rPr>
        <w:t>“</w:t>
      </w:r>
      <w:r w:rsidRPr="002C36F8">
        <w:rPr>
          <w:rFonts w:ascii="Times New Roman" w:hAnsi="Times New Roman" w:cs="Times New Roman"/>
          <w:sz w:val="24"/>
          <w:szCs w:val="24"/>
        </w:rPr>
        <w:t>.</w:t>
      </w:r>
    </w:p>
    <w:p w14:paraId="3FA7CC8A"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Съгласно чл. 117а от Закона за морските пространства, вътрешните водни пътища и пристанищата на Република България, достъпът до пазара на пристанищни услуги се определя като право на лицензирани пристанищните оператори да предоставят услуги в пристанищата за обществен транспорт (пристанище с предлагане на ВПГ се квалифицира като пристанище за обществен транспорт). Достъпът до пазара на пристанищни услуги в пристанищата за обществен транспорт с национално значение се предоставя с концесия. В пристанища за обществен транспорт с регионално значение, достъпът се предоставя въз основа на договор със собствениците.</w:t>
      </w:r>
    </w:p>
    <w:p w14:paraId="235E9F54" w14:textId="77777777" w:rsidR="0089314C"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Пристанище за обществен транспорт е всяко пристанище, където пристанищни услуги и други съпътстващи дейности са извършени срещу заплащане от/на плавателни съдове или сухопътни транспортни средства. Пристанището (включително пристанищните съоръжения) са достъпни без ограничение за всички плавателни съдове и товари (чл. 103, ал.1 от Закона за морските пространства, вътрешните водни пътища и пристанищата на Република България). По този начин, достъпът на трети страни до пристанищните съоръжения е осигурен на всички заинтересовани лица, срещу заплащане на такса.</w:t>
      </w:r>
    </w:p>
    <w:p w14:paraId="00132127" w14:textId="77777777" w:rsidR="007C210A" w:rsidRPr="00AC06FA" w:rsidRDefault="007C210A" w:rsidP="007C210A">
      <w:pPr>
        <w:spacing w:after="0" w:line="240" w:lineRule="auto"/>
        <w:ind w:firstLine="567"/>
        <w:jc w:val="both"/>
        <w:rPr>
          <w:rFonts w:ascii="Times New Roman" w:hAnsi="Times New Roman" w:cs="Times New Roman"/>
          <w:i/>
          <w:sz w:val="24"/>
          <w:szCs w:val="24"/>
        </w:rPr>
      </w:pPr>
    </w:p>
    <w:p w14:paraId="78EB7B27" w14:textId="77777777" w:rsidR="007C210A" w:rsidRPr="002C36F8" w:rsidRDefault="00AC06FA" w:rsidP="000443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3.2.3.6</w:t>
      </w:r>
      <w:r w:rsidR="000443D2" w:rsidRPr="002C36F8">
        <w:rPr>
          <w:rFonts w:ascii="Times New Roman" w:hAnsi="Times New Roman" w:cs="Times New Roman"/>
          <w:i/>
          <w:sz w:val="24"/>
          <w:szCs w:val="24"/>
        </w:rPr>
        <w:t xml:space="preserve"> </w:t>
      </w:r>
      <w:r w:rsidR="0089314C" w:rsidRPr="002C36F8">
        <w:rPr>
          <w:rFonts w:ascii="Times New Roman" w:hAnsi="Times New Roman" w:cs="Times New Roman"/>
          <w:i/>
          <w:sz w:val="24"/>
          <w:szCs w:val="24"/>
        </w:rPr>
        <w:t>Регулиране на превоза на втечнен природен газ</w:t>
      </w:r>
    </w:p>
    <w:p w14:paraId="7CE08AE4" w14:textId="77777777" w:rsidR="0089314C" w:rsidRPr="002C36F8" w:rsidRDefault="0089314C" w:rsidP="007C210A">
      <w:pPr>
        <w:spacing w:after="0" w:line="240" w:lineRule="auto"/>
        <w:ind w:firstLine="567"/>
        <w:jc w:val="both"/>
        <w:rPr>
          <w:rFonts w:ascii="Times New Roman" w:hAnsi="Times New Roman" w:cs="Times New Roman"/>
          <w:b/>
          <w:sz w:val="24"/>
          <w:szCs w:val="24"/>
        </w:rPr>
      </w:pPr>
      <w:r w:rsidRPr="002C36F8">
        <w:rPr>
          <w:rFonts w:ascii="Times New Roman" w:hAnsi="Times New Roman" w:cs="Times New Roman"/>
          <w:b/>
          <w:sz w:val="24"/>
          <w:szCs w:val="24"/>
        </w:rPr>
        <w:t xml:space="preserve"> </w:t>
      </w:r>
    </w:p>
    <w:p w14:paraId="4D3D40E4"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lastRenderedPageBreak/>
        <w:t>Съгласно българското законодателство, втечненият природен газ е класифициран като опасен товар. Ето защо спрямо него се прилагат спец</w:t>
      </w:r>
      <w:r w:rsidR="00804691">
        <w:rPr>
          <w:rFonts w:ascii="Times New Roman" w:hAnsi="Times New Roman" w:cs="Times New Roman"/>
          <w:sz w:val="24"/>
          <w:szCs w:val="24"/>
        </w:rPr>
        <w:t>ифични разпоредби за товарене/</w:t>
      </w:r>
      <w:r w:rsidRPr="002C36F8">
        <w:rPr>
          <w:rFonts w:ascii="Times New Roman" w:hAnsi="Times New Roman" w:cs="Times New Roman"/>
          <w:sz w:val="24"/>
          <w:szCs w:val="24"/>
        </w:rPr>
        <w:t>разтоварване и превоз на опасни товари. Действ</w:t>
      </w:r>
      <w:r w:rsidR="00B42ED3">
        <w:rPr>
          <w:rFonts w:ascii="Times New Roman" w:hAnsi="Times New Roman" w:cs="Times New Roman"/>
          <w:sz w:val="24"/>
          <w:szCs w:val="24"/>
        </w:rPr>
        <w:t>ащият</w:t>
      </w:r>
      <w:r w:rsidRPr="002C36F8">
        <w:rPr>
          <w:rFonts w:ascii="Times New Roman" w:hAnsi="Times New Roman" w:cs="Times New Roman"/>
          <w:sz w:val="24"/>
          <w:szCs w:val="24"/>
        </w:rPr>
        <w:t xml:space="preserve"> ред и процедур</w:t>
      </w:r>
      <w:r w:rsidR="00026EFF">
        <w:rPr>
          <w:rFonts w:ascii="Times New Roman" w:hAnsi="Times New Roman" w:cs="Times New Roman"/>
          <w:sz w:val="24"/>
          <w:szCs w:val="24"/>
        </w:rPr>
        <w:t>и</w:t>
      </w:r>
      <w:r w:rsidRPr="002C36F8">
        <w:rPr>
          <w:rFonts w:ascii="Times New Roman" w:hAnsi="Times New Roman" w:cs="Times New Roman"/>
          <w:sz w:val="24"/>
          <w:szCs w:val="24"/>
        </w:rPr>
        <w:t>, са определени в Наредба № 16 от 20.06.2006 г. за обработка и превоз на опасни и/или замърсяващи товари по море и на опасни товари по вътрешни водни пътища</w:t>
      </w:r>
      <w:r w:rsidR="00026EFF">
        <w:rPr>
          <w:rFonts w:ascii="Times New Roman" w:hAnsi="Times New Roman" w:cs="Times New Roman"/>
          <w:sz w:val="24"/>
          <w:szCs w:val="24"/>
        </w:rPr>
        <w:t xml:space="preserve"> </w:t>
      </w:r>
      <w:r w:rsidR="00026EFF" w:rsidRPr="008045CD">
        <w:rPr>
          <w:rFonts w:ascii="Times New Roman" w:hAnsi="Times New Roman" w:cs="Times New Roman"/>
          <w:sz w:val="24"/>
          <w:szCs w:val="24"/>
        </w:rPr>
        <w:t>(обн., ДВ, бр. 53 от 2006 г.,)</w:t>
      </w:r>
      <w:r w:rsidRPr="002C36F8">
        <w:rPr>
          <w:rFonts w:ascii="Times New Roman" w:hAnsi="Times New Roman" w:cs="Times New Roman"/>
          <w:sz w:val="24"/>
          <w:szCs w:val="24"/>
        </w:rPr>
        <w:t>, ко</w:t>
      </w:r>
      <w:r w:rsidR="00026EFF">
        <w:rPr>
          <w:rFonts w:ascii="Times New Roman" w:hAnsi="Times New Roman" w:cs="Times New Roman"/>
          <w:sz w:val="24"/>
          <w:szCs w:val="24"/>
        </w:rPr>
        <w:t>я</w:t>
      </w:r>
      <w:r w:rsidRPr="002C36F8">
        <w:rPr>
          <w:rFonts w:ascii="Times New Roman" w:hAnsi="Times New Roman" w:cs="Times New Roman"/>
          <w:sz w:val="24"/>
          <w:szCs w:val="24"/>
        </w:rPr>
        <w:t>то транспонира ADN-директивата и Директива 2012/45/ЕС.</w:t>
      </w:r>
      <w:r w:rsidRPr="002C36F8">
        <w:rPr>
          <w:rFonts w:ascii="Times New Roman" w:hAnsi="Times New Roman" w:cs="Times New Roman"/>
          <w:sz w:val="24"/>
          <w:szCs w:val="24"/>
          <w:vertAlign w:val="superscript"/>
        </w:rPr>
        <w:footnoteReference w:id="7"/>
      </w:r>
      <w:r w:rsidRPr="002C36F8">
        <w:rPr>
          <w:rFonts w:ascii="Times New Roman" w:hAnsi="Times New Roman" w:cs="Times New Roman"/>
          <w:sz w:val="24"/>
          <w:szCs w:val="24"/>
        </w:rPr>
        <w:t xml:space="preserve"> Освен това, Наредба № 16 инкорпорира Европейското споразумение за международен превоз на опасни товари по вътрешните водни пътища (ADN)</w:t>
      </w:r>
      <w:r w:rsidR="007C210A" w:rsidRPr="002C36F8">
        <w:rPr>
          <w:rFonts w:ascii="Times New Roman" w:hAnsi="Times New Roman" w:cs="Times New Roman"/>
          <w:sz w:val="24"/>
          <w:szCs w:val="24"/>
        </w:rPr>
        <w:t xml:space="preserve"> </w:t>
      </w:r>
      <w:r w:rsidRPr="002C36F8">
        <w:rPr>
          <w:rFonts w:ascii="Times New Roman" w:hAnsi="Times New Roman" w:cs="Times New Roman"/>
          <w:sz w:val="24"/>
          <w:szCs w:val="24"/>
        </w:rPr>
        <w:t>в българското законодателство и се отнася към ADN, като пряко приложима. Поради това обработката и транспортирането на втечнен природен газ се регулира от ADN.</w:t>
      </w:r>
    </w:p>
    <w:p w14:paraId="41EF529B" w14:textId="77777777" w:rsidR="0089314C" w:rsidRPr="002C36F8" w:rsidRDefault="0089314C" w:rsidP="007C210A">
      <w:pPr>
        <w:widowControl w:val="0"/>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Техническите спецификации на плавателните съдове, са посочени в Наредба № 22 от 22.12.2008 г. за техническите изисквания към корабите, плаващи по вътрешните водни пътища</w:t>
      </w:r>
      <w:r w:rsidR="0002316F">
        <w:rPr>
          <w:rFonts w:ascii="Times New Roman" w:hAnsi="Times New Roman" w:cs="Times New Roman"/>
          <w:sz w:val="24"/>
          <w:szCs w:val="24"/>
        </w:rPr>
        <w:t xml:space="preserve"> </w:t>
      </w:r>
      <w:r w:rsidR="0002316F" w:rsidRPr="008045CD">
        <w:rPr>
          <w:rFonts w:ascii="Times New Roman" w:hAnsi="Times New Roman" w:cs="Times New Roman"/>
          <w:sz w:val="24"/>
          <w:szCs w:val="24"/>
        </w:rPr>
        <w:t>(обн., ДВ, бр. 9 от 2009 г)</w:t>
      </w:r>
      <w:r w:rsidRPr="002C36F8">
        <w:rPr>
          <w:rFonts w:ascii="Times New Roman" w:hAnsi="Times New Roman" w:cs="Times New Roman"/>
          <w:sz w:val="24"/>
          <w:szCs w:val="24"/>
        </w:rPr>
        <w:t>, които се позовават на разпоредбите на ADN.</w:t>
      </w:r>
    </w:p>
    <w:p w14:paraId="1540CDBE" w14:textId="77777777" w:rsidR="0089314C" w:rsidRPr="002C36F8" w:rsidRDefault="0089314C" w:rsidP="007C210A">
      <w:pPr>
        <w:widowControl w:val="0"/>
        <w:spacing w:after="0" w:line="240" w:lineRule="auto"/>
        <w:ind w:firstLine="567"/>
        <w:jc w:val="both"/>
        <w:rPr>
          <w:rFonts w:ascii="Times New Roman" w:hAnsi="Times New Roman" w:cs="Times New Roman"/>
          <w:sz w:val="24"/>
          <w:szCs w:val="24"/>
        </w:rPr>
      </w:pPr>
    </w:p>
    <w:p w14:paraId="7221A5CC" w14:textId="77777777" w:rsidR="000443D2" w:rsidRPr="002C36F8" w:rsidRDefault="000443D2" w:rsidP="007C210A">
      <w:pPr>
        <w:widowControl w:val="0"/>
        <w:spacing w:after="0" w:line="240" w:lineRule="auto"/>
        <w:ind w:firstLine="567"/>
        <w:jc w:val="both"/>
        <w:rPr>
          <w:rFonts w:ascii="Times New Roman" w:hAnsi="Times New Roman" w:cs="Times New Roman"/>
          <w:sz w:val="24"/>
          <w:szCs w:val="24"/>
        </w:rPr>
      </w:pPr>
    </w:p>
    <w:p w14:paraId="0FE270A8" w14:textId="77777777" w:rsidR="0089314C" w:rsidRPr="002C36F8" w:rsidRDefault="000443D2" w:rsidP="000443D2">
      <w:pPr>
        <w:widowControl w:val="0"/>
        <w:spacing w:after="0" w:line="240" w:lineRule="auto"/>
        <w:jc w:val="both"/>
        <w:rPr>
          <w:rFonts w:ascii="Times New Roman" w:hAnsi="Times New Roman" w:cs="Times New Roman"/>
          <w:b/>
          <w:i/>
          <w:sz w:val="24"/>
          <w:szCs w:val="24"/>
          <w:u w:val="single"/>
        </w:rPr>
      </w:pPr>
      <w:r w:rsidRPr="002C36F8">
        <w:rPr>
          <w:rFonts w:ascii="Times New Roman" w:hAnsi="Times New Roman" w:cs="Times New Roman"/>
          <w:b/>
          <w:i/>
          <w:sz w:val="24"/>
          <w:szCs w:val="24"/>
          <w:u w:val="single"/>
        </w:rPr>
        <w:t xml:space="preserve">3.3 </w:t>
      </w:r>
      <w:r w:rsidR="0089314C" w:rsidRPr="002C36F8">
        <w:rPr>
          <w:rFonts w:ascii="Times New Roman" w:hAnsi="Times New Roman" w:cs="Times New Roman"/>
          <w:b/>
          <w:i/>
          <w:sz w:val="24"/>
          <w:szCs w:val="24"/>
          <w:u w:val="single"/>
        </w:rPr>
        <w:t xml:space="preserve">Законодателна рамка – водород </w:t>
      </w:r>
    </w:p>
    <w:p w14:paraId="7D08A615" w14:textId="77777777" w:rsidR="0089314C" w:rsidRPr="002C36F8" w:rsidRDefault="0089314C" w:rsidP="007C210A">
      <w:pPr>
        <w:widowControl w:val="0"/>
        <w:spacing w:after="0" w:line="240" w:lineRule="auto"/>
        <w:ind w:firstLine="567"/>
        <w:jc w:val="both"/>
        <w:rPr>
          <w:rFonts w:ascii="Times New Roman" w:hAnsi="Times New Roman" w:cs="Times New Roman"/>
          <w:i/>
          <w:sz w:val="24"/>
          <w:szCs w:val="24"/>
        </w:rPr>
      </w:pPr>
    </w:p>
    <w:p w14:paraId="4FD877A7" w14:textId="77777777" w:rsidR="0089314C" w:rsidRPr="002C36F8" w:rsidRDefault="000443D2" w:rsidP="000443D2">
      <w:pPr>
        <w:widowControl w:val="0"/>
        <w:spacing w:after="0" w:line="240" w:lineRule="auto"/>
        <w:jc w:val="both"/>
        <w:rPr>
          <w:rFonts w:ascii="Times New Roman" w:hAnsi="Times New Roman" w:cs="Times New Roman"/>
          <w:i/>
          <w:sz w:val="24"/>
          <w:szCs w:val="24"/>
        </w:rPr>
      </w:pPr>
      <w:r w:rsidRPr="002C36F8">
        <w:rPr>
          <w:rFonts w:ascii="Times New Roman" w:hAnsi="Times New Roman" w:cs="Times New Roman"/>
          <w:i/>
          <w:sz w:val="24"/>
          <w:szCs w:val="24"/>
        </w:rPr>
        <w:t xml:space="preserve">3.3.1 </w:t>
      </w:r>
      <w:r w:rsidR="0089314C" w:rsidRPr="002C36F8">
        <w:rPr>
          <w:rFonts w:ascii="Times New Roman" w:hAnsi="Times New Roman" w:cs="Times New Roman"/>
          <w:i/>
          <w:sz w:val="24"/>
          <w:szCs w:val="24"/>
        </w:rPr>
        <w:t>Статут на зарядна инфраструктура за превозни средства, задвижвани с водород</w:t>
      </w:r>
    </w:p>
    <w:p w14:paraId="3E731D9B" w14:textId="77777777" w:rsidR="007C210A" w:rsidRPr="002C36F8" w:rsidRDefault="007C210A" w:rsidP="007C210A">
      <w:pPr>
        <w:widowControl w:val="0"/>
        <w:spacing w:after="0" w:line="240" w:lineRule="auto"/>
        <w:ind w:firstLine="567"/>
        <w:jc w:val="both"/>
        <w:rPr>
          <w:rFonts w:ascii="Times New Roman" w:hAnsi="Times New Roman" w:cs="Times New Roman"/>
          <w:sz w:val="24"/>
          <w:szCs w:val="24"/>
        </w:rPr>
      </w:pPr>
    </w:p>
    <w:p w14:paraId="61439847" w14:textId="77777777" w:rsidR="0089314C" w:rsidRPr="002C36F8" w:rsidRDefault="0089314C" w:rsidP="007C210A">
      <w:pPr>
        <w:widowControl w:val="0"/>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Точките за зареждане с алтернативно гориво водород за моторни превозни средства представляват „строежи“ по смисъла на чл.</w:t>
      </w:r>
      <w:r w:rsidR="0002316F">
        <w:rPr>
          <w:rFonts w:ascii="Times New Roman" w:hAnsi="Times New Roman" w:cs="Times New Roman"/>
          <w:sz w:val="24"/>
          <w:szCs w:val="24"/>
        </w:rPr>
        <w:t xml:space="preserve"> </w:t>
      </w:r>
      <w:r w:rsidRPr="002C36F8">
        <w:rPr>
          <w:rFonts w:ascii="Times New Roman" w:hAnsi="Times New Roman" w:cs="Times New Roman"/>
          <w:sz w:val="24"/>
          <w:szCs w:val="24"/>
        </w:rPr>
        <w:t>137, ал. 1, т. 1, буква “г“ от Закона за устройство на територията.</w:t>
      </w:r>
    </w:p>
    <w:p w14:paraId="7935B4E1"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Изграждането на водородна зарядна станция включва следните основни компоненти: система за производство/доставка на водород, компресия, буферно съхранение на газообразен водород, система за предварително охлаждане, автомат за зареждане с газообразен водород и интерфейс на електромобила на база горивни клетки. </w:t>
      </w:r>
    </w:p>
    <w:p w14:paraId="1C691AD2" w14:textId="77777777" w:rsidR="007C210A" w:rsidRDefault="00A512FE" w:rsidP="007C210A">
      <w:pPr>
        <w:spacing w:after="0" w:line="240" w:lineRule="auto"/>
        <w:ind w:firstLine="567"/>
        <w:jc w:val="both"/>
        <w:rPr>
          <w:rFonts w:ascii="Times New Roman" w:hAnsi="Times New Roman" w:cs="Times New Roman"/>
          <w:sz w:val="24"/>
          <w:szCs w:val="24"/>
        </w:rPr>
      </w:pPr>
      <w:r w:rsidRPr="002800B2">
        <w:rPr>
          <w:rFonts w:ascii="Times New Roman" w:hAnsi="Times New Roman" w:cs="Times New Roman"/>
          <w:i/>
          <w:sz w:val="24"/>
          <w:szCs w:val="24"/>
        </w:rPr>
        <w:t>Нормативно не са уредени</w:t>
      </w:r>
      <w:r w:rsidRPr="002800B2">
        <w:rPr>
          <w:rFonts w:ascii="Times New Roman" w:hAnsi="Times New Roman" w:cs="Times New Roman"/>
          <w:sz w:val="24"/>
          <w:szCs w:val="24"/>
        </w:rPr>
        <w:t xml:space="preserve"> изискванията по отношение проектирането, строителството и функционирането на зарядните станции на водород във връзка с пожарната безопасност.</w:t>
      </w:r>
    </w:p>
    <w:p w14:paraId="0736A02B" w14:textId="77777777" w:rsidR="00A512FE" w:rsidRPr="002C36F8" w:rsidRDefault="00A512FE" w:rsidP="007C210A">
      <w:pPr>
        <w:spacing w:after="0" w:line="240" w:lineRule="auto"/>
        <w:ind w:firstLine="567"/>
        <w:jc w:val="both"/>
        <w:rPr>
          <w:rFonts w:ascii="Times New Roman" w:hAnsi="Times New Roman" w:cs="Times New Roman"/>
          <w:i/>
          <w:sz w:val="24"/>
          <w:szCs w:val="24"/>
        </w:rPr>
      </w:pPr>
    </w:p>
    <w:p w14:paraId="55AB35BC" w14:textId="77777777" w:rsidR="0089314C" w:rsidRPr="002C36F8" w:rsidRDefault="000443D2" w:rsidP="000443D2">
      <w:pPr>
        <w:spacing w:after="0" w:line="240" w:lineRule="auto"/>
        <w:jc w:val="both"/>
        <w:rPr>
          <w:rFonts w:ascii="Times New Roman" w:hAnsi="Times New Roman" w:cs="Times New Roman"/>
          <w:i/>
          <w:sz w:val="24"/>
          <w:szCs w:val="24"/>
        </w:rPr>
      </w:pPr>
      <w:r w:rsidRPr="002C36F8">
        <w:rPr>
          <w:rFonts w:ascii="Times New Roman" w:hAnsi="Times New Roman" w:cs="Times New Roman"/>
          <w:i/>
          <w:sz w:val="24"/>
          <w:szCs w:val="24"/>
        </w:rPr>
        <w:t xml:space="preserve">3.3.2 </w:t>
      </w:r>
      <w:r w:rsidR="0089314C" w:rsidRPr="002C36F8">
        <w:rPr>
          <w:rFonts w:ascii="Times New Roman" w:hAnsi="Times New Roman" w:cs="Times New Roman"/>
          <w:i/>
          <w:sz w:val="24"/>
          <w:szCs w:val="24"/>
        </w:rPr>
        <w:t>Регистрация на моторни превозни средства, задвижвани с водород</w:t>
      </w:r>
    </w:p>
    <w:p w14:paraId="24395C45" w14:textId="77777777" w:rsidR="007C210A" w:rsidRPr="002C36F8" w:rsidRDefault="007C210A" w:rsidP="007C210A">
      <w:pPr>
        <w:spacing w:after="0" w:line="240" w:lineRule="auto"/>
        <w:ind w:firstLine="567"/>
        <w:jc w:val="both"/>
        <w:rPr>
          <w:rFonts w:ascii="Times New Roman" w:hAnsi="Times New Roman" w:cs="Times New Roman"/>
          <w:sz w:val="24"/>
          <w:szCs w:val="24"/>
        </w:rPr>
      </w:pPr>
    </w:p>
    <w:p w14:paraId="479576EB"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С Наредба № І-45 от 24.03.2000 г изцяло са регламентирани процедурите за първоначална регистрация и промените в регистрацията на превозните средства, включително и на моторните превозни средства, задвижвани с водород.</w:t>
      </w:r>
    </w:p>
    <w:p w14:paraId="4BFFE385" w14:textId="77777777" w:rsidR="007C210A" w:rsidRPr="002C36F8" w:rsidRDefault="007C210A" w:rsidP="007C210A">
      <w:pPr>
        <w:spacing w:after="0" w:line="240" w:lineRule="auto"/>
        <w:ind w:firstLine="567"/>
        <w:jc w:val="both"/>
        <w:rPr>
          <w:rFonts w:ascii="Times New Roman" w:hAnsi="Times New Roman" w:cs="Times New Roman"/>
          <w:i/>
          <w:sz w:val="24"/>
          <w:szCs w:val="24"/>
        </w:rPr>
      </w:pPr>
    </w:p>
    <w:p w14:paraId="32C85077" w14:textId="77777777" w:rsidR="0089314C" w:rsidRPr="002C36F8" w:rsidRDefault="000443D2" w:rsidP="000443D2">
      <w:pPr>
        <w:spacing w:after="0" w:line="240" w:lineRule="auto"/>
        <w:jc w:val="both"/>
        <w:rPr>
          <w:rFonts w:ascii="Times New Roman" w:hAnsi="Times New Roman" w:cs="Times New Roman"/>
          <w:i/>
          <w:sz w:val="24"/>
          <w:szCs w:val="24"/>
        </w:rPr>
      </w:pPr>
      <w:r w:rsidRPr="002C36F8">
        <w:rPr>
          <w:rFonts w:ascii="Times New Roman" w:hAnsi="Times New Roman" w:cs="Times New Roman"/>
          <w:i/>
          <w:sz w:val="24"/>
          <w:szCs w:val="24"/>
        </w:rPr>
        <w:t xml:space="preserve">3.3.3 </w:t>
      </w:r>
      <w:r w:rsidR="00742222">
        <w:rPr>
          <w:rFonts w:ascii="Times New Roman" w:hAnsi="Times New Roman" w:cs="Times New Roman"/>
          <w:i/>
          <w:sz w:val="24"/>
          <w:szCs w:val="24"/>
        </w:rPr>
        <w:t>Одобряване на типа</w:t>
      </w:r>
      <w:r w:rsidR="0089314C" w:rsidRPr="002C36F8">
        <w:rPr>
          <w:rFonts w:ascii="Times New Roman" w:hAnsi="Times New Roman" w:cs="Times New Roman"/>
          <w:i/>
          <w:sz w:val="24"/>
          <w:szCs w:val="24"/>
        </w:rPr>
        <w:t xml:space="preserve"> на моторни превозни средства, задвижвани с водород</w:t>
      </w:r>
    </w:p>
    <w:p w14:paraId="49C3B554" w14:textId="77777777" w:rsidR="007C210A" w:rsidRPr="002C36F8" w:rsidRDefault="007C210A" w:rsidP="007C210A">
      <w:pPr>
        <w:spacing w:after="0" w:line="240" w:lineRule="auto"/>
        <w:ind w:firstLine="567"/>
        <w:jc w:val="both"/>
        <w:rPr>
          <w:rFonts w:ascii="Times New Roman" w:hAnsi="Times New Roman" w:cs="Times New Roman"/>
          <w:sz w:val="24"/>
          <w:szCs w:val="24"/>
        </w:rPr>
      </w:pPr>
    </w:p>
    <w:p w14:paraId="74103805" w14:textId="0A0B0CE0"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В Наредба № 60 от 2009 г. </w:t>
      </w:r>
      <w:r w:rsidR="00EA13BC" w:rsidRPr="00EA13BC">
        <w:rPr>
          <w:rFonts w:ascii="Times New Roman" w:hAnsi="Times New Roman" w:cs="Times New Roman"/>
          <w:sz w:val="24"/>
          <w:szCs w:val="24"/>
          <w:lang w:val="en-US"/>
        </w:rPr>
        <w:t>за одобряване типа на нови моторни превозни средства и техните ремаркета (обн., ДВ, бр. 40 от 2009 г.; изм., бр. 75 от 2012 г.; доп., бр. 77 от 2013 г.)</w:t>
      </w:r>
      <w:r w:rsidR="00EA13BC">
        <w:rPr>
          <w:rFonts w:ascii="Times New Roman" w:hAnsi="Times New Roman" w:cs="Times New Roman"/>
          <w:sz w:val="24"/>
          <w:szCs w:val="24"/>
        </w:rPr>
        <w:t xml:space="preserve">  </w:t>
      </w:r>
      <w:r w:rsidRPr="002C36F8">
        <w:rPr>
          <w:rFonts w:ascii="Times New Roman" w:hAnsi="Times New Roman" w:cs="Times New Roman"/>
          <w:sz w:val="24"/>
          <w:szCs w:val="24"/>
        </w:rPr>
        <w:t xml:space="preserve">са приети мерки за осигуряване прилагането на Регламент (ЕО) № 79/2009 на Европейския парламент и на Съвета от 2009 г. относно одобрение на типа на моторни превозни средства, задвижвани с водород и за изменение на Директива 2007/46/ЕО </w:t>
      </w:r>
      <w:r w:rsidRPr="002C36F8">
        <w:rPr>
          <w:rFonts w:ascii="Times New Roman" w:hAnsi="Times New Roman" w:cs="Times New Roman"/>
          <w:i/>
          <w:sz w:val="24"/>
          <w:szCs w:val="24"/>
        </w:rPr>
        <w:t>(OB L 35, 04.02.2009 г.)</w:t>
      </w:r>
      <w:r w:rsidR="00EA13BC">
        <w:rPr>
          <w:rFonts w:ascii="Times New Roman" w:hAnsi="Times New Roman" w:cs="Times New Roman"/>
          <w:i/>
          <w:sz w:val="24"/>
          <w:szCs w:val="24"/>
        </w:rPr>
        <w:t>.</w:t>
      </w:r>
      <w:r w:rsidRPr="002C36F8">
        <w:rPr>
          <w:rFonts w:ascii="Times New Roman" w:hAnsi="Times New Roman" w:cs="Times New Roman"/>
          <w:sz w:val="24"/>
          <w:szCs w:val="24"/>
        </w:rPr>
        <w:t xml:space="preserve"> В посочения регламент се установяват изисквания за </w:t>
      </w:r>
      <w:r w:rsidR="00B35B1A">
        <w:rPr>
          <w:rFonts w:ascii="Times New Roman" w:hAnsi="Times New Roman" w:cs="Times New Roman"/>
          <w:sz w:val="24"/>
          <w:szCs w:val="24"/>
        </w:rPr>
        <w:t>одобряване</w:t>
      </w:r>
      <w:r w:rsidRPr="002C36F8">
        <w:rPr>
          <w:rFonts w:ascii="Times New Roman" w:hAnsi="Times New Roman" w:cs="Times New Roman"/>
          <w:sz w:val="24"/>
          <w:szCs w:val="24"/>
        </w:rPr>
        <w:t xml:space="preserve"> на типа на моторни превозни средства по отношение на задвижването им с водород, за одобрението на типа на компонентите на водородното оборудване и водородните системи, и за монтирането на тези компоненти и системи. В чл. 3 от регламента са разписани определения за</w:t>
      </w:r>
      <w:r w:rsidR="00E1598D">
        <w:rPr>
          <w:rFonts w:ascii="Times New Roman" w:hAnsi="Times New Roman" w:cs="Times New Roman"/>
          <w:sz w:val="24"/>
          <w:szCs w:val="24"/>
        </w:rPr>
        <w:t xml:space="preserve"> </w:t>
      </w:r>
      <w:r w:rsidR="00E1598D" w:rsidRPr="00E1598D">
        <w:rPr>
          <w:rFonts w:ascii="Times New Roman" w:hAnsi="Times New Roman" w:cs="Times New Roman"/>
          <w:sz w:val="24"/>
          <w:szCs w:val="24"/>
        </w:rPr>
        <w:t>„Превозно средство, задвижвано с водород“</w:t>
      </w:r>
      <w:r w:rsidR="00E1598D">
        <w:rPr>
          <w:rFonts w:ascii="Times New Roman" w:hAnsi="Times New Roman" w:cs="Times New Roman"/>
          <w:sz w:val="24"/>
          <w:szCs w:val="24"/>
        </w:rPr>
        <w:t xml:space="preserve">, </w:t>
      </w:r>
      <w:r w:rsidR="00E1598D" w:rsidRPr="00E1598D">
        <w:rPr>
          <w:rFonts w:ascii="Times New Roman" w:hAnsi="Times New Roman" w:cs="Times New Roman"/>
          <w:sz w:val="24"/>
          <w:szCs w:val="24"/>
        </w:rPr>
        <w:t xml:space="preserve">„Компоненти на </w:t>
      </w:r>
      <w:r w:rsidR="00E1598D" w:rsidRPr="00E1598D">
        <w:rPr>
          <w:rFonts w:ascii="Times New Roman" w:hAnsi="Times New Roman" w:cs="Times New Roman"/>
          <w:sz w:val="24"/>
          <w:szCs w:val="24"/>
        </w:rPr>
        <w:lastRenderedPageBreak/>
        <w:t>водородното оборудване“</w:t>
      </w:r>
      <w:r w:rsidR="00E1598D">
        <w:rPr>
          <w:rFonts w:ascii="Times New Roman" w:hAnsi="Times New Roman" w:cs="Times New Roman"/>
          <w:sz w:val="24"/>
          <w:szCs w:val="24"/>
        </w:rPr>
        <w:t xml:space="preserve">, </w:t>
      </w:r>
      <w:r w:rsidR="00E1598D" w:rsidRPr="00E1598D">
        <w:rPr>
          <w:rFonts w:ascii="Times New Roman" w:hAnsi="Times New Roman" w:cs="Times New Roman"/>
          <w:sz w:val="24"/>
          <w:szCs w:val="24"/>
        </w:rPr>
        <w:t>„Водородна система“</w:t>
      </w:r>
      <w:r w:rsidR="00E1598D">
        <w:rPr>
          <w:rFonts w:ascii="Times New Roman" w:hAnsi="Times New Roman" w:cs="Times New Roman"/>
          <w:sz w:val="24"/>
          <w:szCs w:val="24"/>
        </w:rPr>
        <w:t xml:space="preserve">, </w:t>
      </w:r>
      <w:r w:rsidR="00E1598D" w:rsidRPr="00E1598D">
        <w:rPr>
          <w:rFonts w:ascii="Times New Roman" w:hAnsi="Times New Roman" w:cs="Times New Roman"/>
          <w:sz w:val="24"/>
          <w:szCs w:val="24"/>
        </w:rPr>
        <w:t>„Превозно средство, задвижвано с водородни горивни клетки“</w:t>
      </w:r>
      <w:r w:rsidR="00E1598D">
        <w:rPr>
          <w:rFonts w:ascii="Times New Roman" w:hAnsi="Times New Roman" w:cs="Times New Roman"/>
          <w:sz w:val="24"/>
          <w:szCs w:val="24"/>
        </w:rPr>
        <w:t xml:space="preserve">, </w:t>
      </w:r>
      <w:r w:rsidR="00E1598D" w:rsidRPr="00E1598D">
        <w:rPr>
          <w:rFonts w:ascii="Times New Roman" w:hAnsi="Times New Roman" w:cs="Times New Roman"/>
          <w:sz w:val="24"/>
          <w:szCs w:val="24"/>
        </w:rPr>
        <w:t>„Едногоривно превозно средство, работещо с газообразно гориво“</w:t>
      </w:r>
      <w:r w:rsidR="00E1598D">
        <w:rPr>
          <w:rFonts w:ascii="Times New Roman" w:hAnsi="Times New Roman" w:cs="Times New Roman"/>
          <w:sz w:val="24"/>
          <w:szCs w:val="24"/>
        </w:rPr>
        <w:t xml:space="preserve"> и др.</w:t>
      </w:r>
    </w:p>
    <w:p w14:paraId="2D421639"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w:t>
      </w:r>
      <w:r w:rsidRPr="002C36F8">
        <w:rPr>
          <w:rFonts w:ascii="Times New Roman" w:hAnsi="Times New Roman" w:cs="Times New Roman"/>
          <w:b/>
          <w:sz w:val="24"/>
          <w:szCs w:val="24"/>
        </w:rPr>
        <w:t>Превозно средство, задвижвано с водород“</w:t>
      </w:r>
      <w:r w:rsidRPr="002C36F8">
        <w:rPr>
          <w:rFonts w:ascii="Times New Roman" w:hAnsi="Times New Roman" w:cs="Times New Roman"/>
          <w:sz w:val="24"/>
          <w:szCs w:val="24"/>
        </w:rPr>
        <w:t xml:space="preserve"> - означава всяко моторно превозно средство, което използва водород като гориво за задвижване на превозното средство;</w:t>
      </w:r>
    </w:p>
    <w:p w14:paraId="5B5B4CAA"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
          <w:sz w:val="24"/>
          <w:szCs w:val="24"/>
        </w:rPr>
        <w:t>„Компоненти на водородното оборудване“</w:t>
      </w:r>
      <w:r w:rsidRPr="002C36F8">
        <w:rPr>
          <w:rFonts w:ascii="Times New Roman" w:hAnsi="Times New Roman" w:cs="Times New Roman"/>
          <w:sz w:val="24"/>
          <w:szCs w:val="24"/>
        </w:rPr>
        <w:t xml:space="preserve"> - означава резервоара за водород и всички други части на превозното средство, задвижвано с водород, които са в пряк контакт с водорода или които представляват част от водородна система;</w:t>
      </w:r>
    </w:p>
    <w:p w14:paraId="58990C4B" w14:textId="77777777" w:rsidR="00147D18" w:rsidRPr="008045CD"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b/>
          <w:sz w:val="24"/>
          <w:szCs w:val="24"/>
        </w:rPr>
        <w:t>„Водородна система“</w:t>
      </w:r>
      <w:r w:rsidRPr="002C36F8">
        <w:rPr>
          <w:rFonts w:ascii="Times New Roman" w:hAnsi="Times New Roman" w:cs="Times New Roman"/>
          <w:sz w:val="24"/>
          <w:szCs w:val="24"/>
        </w:rPr>
        <w:t xml:space="preserve"> - означава съвкупност от компонентите на водородното оборудване и скрепителните части, монтирани на превозни средства, задвижвани с водород, с изключение на задвижващите системи или спомагателните енергийни агрегати</w:t>
      </w:r>
      <w:r w:rsidR="00147D18" w:rsidRPr="008045CD">
        <w:rPr>
          <w:rFonts w:ascii="Times New Roman" w:hAnsi="Times New Roman" w:cs="Times New Roman"/>
          <w:sz w:val="24"/>
          <w:szCs w:val="24"/>
        </w:rPr>
        <w:t>;</w:t>
      </w:r>
    </w:p>
    <w:p w14:paraId="027980BA" w14:textId="77777777" w:rsidR="0089314C" w:rsidRDefault="00147D18" w:rsidP="007C210A">
      <w:pPr>
        <w:spacing w:after="0" w:line="240" w:lineRule="auto"/>
        <w:ind w:firstLine="567"/>
        <w:jc w:val="both"/>
        <w:rPr>
          <w:rFonts w:ascii="Times New Roman" w:eastAsia="Times New Roman" w:hAnsi="Times New Roman" w:cs="Times New Roman"/>
          <w:color w:val="000000"/>
          <w:sz w:val="24"/>
          <w:szCs w:val="24"/>
          <w:lang w:eastAsia="bg-BG"/>
        </w:rPr>
      </w:pPr>
      <w:r w:rsidRPr="00147D18">
        <w:rPr>
          <w:rFonts w:ascii="Times New Roman" w:eastAsia="Times New Roman" w:hAnsi="Times New Roman" w:cs="Times New Roman"/>
          <w:b/>
          <w:color w:val="000000"/>
          <w:sz w:val="24"/>
          <w:szCs w:val="24"/>
          <w:lang w:eastAsia="bg-BG"/>
        </w:rPr>
        <w:t>„Превозно средство, задвижвано с водородни горивни клетки“</w:t>
      </w:r>
      <w:r>
        <w:rPr>
          <w:rFonts w:ascii="Times New Roman" w:eastAsia="Times New Roman" w:hAnsi="Times New Roman" w:cs="Times New Roman"/>
          <w:color w:val="000000"/>
          <w:sz w:val="24"/>
          <w:szCs w:val="24"/>
          <w:lang w:eastAsia="bg-BG"/>
        </w:rPr>
        <w:t xml:space="preserve"> - </w:t>
      </w:r>
      <w:r w:rsidR="00A43418" w:rsidRPr="00A43418">
        <w:rPr>
          <w:rFonts w:ascii="Times New Roman" w:eastAsia="Times New Roman" w:hAnsi="Times New Roman" w:cs="Times New Roman"/>
          <w:color w:val="000000"/>
          <w:sz w:val="24"/>
          <w:szCs w:val="24"/>
          <w:lang w:eastAsia="bg-BG"/>
        </w:rPr>
        <w:t>означава превозно средство, което се задвижва с горивна клетка, която преобразува химическата енергия на водорода в електрическа енергия за задвижване на превозното средство;</w:t>
      </w:r>
    </w:p>
    <w:p w14:paraId="0A4C0D21" w14:textId="77777777" w:rsidR="00A43418" w:rsidRDefault="00113CD7" w:rsidP="007C210A">
      <w:pPr>
        <w:spacing w:after="0" w:line="240" w:lineRule="auto"/>
        <w:ind w:firstLine="567"/>
        <w:jc w:val="both"/>
        <w:rPr>
          <w:rFonts w:ascii="Times New Roman" w:eastAsia="Times New Roman" w:hAnsi="Times New Roman" w:cs="Times New Roman"/>
          <w:color w:val="000000"/>
          <w:sz w:val="24"/>
          <w:szCs w:val="24"/>
          <w:lang w:eastAsia="bg-BG"/>
        </w:rPr>
      </w:pPr>
      <w:r w:rsidRPr="00113CD7">
        <w:rPr>
          <w:rFonts w:ascii="Times New Roman" w:eastAsia="Times New Roman" w:hAnsi="Times New Roman" w:cs="Times New Roman"/>
          <w:b/>
          <w:color w:val="000000"/>
          <w:sz w:val="24"/>
          <w:szCs w:val="24"/>
          <w:lang w:eastAsia="bg-BG"/>
        </w:rPr>
        <w:t>„Едногоривно превозно средство, работещо с газообразно гориво“</w:t>
      </w:r>
      <w:r w:rsidRPr="00113CD7">
        <w:rPr>
          <w:rFonts w:ascii="Times New Roman" w:eastAsia="Times New Roman" w:hAnsi="Times New Roman" w:cs="Times New Roman"/>
          <w:color w:val="000000"/>
          <w:sz w:val="24"/>
          <w:szCs w:val="24"/>
          <w:lang w:eastAsia="bg-BG"/>
        </w:rPr>
        <w:t xml:space="preserve"> означава едногоривно превозно средство, което работи предимно с LPG, NG/биометан или водород, но</w:t>
      </w:r>
      <w:r w:rsidR="00E1598D" w:rsidRPr="00E1598D">
        <w:t xml:space="preserve"> </w:t>
      </w:r>
      <w:r w:rsidR="00E1598D" w:rsidRPr="00E1598D">
        <w:rPr>
          <w:rFonts w:ascii="Times New Roman" w:eastAsia="Times New Roman" w:hAnsi="Times New Roman" w:cs="Times New Roman"/>
          <w:color w:val="000000"/>
          <w:sz w:val="24"/>
          <w:szCs w:val="24"/>
          <w:lang w:eastAsia="bg-BG"/>
        </w:rPr>
        <w:t>което може да има и система за работа с петролни горива, използвана само при спешни случаи или за пускане в ход на двигателя, и чийто резервоар за петролни горива е с максимална вместимост 5 литра;</w:t>
      </w:r>
      <w:r w:rsidR="00E1598D">
        <w:rPr>
          <w:rFonts w:ascii="Times New Roman" w:eastAsia="Times New Roman" w:hAnsi="Times New Roman" w:cs="Times New Roman"/>
          <w:color w:val="000000"/>
          <w:sz w:val="24"/>
          <w:szCs w:val="24"/>
          <w:lang w:eastAsia="bg-BG"/>
        </w:rPr>
        <w:t xml:space="preserve"> и др.</w:t>
      </w:r>
    </w:p>
    <w:p w14:paraId="22A06F41" w14:textId="74E2E842" w:rsidR="0089314C" w:rsidRPr="002C36F8" w:rsidRDefault="0089314C" w:rsidP="007C210A">
      <w:pPr>
        <w:spacing w:after="0" w:line="240" w:lineRule="auto"/>
        <w:ind w:firstLine="567"/>
        <w:jc w:val="both"/>
        <w:rPr>
          <w:rFonts w:ascii="Times New Roman" w:hAnsi="Times New Roman" w:cs="Times New Roman"/>
          <w:sz w:val="24"/>
          <w:szCs w:val="24"/>
        </w:rPr>
      </w:pPr>
      <w:r w:rsidRPr="00D10BEE">
        <w:rPr>
          <w:rFonts w:ascii="Times New Roman" w:hAnsi="Times New Roman" w:cs="Times New Roman"/>
          <w:sz w:val="24"/>
          <w:szCs w:val="24"/>
        </w:rPr>
        <w:t xml:space="preserve">Регламент (ЕО) № 79/2009 е отделен нормативен акт на Европейския съюз за целите на процедурата за одобряване типа на превозните средства, предвидена в Директива 2007/46/ЕО. </w:t>
      </w:r>
    </w:p>
    <w:p w14:paraId="7FD8C6EC" w14:textId="60C845D7" w:rsidR="0089314C" w:rsidRPr="002C36F8" w:rsidRDefault="0089314C" w:rsidP="007C210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С влизането в сила на Регламент (ЕО) № 406/2010 на Комисията </w:t>
      </w:r>
      <w:r w:rsidRPr="002C36F8">
        <w:rPr>
          <w:rFonts w:ascii="Times New Roman" w:eastAsia="Times New Roman" w:hAnsi="Times New Roman" w:cs="Times New Roman"/>
          <w:bCs/>
          <w:color w:val="000000"/>
          <w:sz w:val="24"/>
          <w:szCs w:val="24"/>
          <w:lang w:eastAsia="bg-BG"/>
        </w:rPr>
        <w:t>от 26.04.2010 г.</w:t>
      </w:r>
      <w:r w:rsidRPr="002C36F8">
        <w:rPr>
          <w:rFonts w:ascii="Times New Roman" w:eastAsia="Times New Roman" w:hAnsi="Times New Roman" w:cs="Times New Roman"/>
          <w:color w:val="000000"/>
          <w:sz w:val="24"/>
          <w:szCs w:val="24"/>
          <w:lang w:eastAsia="bg-BG"/>
        </w:rPr>
        <w:t xml:space="preserve"> </w:t>
      </w:r>
      <w:r w:rsidRPr="002C36F8">
        <w:rPr>
          <w:rFonts w:ascii="Times New Roman" w:eastAsia="Times New Roman" w:hAnsi="Times New Roman" w:cs="Times New Roman"/>
          <w:bCs/>
          <w:color w:val="000000"/>
          <w:sz w:val="24"/>
          <w:szCs w:val="24"/>
          <w:lang w:eastAsia="bg-BG"/>
        </w:rPr>
        <w:t xml:space="preserve">за прилагане на Регламент (ЕО) № 79/2009 </w:t>
      </w:r>
      <w:r w:rsidRPr="002C36F8">
        <w:rPr>
          <w:rFonts w:ascii="Times New Roman" w:eastAsia="Times New Roman" w:hAnsi="Times New Roman" w:cs="Times New Roman"/>
          <w:color w:val="000000"/>
          <w:sz w:val="24"/>
          <w:szCs w:val="24"/>
          <w:lang w:eastAsia="bg-BG"/>
        </w:rPr>
        <w:t xml:space="preserve">производителите следва да имат възможност да подават на доброволен принцип за превозни средства, задвижвани с водород, ЕО заявление за </w:t>
      </w:r>
      <w:r w:rsidR="00B35B1A">
        <w:rPr>
          <w:rFonts w:ascii="Times New Roman" w:eastAsia="Times New Roman" w:hAnsi="Times New Roman" w:cs="Times New Roman"/>
          <w:color w:val="000000"/>
          <w:sz w:val="24"/>
          <w:szCs w:val="24"/>
          <w:lang w:eastAsia="bg-BG"/>
        </w:rPr>
        <w:t>одобряване</w:t>
      </w:r>
      <w:r w:rsidRPr="002C36F8">
        <w:rPr>
          <w:rFonts w:ascii="Times New Roman" w:eastAsia="Times New Roman" w:hAnsi="Times New Roman" w:cs="Times New Roman"/>
          <w:color w:val="000000"/>
          <w:sz w:val="24"/>
          <w:szCs w:val="24"/>
          <w:lang w:eastAsia="bg-BG"/>
        </w:rPr>
        <w:t xml:space="preserve"> на типа на цяло превозно средство. </w:t>
      </w:r>
    </w:p>
    <w:p w14:paraId="3A545724"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С Наредба № 60 изцяло са регламентирани процедурите за одобряване типа на превозните средства, включително и на моторните превозни средства, задвижвани с водород.</w:t>
      </w:r>
    </w:p>
    <w:p w14:paraId="509FC4A3"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За одобряване типа на превозните средства те следва да отговарят на изискванията на регулаторните актове, посочени в Приложение ІV или ХІ от Директива 2007/46/ЕО (приложение № 10 или 11 на Наредба № 60), а моторните превозни средства, задвижвани с водород и на изискванията на Регламент (ЕО) № 79/2009.</w:t>
      </w:r>
    </w:p>
    <w:p w14:paraId="1C4782C6" w14:textId="77777777" w:rsidR="0089314C" w:rsidRDefault="0089314C" w:rsidP="007C210A">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В Делегиран регламент (ЕС) № 134/2014 на Комисията от 2013 година за допълнение на Регламент (ЕС) № 168/2013 на Европейския парламент и на Съвета във връзка с изискванията по отношение на екологичните характеристики и характеристиките на задвижването и за изменение на приложение V от него (OB L 53, 21.2.2014 г.) са регламентирани технически изисквания за изпитване за превозни средства от категория L, работещи с водород.</w:t>
      </w:r>
      <w:r w:rsidRPr="002C36F8">
        <w:rPr>
          <w:rFonts w:ascii="Times New Roman" w:eastAsia="Times New Roman" w:hAnsi="Times New Roman" w:cs="Times New Roman"/>
          <w:b/>
          <w:color w:val="000000"/>
          <w:sz w:val="24"/>
          <w:szCs w:val="24"/>
          <w:lang w:eastAsia="bg-BG"/>
        </w:rPr>
        <w:t xml:space="preserve"> </w:t>
      </w:r>
      <w:r w:rsidRPr="002C36F8">
        <w:rPr>
          <w:rFonts w:ascii="Times New Roman" w:eastAsia="Times New Roman" w:hAnsi="Times New Roman" w:cs="Times New Roman"/>
          <w:color w:val="000000"/>
          <w:sz w:val="24"/>
          <w:szCs w:val="24"/>
          <w:lang w:eastAsia="bg-BG"/>
        </w:rPr>
        <w:t>В регламента също така е включено определение за „Превозно средство, работещо с алтернативно гориво“.</w:t>
      </w:r>
      <w:r w:rsidRPr="002C36F8">
        <w:rPr>
          <w:rFonts w:ascii="Times New Roman" w:eastAsia="Times New Roman" w:hAnsi="Times New Roman" w:cs="Times New Roman"/>
          <w:b/>
          <w:color w:val="000000"/>
          <w:sz w:val="24"/>
          <w:szCs w:val="24"/>
          <w:lang w:eastAsia="bg-BG"/>
        </w:rPr>
        <w:t xml:space="preserve"> </w:t>
      </w:r>
      <w:r w:rsidRPr="002C36F8">
        <w:rPr>
          <w:rFonts w:ascii="Times New Roman" w:eastAsia="Times New Roman" w:hAnsi="Times New Roman" w:cs="Times New Roman"/>
          <w:color w:val="000000"/>
          <w:sz w:val="24"/>
          <w:szCs w:val="24"/>
          <w:lang w:eastAsia="bg-BG"/>
        </w:rPr>
        <w:t>По отношение на използваното водородно оборудване за МПС от категория L се прилагат изискванията на Регламент (ЕО) № 79/2009.</w:t>
      </w:r>
    </w:p>
    <w:p w14:paraId="7E70AC6F" w14:textId="77777777" w:rsidR="0089314C" w:rsidRPr="00A512FE" w:rsidRDefault="0089314C" w:rsidP="00A512FE">
      <w:pPr>
        <w:widowControl w:val="0"/>
        <w:spacing w:after="0" w:line="240" w:lineRule="auto"/>
        <w:ind w:firstLine="567"/>
        <w:jc w:val="both"/>
        <w:rPr>
          <w:rFonts w:ascii="Times New Roman" w:eastAsia="Times New Roman" w:hAnsi="Times New Roman" w:cs="Times New Roman"/>
          <w:color w:val="000000"/>
          <w:sz w:val="24"/>
          <w:szCs w:val="24"/>
          <w:lang w:eastAsia="bg-BG"/>
        </w:rPr>
      </w:pPr>
    </w:p>
    <w:p w14:paraId="43941B9B" w14:textId="77777777" w:rsidR="0089314C" w:rsidRPr="002C36F8" w:rsidRDefault="000443D2" w:rsidP="000443D2">
      <w:pPr>
        <w:widowControl w:val="0"/>
        <w:spacing w:after="0" w:line="240" w:lineRule="auto"/>
        <w:jc w:val="both"/>
        <w:rPr>
          <w:rFonts w:ascii="Times New Roman" w:eastAsia="Times New Roman" w:hAnsi="Times New Roman" w:cs="Times New Roman"/>
          <w:b/>
          <w:i/>
          <w:color w:val="000000"/>
          <w:sz w:val="24"/>
          <w:szCs w:val="24"/>
          <w:u w:val="single"/>
          <w:lang w:eastAsia="bg-BG"/>
        </w:rPr>
      </w:pPr>
      <w:r w:rsidRPr="002C36F8">
        <w:rPr>
          <w:rFonts w:ascii="Times New Roman" w:eastAsia="Times New Roman" w:hAnsi="Times New Roman" w:cs="Times New Roman"/>
          <w:b/>
          <w:i/>
          <w:color w:val="000000"/>
          <w:sz w:val="24"/>
          <w:szCs w:val="24"/>
          <w:u w:val="single"/>
          <w:lang w:eastAsia="bg-BG"/>
        </w:rPr>
        <w:t xml:space="preserve">3.4. </w:t>
      </w:r>
      <w:r w:rsidR="0089314C" w:rsidRPr="002C36F8">
        <w:rPr>
          <w:rFonts w:ascii="Times New Roman" w:eastAsia="Times New Roman" w:hAnsi="Times New Roman" w:cs="Times New Roman"/>
          <w:b/>
          <w:i/>
          <w:color w:val="000000"/>
          <w:sz w:val="24"/>
          <w:szCs w:val="24"/>
          <w:u w:val="single"/>
          <w:lang w:eastAsia="bg-BG"/>
        </w:rPr>
        <w:t>Законодателна рамка – биогорива</w:t>
      </w:r>
    </w:p>
    <w:p w14:paraId="23F3D7C3" w14:textId="77777777" w:rsidR="007C210A" w:rsidRPr="002C36F8" w:rsidRDefault="007C210A" w:rsidP="007C210A">
      <w:pPr>
        <w:widowControl w:val="0"/>
        <w:spacing w:after="0" w:line="240" w:lineRule="auto"/>
        <w:ind w:firstLine="567"/>
        <w:jc w:val="both"/>
        <w:rPr>
          <w:rFonts w:ascii="Times New Roman" w:eastAsia="Times New Roman" w:hAnsi="Times New Roman" w:cs="Times New Roman"/>
          <w:b/>
          <w:color w:val="000000"/>
          <w:sz w:val="24"/>
          <w:szCs w:val="24"/>
          <w:lang w:eastAsia="bg-BG"/>
        </w:rPr>
      </w:pPr>
    </w:p>
    <w:p w14:paraId="5CA90E22" w14:textId="7E2C3AC5"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През м</w:t>
      </w:r>
      <w:r w:rsidR="0002316F">
        <w:rPr>
          <w:rFonts w:ascii="Times New Roman" w:hAnsi="Times New Roman" w:cs="Times New Roman"/>
          <w:sz w:val="24"/>
          <w:szCs w:val="24"/>
        </w:rPr>
        <w:t>есец</w:t>
      </w:r>
      <w:r w:rsidRPr="002C36F8">
        <w:rPr>
          <w:rFonts w:ascii="Times New Roman" w:hAnsi="Times New Roman" w:cs="Times New Roman"/>
          <w:sz w:val="24"/>
          <w:szCs w:val="24"/>
        </w:rPr>
        <w:t xml:space="preserve"> май 2011 г. </w:t>
      </w:r>
      <w:r w:rsidR="0002316F">
        <w:rPr>
          <w:rFonts w:ascii="Times New Roman" w:hAnsi="Times New Roman" w:cs="Times New Roman"/>
          <w:sz w:val="24"/>
          <w:szCs w:val="24"/>
        </w:rPr>
        <w:t xml:space="preserve">Република </w:t>
      </w:r>
      <w:r w:rsidRPr="002C36F8">
        <w:rPr>
          <w:rFonts w:ascii="Times New Roman" w:hAnsi="Times New Roman" w:cs="Times New Roman"/>
          <w:sz w:val="24"/>
          <w:szCs w:val="24"/>
        </w:rPr>
        <w:t xml:space="preserve">България транспонира </w:t>
      </w:r>
      <w:r w:rsidR="0002316F" w:rsidRPr="0002316F">
        <w:rPr>
          <w:rFonts w:ascii="Times New Roman" w:hAnsi="Times New Roman" w:cs="Times New Roman"/>
          <w:sz w:val="24"/>
          <w:szCs w:val="24"/>
        </w:rPr>
        <w:t>Директива 2009/28/ЕО на Европейския парламент и на Съвета от 23 април 2009 г. за насърчаване използването на енергия от възобновяеми източници и за изменение и впоследствие за отмяна на директиви 2001/77/ЕО и 2003/30/ЕО (ОВ, L 140/16 от 5 юни 2009 г.)</w:t>
      </w:r>
      <w:r w:rsidRPr="002C36F8">
        <w:rPr>
          <w:rFonts w:ascii="Times New Roman" w:hAnsi="Times New Roman" w:cs="Times New Roman"/>
          <w:sz w:val="24"/>
          <w:szCs w:val="24"/>
        </w:rPr>
        <w:t xml:space="preserve"> </w:t>
      </w:r>
      <w:r w:rsidR="007A464B">
        <w:rPr>
          <w:rFonts w:ascii="Times New Roman" w:hAnsi="Times New Roman" w:cs="Times New Roman"/>
          <w:sz w:val="24"/>
          <w:szCs w:val="24"/>
        </w:rPr>
        <w:t>със</w:t>
      </w:r>
      <w:r w:rsidR="007A464B" w:rsidRPr="002C36F8">
        <w:rPr>
          <w:rFonts w:ascii="Times New Roman" w:hAnsi="Times New Roman" w:cs="Times New Roman"/>
          <w:sz w:val="24"/>
          <w:szCs w:val="24"/>
        </w:rPr>
        <w:t xml:space="preserve"> </w:t>
      </w:r>
      <w:r w:rsidRPr="002C36F8">
        <w:rPr>
          <w:rFonts w:ascii="Times New Roman" w:hAnsi="Times New Roman" w:cs="Times New Roman"/>
          <w:sz w:val="24"/>
          <w:szCs w:val="24"/>
        </w:rPr>
        <w:t>Закона за енергията от възобновяеми източници</w:t>
      </w:r>
      <w:r w:rsidR="00CF0971">
        <w:rPr>
          <w:rFonts w:ascii="Times New Roman" w:hAnsi="Times New Roman" w:cs="Times New Roman"/>
          <w:sz w:val="24"/>
          <w:szCs w:val="24"/>
        </w:rPr>
        <w:t xml:space="preserve"> </w:t>
      </w:r>
      <w:r w:rsidRPr="002C36F8">
        <w:rPr>
          <w:rFonts w:ascii="Times New Roman" w:hAnsi="Times New Roman" w:cs="Times New Roman"/>
          <w:sz w:val="24"/>
          <w:szCs w:val="24"/>
        </w:rPr>
        <w:t>(ЗЕВИ) .</w:t>
      </w:r>
    </w:p>
    <w:p w14:paraId="5C901454"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lastRenderedPageBreak/>
        <w:t xml:space="preserve">В чл. 12 </w:t>
      </w:r>
      <w:r w:rsidR="0002316F">
        <w:rPr>
          <w:rFonts w:ascii="Times New Roman" w:hAnsi="Times New Roman" w:cs="Times New Roman"/>
          <w:sz w:val="24"/>
          <w:szCs w:val="24"/>
        </w:rPr>
        <w:t>от з</w:t>
      </w:r>
      <w:r w:rsidRPr="002C36F8">
        <w:rPr>
          <w:rFonts w:ascii="Times New Roman" w:hAnsi="Times New Roman" w:cs="Times New Roman"/>
          <w:sz w:val="24"/>
          <w:szCs w:val="24"/>
        </w:rPr>
        <w:t xml:space="preserve">акона е заложена задължителна национална цел на Република България за 16 на сто общ дял на енергията от възобновяеми източници в брутното крайно потребление на енергия, включително 10 на сто задължителен дял на енергията от възобновяеми източници в транспорта. </w:t>
      </w:r>
    </w:p>
    <w:p w14:paraId="1E68BC86"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Необходимото количество на биогоривата и енергията от възобновяеми източници в транспорта е определено като дял от крайното потребление на бензините, дизеловите горива, биогоривата, потребени в пътния и железопътния транспорт, и електрическата енергия от възобновяеми източници, използвана в транспорта.</w:t>
      </w:r>
    </w:p>
    <w:p w14:paraId="33152AA3" w14:textId="77777777" w:rsidR="0089314C" w:rsidRPr="002C36F8" w:rsidRDefault="0089314C" w:rsidP="007C210A">
      <w:pPr>
        <w:spacing w:after="0" w:line="240" w:lineRule="auto"/>
        <w:ind w:firstLine="567"/>
        <w:jc w:val="both"/>
        <w:rPr>
          <w:rFonts w:ascii="Times New Roman" w:eastAsia="Times New Roman" w:hAnsi="Times New Roman" w:cs="Times New Roman"/>
          <w:vanish/>
          <w:sz w:val="24"/>
          <w:szCs w:val="24"/>
          <w:lang w:eastAsia="bg-BG"/>
        </w:rPr>
      </w:pPr>
      <w:r w:rsidRPr="002C36F8">
        <w:rPr>
          <w:rFonts w:ascii="Times New Roman" w:hAnsi="Times New Roman" w:cs="Times New Roman"/>
          <w:sz w:val="24"/>
          <w:szCs w:val="24"/>
        </w:rPr>
        <w:t xml:space="preserve">Съгласно чл. 36 </w:t>
      </w:r>
      <w:r w:rsidR="000244FB">
        <w:rPr>
          <w:rFonts w:ascii="Times New Roman" w:hAnsi="Times New Roman" w:cs="Times New Roman"/>
          <w:sz w:val="24"/>
          <w:szCs w:val="24"/>
        </w:rPr>
        <w:t>от</w:t>
      </w:r>
      <w:r w:rsidR="000244FB" w:rsidRPr="002C36F8">
        <w:rPr>
          <w:rFonts w:ascii="Times New Roman" w:hAnsi="Times New Roman" w:cs="Times New Roman"/>
          <w:sz w:val="24"/>
          <w:szCs w:val="24"/>
        </w:rPr>
        <w:t xml:space="preserve"> </w:t>
      </w:r>
      <w:r w:rsidRPr="002C36F8">
        <w:rPr>
          <w:rFonts w:ascii="Times New Roman" w:hAnsi="Times New Roman" w:cs="Times New Roman"/>
          <w:sz w:val="24"/>
          <w:szCs w:val="24"/>
        </w:rPr>
        <w:t>ЗЕВИ производството и потреблението на биогорива и енергия от възобновяеми източници в транспорта се насърчават чрез:</w:t>
      </w:r>
    </w:p>
    <w:p w14:paraId="4E116D68"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достъпност на транспортните горива;</w:t>
      </w:r>
    </w:p>
    <w:p w14:paraId="0D9EFF7C"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осигуряване ефективна работа на двигателите при спазване на техническите и качествените норми за производство на биогорива;</w:t>
      </w:r>
    </w:p>
    <w:p w14:paraId="27BBDD37"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предлагане на смеси на биогорива като съставна част на течните горива от нефтен произход за двигатели с вътрешно горене;</w:t>
      </w:r>
    </w:p>
    <w:p w14:paraId="6D223E0D"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устойчиво развитие на земеделието и горското стопанство;</w:t>
      </w:r>
    </w:p>
    <w:p w14:paraId="55B365F8"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развитие и въвеждане на нови технологии за оползотворяване на отпадъци, остатъци, нехранителни целулозни и лигноцелулозни материали за производството на биогорива;</w:t>
      </w:r>
    </w:p>
    <w:p w14:paraId="5E5BAEA3"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развитие и въвеждане на електрически автомобили в обществения и личния транспорт;</w:t>
      </w:r>
    </w:p>
    <w:p w14:paraId="7E47915B"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изграждане на станции за зареждане на електрически автомобили при строеж на нови или реконструкция на съществуващи паркинги в урбанизираните територии;</w:t>
      </w:r>
    </w:p>
    <w:p w14:paraId="1AA050B7"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изграждане на инфраструктура за зареждане на електрически автомобили извън урбанизираните територии;</w:t>
      </w:r>
    </w:p>
    <w:p w14:paraId="13452B50" w14:textId="77777777" w:rsidR="0089314C" w:rsidRPr="002C36F8" w:rsidRDefault="0089314C" w:rsidP="001A0506">
      <w:pPr>
        <w:numPr>
          <w:ilvl w:val="0"/>
          <w:numId w:val="2"/>
        </w:numPr>
        <w:spacing w:after="0" w:line="240" w:lineRule="auto"/>
        <w:ind w:left="426" w:hanging="283"/>
        <w:jc w:val="both"/>
        <w:rPr>
          <w:rFonts w:ascii="Times New Roman" w:hAnsi="Times New Roman" w:cs="Times New Roman"/>
          <w:sz w:val="24"/>
          <w:szCs w:val="24"/>
        </w:rPr>
      </w:pPr>
      <w:r w:rsidRPr="002C36F8">
        <w:rPr>
          <w:rFonts w:ascii="Times New Roman" w:hAnsi="Times New Roman" w:cs="Times New Roman"/>
          <w:sz w:val="24"/>
          <w:szCs w:val="24"/>
        </w:rPr>
        <w:t>финансова подкрепа за потреблението на биогорива.</w:t>
      </w:r>
    </w:p>
    <w:p w14:paraId="5F9B63B1"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За производството и потреблението на биогорива и енергия от възобновяеми източници в транспорта и на течни горива от биомаса се предоставя и финансова подкрепа, но само в случаите, когато те отговарят на критериите за устойчивост. В случай на предоставяне на финансова подкрепа за производство на биогорива приоритет се дава на производството на биогорива от отпадъци, остатъци, нехранителни целулозни материали и лигноцелулозни материали.</w:t>
      </w:r>
    </w:p>
    <w:p w14:paraId="674C7004" w14:textId="77777777" w:rsidR="0089314C" w:rsidRPr="008045CD"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Съгласно чл. 37 </w:t>
      </w:r>
      <w:r w:rsidR="000244FB">
        <w:rPr>
          <w:rFonts w:ascii="Times New Roman" w:hAnsi="Times New Roman" w:cs="Times New Roman"/>
          <w:sz w:val="24"/>
          <w:szCs w:val="24"/>
        </w:rPr>
        <w:t>от</w:t>
      </w:r>
      <w:r w:rsidR="000244FB" w:rsidRPr="002C36F8">
        <w:rPr>
          <w:rFonts w:ascii="Times New Roman" w:hAnsi="Times New Roman" w:cs="Times New Roman"/>
          <w:sz w:val="24"/>
          <w:szCs w:val="24"/>
        </w:rPr>
        <w:t xml:space="preserve"> </w:t>
      </w:r>
      <w:r w:rsidRPr="002C36F8">
        <w:rPr>
          <w:rFonts w:ascii="Times New Roman" w:hAnsi="Times New Roman" w:cs="Times New Roman"/>
          <w:sz w:val="24"/>
          <w:szCs w:val="24"/>
        </w:rPr>
        <w:t xml:space="preserve">ЗЕВИ биогоривата и течните горива от биомаса се отчитат единствено при условие, ако </w:t>
      </w:r>
      <w:bookmarkStart w:id="0" w:name="to_paragraph_id5704811"/>
      <w:bookmarkEnd w:id="0"/>
      <w:r w:rsidRPr="002C36F8">
        <w:rPr>
          <w:rFonts w:ascii="Times New Roman" w:hAnsi="Times New Roman" w:cs="Times New Roman"/>
          <w:sz w:val="24"/>
          <w:szCs w:val="24"/>
        </w:rPr>
        <w:t xml:space="preserve">суровините използвани при тяхното производство отговарят на определени критерии за устойчивост. Сред тях е да </w:t>
      </w:r>
      <w:r w:rsidRPr="002C36F8">
        <w:rPr>
          <w:rFonts w:ascii="Times New Roman" w:eastAsia="Times New Roman" w:hAnsi="Times New Roman" w:cs="Times New Roman"/>
          <w:color w:val="000000"/>
          <w:sz w:val="24"/>
          <w:szCs w:val="24"/>
          <w:lang w:eastAsia="bg-BG"/>
        </w:rPr>
        <w:t>водят като резултат при потреблението на произведените от тях биогорива и течни горива от биомаса до следното намаляване на емисиите на парникови газове:</w:t>
      </w:r>
    </w:p>
    <w:p w14:paraId="7A7226CF"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а) най-малко 35 на сто - считано до 31 декември 2016 г.;</w:t>
      </w:r>
    </w:p>
    <w:p w14:paraId="0847DFD8"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б) най-малко 50 на сто - считано от 1 януари 2017 г.;</w:t>
      </w:r>
    </w:p>
    <w:p w14:paraId="486312B2"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в) най-малко 60 на сто за биогорива и течни горива от биомаса, произведени в инсталации, в които производството е започнало от 1 януари 2017 г. - считано от 1 януари 2018 г.</w:t>
      </w:r>
    </w:p>
    <w:p w14:paraId="1BD11D78"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hAnsi="Times New Roman" w:cs="Times New Roman"/>
          <w:sz w:val="24"/>
          <w:szCs w:val="24"/>
        </w:rPr>
        <w:t xml:space="preserve">Eмисиите на парникови газове от целия жизнен цикъл на биогоривата и на течните горива от биомаса се изчисляват съгласно методиката, одобрена по реда на </w:t>
      </w:r>
      <w:hyperlink r:id="rId11" w:history="1">
        <w:r w:rsidRPr="002C36F8">
          <w:rPr>
            <w:rFonts w:ascii="Times New Roman" w:hAnsi="Times New Roman" w:cs="Times New Roman"/>
            <w:color w:val="000000"/>
            <w:sz w:val="24"/>
            <w:szCs w:val="24"/>
          </w:rPr>
          <w:t xml:space="preserve">чл. 44, ал. 3 </w:t>
        </w:r>
        <w:r w:rsidR="009C0510">
          <w:rPr>
            <w:rFonts w:ascii="Times New Roman" w:hAnsi="Times New Roman" w:cs="Times New Roman"/>
            <w:color w:val="000000"/>
            <w:sz w:val="24"/>
            <w:szCs w:val="24"/>
          </w:rPr>
          <w:t>от</w:t>
        </w:r>
        <w:r w:rsidR="009C0510" w:rsidRPr="002C36F8">
          <w:rPr>
            <w:rFonts w:ascii="Times New Roman" w:hAnsi="Times New Roman" w:cs="Times New Roman"/>
            <w:color w:val="000000"/>
            <w:sz w:val="24"/>
            <w:szCs w:val="24"/>
          </w:rPr>
          <w:t xml:space="preserve"> </w:t>
        </w:r>
        <w:r w:rsidRPr="002C36F8">
          <w:rPr>
            <w:rFonts w:ascii="Times New Roman" w:hAnsi="Times New Roman" w:cs="Times New Roman"/>
            <w:color w:val="000000"/>
            <w:sz w:val="24"/>
            <w:szCs w:val="24"/>
          </w:rPr>
          <w:t>ЗЕВИ</w:t>
        </w:r>
      </w:hyperlink>
      <w:r w:rsidRPr="002C36F8">
        <w:rPr>
          <w:rFonts w:ascii="Times New Roman" w:hAnsi="Times New Roman" w:cs="Times New Roman"/>
          <w:sz w:val="24"/>
          <w:szCs w:val="24"/>
        </w:rPr>
        <w:t>.</w:t>
      </w:r>
    </w:p>
    <w:p w14:paraId="40644029" w14:textId="77777777" w:rsidR="007C210A"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Приемането през 2012 г. на Наредбата за определяне на критериите за устойчивост на биогоривата и течните горива от биомаса</w:t>
      </w:r>
      <w:r w:rsidR="009C0510">
        <w:rPr>
          <w:rFonts w:ascii="Times New Roman" w:eastAsia="Times New Roman" w:hAnsi="Times New Roman" w:cs="Times New Roman"/>
          <w:color w:val="000000"/>
          <w:sz w:val="24"/>
          <w:szCs w:val="24"/>
          <w:lang w:eastAsia="bg-BG"/>
        </w:rPr>
        <w:t xml:space="preserve"> </w:t>
      </w:r>
      <w:r w:rsidR="009C0510" w:rsidRPr="008045CD">
        <w:rPr>
          <w:rFonts w:ascii="Times New Roman" w:eastAsia="Times New Roman" w:hAnsi="Times New Roman" w:cs="Times New Roman"/>
          <w:color w:val="000000"/>
          <w:sz w:val="24"/>
          <w:szCs w:val="24"/>
          <w:lang w:eastAsia="bg-BG"/>
        </w:rPr>
        <w:t>(обн., ДВ, бр. 95 от 2012 г.,)</w:t>
      </w:r>
      <w:r w:rsidRPr="002C36F8">
        <w:rPr>
          <w:rFonts w:ascii="Times New Roman" w:eastAsia="Times New Roman" w:hAnsi="Times New Roman" w:cs="Times New Roman"/>
          <w:color w:val="000000"/>
          <w:sz w:val="24"/>
          <w:szCs w:val="24"/>
          <w:lang w:eastAsia="bg-BG"/>
        </w:rPr>
        <w:t xml:space="preserve"> е свързано с поетите ангажименти на страната да се постигне намаляване на емисиите на парникови газове от целия жизнен цикъл на доставените горива и енергия. Това намаление може да се постигне преди всичко чрез смесване на конвенционалните горива с биогорива и при </w:t>
      </w:r>
      <w:r w:rsidRPr="002C36F8">
        <w:rPr>
          <w:rFonts w:ascii="Times New Roman" w:eastAsia="Times New Roman" w:hAnsi="Times New Roman" w:cs="Times New Roman"/>
          <w:color w:val="000000"/>
          <w:sz w:val="24"/>
          <w:szCs w:val="24"/>
          <w:lang w:eastAsia="bg-BG"/>
        </w:rPr>
        <w:lastRenderedPageBreak/>
        <w:t>производството на топлинна и електрическа енергия от течни горива от биомаса, отговарящи</w:t>
      </w:r>
      <w:r w:rsidR="007C210A" w:rsidRPr="002C36F8">
        <w:rPr>
          <w:rFonts w:ascii="Times New Roman" w:eastAsia="Times New Roman" w:hAnsi="Times New Roman" w:cs="Times New Roman"/>
          <w:color w:val="000000"/>
          <w:sz w:val="24"/>
          <w:szCs w:val="24"/>
          <w:lang w:eastAsia="bg-BG"/>
        </w:rPr>
        <w:t xml:space="preserve"> на критериите за устойчивост. </w:t>
      </w:r>
    </w:p>
    <w:p w14:paraId="60FE4E3E"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Наредбата има следните цели:</w:t>
      </w:r>
    </w:p>
    <w:p w14:paraId="170C8933" w14:textId="77777777" w:rsidR="007C210A" w:rsidRPr="002C36F8" w:rsidRDefault="0089314C" w:rsidP="001A0506">
      <w:pPr>
        <w:pStyle w:val="ListParagraph"/>
        <w:numPr>
          <w:ilvl w:val="0"/>
          <w:numId w:val="1"/>
        </w:numPr>
        <w:spacing w:after="0" w:line="240" w:lineRule="auto"/>
        <w:ind w:left="567"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определяне на критериите за устойчивост на биогоривата и течните горива от биомаса;</w:t>
      </w:r>
    </w:p>
    <w:p w14:paraId="56F839D9" w14:textId="77777777" w:rsidR="007C210A" w:rsidRPr="002C36F8" w:rsidRDefault="0089314C" w:rsidP="001A0506">
      <w:pPr>
        <w:pStyle w:val="ListParagraph"/>
        <w:numPr>
          <w:ilvl w:val="0"/>
          <w:numId w:val="1"/>
        </w:numPr>
        <w:spacing w:after="0" w:line="240" w:lineRule="auto"/>
        <w:ind w:left="567"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условията и реда за набиране и предоставяне на информация от икономическите оператори, включително за мерките взети за защита на почвите, водите, въздуха;</w:t>
      </w:r>
    </w:p>
    <w:p w14:paraId="0BD02F40" w14:textId="77777777" w:rsidR="007C210A" w:rsidRPr="002C36F8" w:rsidRDefault="0089314C" w:rsidP="001A0506">
      <w:pPr>
        <w:pStyle w:val="ListParagraph"/>
        <w:numPr>
          <w:ilvl w:val="0"/>
          <w:numId w:val="1"/>
        </w:numPr>
        <w:spacing w:after="0" w:line="240" w:lineRule="auto"/>
        <w:ind w:left="567"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одобрението на схеми за сертифициране и на сертифициращи органи;</w:t>
      </w:r>
    </w:p>
    <w:p w14:paraId="4CB14F90" w14:textId="77777777" w:rsidR="007C210A" w:rsidRPr="002C36F8" w:rsidRDefault="0089314C" w:rsidP="001A0506">
      <w:pPr>
        <w:pStyle w:val="ListParagraph"/>
        <w:numPr>
          <w:ilvl w:val="0"/>
          <w:numId w:val="1"/>
        </w:numPr>
        <w:spacing w:after="0" w:line="240" w:lineRule="auto"/>
        <w:ind w:left="567"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извършване на одит за съответствие на биогоривата и течните горива от биомаса с критериите за устойчивост;</w:t>
      </w:r>
    </w:p>
    <w:p w14:paraId="494632AF" w14:textId="77777777" w:rsidR="0089314C" w:rsidRPr="002C36F8" w:rsidRDefault="0089314C" w:rsidP="001A0506">
      <w:pPr>
        <w:pStyle w:val="ListParagraph"/>
        <w:numPr>
          <w:ilvl w:val="0"/>
          <w:numId w:val="1"/>
        </w:numPr>
        <w:spacing w:after="0" w:line="240" w:lineRule="auto"/>
        <w:ind w:left="567" w:hanging="283"/>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издаване на сертификатите за съответствие.</w:t>
      </w:r>
    </w:p>
    <w:p w14:paraId="25134894" w14:textId="77777777" w:rsidR="0089314C" w:rsidRPr="002C36F8" w:rsidRDefault="0089314C" w:rsidP="007C210A">
      <w:pPr>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За изпълнение на тези цели се въвежда задължително докладване от производителите и вносителите на биогорива и течни горива от биомаса (икономически оператори) на интензитета на парниковите газове на доставените от тях на територията на страната биогорива и течни горива от биомаса през предходната година и съответствието им с критериите за устойчивост.</w:t>
      </w:r>
    </w:p>
    <w:p w14:paraId="6FD429E8" w14:textId="77777777" w:rsidR="0089314C" w:rsidRPr="002C36F8" w:rsidRDefault="0089314C" w:rsidP="00851BA0">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Във връзка с Директива 2009/30/ЕО на Европейския парламент и на Съвета от 23.04.2009 г в Закон</w:t>
      </w:r>
      <w:r w:rsidR="00851BA0">
        <w:rPr>
          <w:rFonts w:ascii="Times New Roman" w:hAnsi="Times New Roman" w:cs="Times New Roman"/>
          <w:sz w:val="24"/>
          <w:szCs w:val="24"/>
        </w:rPr>
        <w:t>а за опазване на околната среда</w:t>
      </w:r>
      <w:r w:rsidRPr="002C36F8">
        <w:rPr>
          <w:rFonts w:ascii="Times New Roman" w:hAnsi="Times New Roman" w:cs="Times New Roman"/>
          <w:sz w:val="24"/>
          <w:szCs w:val="24"/>
        </w:rPr>
        <w:t xml:space="preserve"> е заложена национална цел за 6 на сто дял крайно общо намаление на емисиите на парникови газове в резултат на използване на биогорива и течни горива в транспорта, които отговарят на критериите за устойчивост</w:t>
      </w:r>
      <w:r w:rsidR="007C210A" w:rsidRPr="002C36F8">
        <w:rPr>
          <w:rFonts w:ascii="Times New Roman" w:hAnsi="Times New Roman" w:cs="Times New Roman"/>
          <w:sz w:val="24"/>
          <w:szCs w:val="24"/>
        </w:rPr>
        <w:t xml:space="preserve"> </w:t>
      </w:r>
      <w:r w:rsidRPr="002C36F8">
        <w:rPr>
          <w:rFonts w:ascii="Times New Roman" w:hAnsi="Times New Roman" w:cs="Times New Roman"/>
          <w:sz w:val="24"/>
          <w:szCs w:val="24"/>
        </w:rPr>
        <w:t>и са вменени отговорности на М</w:t>
      </w:r>
      <w:r w:rsidR="009C0510">
        <w:rPr>
          <w:rFonts w:ascii="Times New Roman" w:hAnsi="Times New Roman" w:cs="Times New Roman"/>
          <w:sz w:val="24"/>
          <w:szCs w:val="24"/>
        </w:rPr>
        <w:t>инистерството на околната среда и водите</w:t>
      </w:r>
      <w:r w:rsidRPr="002C36F8">
        <w:rPr>
          <w:rFonts w:ascii="Times New Roman" w:hAnsi="Times New Roman" w:cs="Times New Roman"/>
          <w:sz w:val="24"/>
          <w:szCs w:val="24"/>
        </w:rPr>
        <w:t xml:space="preserve"> за изпълнението й. </w:t>
      </w:r>
    </w:p>
    <w:p w14:paraId="3958A8CF" w14:textId="777777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Чл. 47 </w:t>
      </w:r>
      <w:r w:rsidR="009C0510">
        <w:rPr>
          <w:rFonts w:ascii="Times New Roman" w:hAnsi="Times New Roman" w:cs="Times New Roman"/>
          <w:sz w:val="24"/>
          <w:szCs w:val="24"/>
        </w:rPr>
        <w:t>от</w:t>
      </w:r>
      <w:r w:rsidR="009C0510" w:rsidRPr="002C36F8">
        <w:rPr>
          <w:rFonts w:ascii="Times New Roman" w:hAnsi="Times New Roman" w:cs="Times New Roman"/>
          <w:sz w:val="24"/>
          <w:szCs w:val="24"/>
        </w:rPr>
        <w:t xml:space="preserve"> </w:t>
      </w:r>
      <w:r w:rsidRPr="002C36F8">
        <w:rPr>
          <w:rFonts w:ascii="Times New Roman" w:hAnsi="Times New Roman" w:cs="Times New Roman"/>
          <w:sz w:val="24"/>
          <w:szCs w:val="24"/>
        </w:rPr>
        <w:t>ЗЕВИ въвежда следната схема за смесването на биогорива (биодизел и биоетанол) с изкопаеми горива, която ста</w:t>
      </w:r>
      <w:r w:rsidR="009C0510">
        <w:rPr>
          <w:rFonts w:ascii="Times New Roman" w:hAnsi="Times New Roman" w:cs="Times New Roman"/>
          <w:sz w:val="24"/>
          <w:szCs w:val="24"/>
        </w:rPr>
        <w:t>н</w:t>
      </w:r>
      <w:r w:rsidRPr="002C36F8">
        <w:rPr>
          <w:rFonts w:ascii="Times New Roman" w:hAnsi="Times New Roman" w:cs="Times New Roman"/>
          <w:sz w:val="24"/>
          <w:szCs w:val="24"/>
        </w:rPr>
        <w:t>а задължителна от 1.01.20</w:t>
      </w:r>
      <w:r w:rsidR="00851BA0">
        <w:rPr>
          <w:rFonts w:ascii="Times New Roman" w:hAnsi="Times New Roman" w:cs="Times New Roman"/>
          <w:sz w:val="24"/>
          <w:szCs w:val="24"/>
        </w:rPr>
        <w:t>12 г., видно от таблицата по-долу</w:t>
      </w:r>
      <w:r w:rsidR="009C0510">
        <w:rPr>
          <w:rFonts w:ascii="Times New Roman" w:hAnsi="Times New Roman" w:cs="Times New Roman"/>
          <w:sz w:val="24"/>
          <w:szCs w:val="24"/>
        </w:rPr>
        <w:t>:</w:t>
      </w:r>
    </w:p>
    <w:p w14:paraId="1950ED09" w14:textId="77777777" w:rsidR="00B97336" w:rsidRPr="002C36F8" w:rsidRDefault="00B97336" w:rsidP="007C210A">
      <w:pPr>
        <w:spacing w:after="0" w:line="240" w:lineRule="auto"/>
        <w:ind w:firstLine="567"/>
        <w:rPr>
          <w:rFonts w:ascii="Times New Roman" w:hAnsi="Times New Roman" w:cs="Times New Roman"/>
          <w:i/>
          <w:sz w:val="24"/>
          <w:szCs w:val="24"/>
        </w:rPr>
      </w:pPr>
    </w:p>
    <w:p w14:paraId="50A231F5" w14:textId="77777777" w:rsidR="0089314C" w:rsidRPr="00B67BC1" w:rsidRDefault="0089314C" w:rsidP="00B97336">
      <w:pPr>
        <w:spacing w:after="0"/>
        <w:ind w:firstLine="567"/>
        <w:rPr>
          <w:rFonts w:ascii="Times New Roman" w:hAnsi="Times New Roman" w:cs="Times New Roman"/>
          <w:sz w:val="24"/>
          <w:szCs w:val="24"/>
        </w:rPr>
      </w:pPr>
      <w:r w:rsidRPr="00B67BC1">
        <w:rPr>
          <w:rFonts w:ascii="Times New Roman" w:hAnsi="Times New Roman" w:cs="Times New Roman"/>
          <w:sz w:val="24"/>
          <w:szCs w:val="24"/>
        </w:rPr>
        <w:t>Таблица</w:t>
      </w:r>
      <w:r w:rsidR="00B67BC1">
        <w:rPr>
          <w:rFonts w:ascii="Times New Roman" w:hAnsi="Times New Roman" w:cs="Times New Roman"/>
          <w:sz w:val="24"/>
          <w:szCs w:val="24"/>
        </w:rPr>
        <w:t xml:space="preserve"> </w:t>
      </w:r>
      <w:r w:rsidR="00B67BC1" w:rsidRPr="00B67BC1">
        <w:rPr>
          <w:rFonts w:ascii="Times New Roman" w:hAnsi="Times New Roman" w:cs="Times New Roman"/>
          <w:sz w:val="24"/>
          <w:szCs w:val="24"/>
        </w:rPr>
        <w:t xml:space="preserve">1 </w:t>
      </w:r>
      <w:r w:rsidRPr="00B67BC1">
        <w:rPr>
          <w:rFonts w:ascii="Times New Roman" w:hAnsi="Times New Roman" w:cs="Times New Roman"/>
          <w:sz w:val="24"/>
          <w:szCs w:val="24"/>
        </w:rPr>
        <w:t xml:space="preserve">Задължения за смесване на горивата за дизелови и бензинови двигатели с биогорива в процентно съотношение </w:t>
      </w:r>
    </w:p>
    <w:p w14:paraId="79636CFA" w14:textId="77777777" w:rsidR="0086074C" w:rsidRDefault="0086074C" w:rsidP="00B97336">
      <w:pPr>
        <w:spacing w:after="0"/>
        <w:ind w:firstLine="567"/>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510"/>
        <w:gridCol w:w="1510"/>
        <w:gridCol w:w="1510"/>
        <w:gridCol w:w="1511"/>
        <w:gridCol w:w="3021"/>
      </w:tblGrid>
      <w:tr w:rsidR="0086074C" w:rsidRPr="002C36F8" w14:paraId="670BAAF7" w14:textId="77777777" w:rsidTr="001B1979">
        <w:tc>
          <w:tcPr>
            <w:tcW w:w="3020" w:type="dxa"/>
            <w:gridSpan w:val="2"/>
          </w:tcPr>
          <w:p w14:paraId="76589F04"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Биодизел (обемни %)</w:t>
            </w:r>
          </w:p>
        </w:tc>
        <w:tc>
          <w:tcPr>
            <w:tcW w:w="3021" w:type="dxa"/>
            <w:gridSpan w:val="2"/>
          </w:tcPr>
          <w:p w14:paraId="40D94162"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Биоетанол (обемни %)</w:t>
            </w:r>
          </w:p>
        </w:tc>
        <w:tc>
          <w:tcPr>
            <w:tcW w:w="3021" w:type="dxa"/>
          </w:tcPr>
          <w:p w14:paraId="69AE19DA"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Двойно отчитане</w:t>
            </w:r>
          </w:p>
          <w:p w14:paraId="5722A473"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63F3E927" w14:textId="77777777" w:rsidTr="001B1979">
        <w:tc>
          <w:tcPr>
            <w:tcW w:w="1510" w:type="dxa"/>
            <w:vMerge w:val="restart"/>
          </w:tcPr>
          <w:p w14:paraId="45AAA1BE" w14:textId="77777777" w:rsidR="0086074C" w:rsidRDefault="0086074C" w:rsidP="001B1979">
            <w:pPr>
              <w:jc w:val="both"/>
              <w:rPr>
                <w:rFonts w:ascii="Times New Roman" w:hAnsi="Times New Roman" w:cs="Times New Roman"/>
                <w:sz w:val="24"/>
                <w:szCs w:val="24"/>
              </w:rPr>
            </w:pPr>
            <w:r>
              <w:rPr>
                <w:rFonts w:ascii="Times New Roman" w:hAnsi="Times New Roman" w:cs="Times New Roman"/>
                <w:sz w:val="24"/>
                <w:szCs w:val="24"/>
              </w:rPr>
              <w:t>01.01.2012</w:t>
            </w:r>
            <w:r w:rsidR="00851BA0">
              <w:rPr>
                <w:rFonts w:ascii="Times New Roman" w:hAnsi="Times New Roman" w:cs="Times New Roman"/>
                <w:sz w:val="24"/>
                <w:szCs w:val="24"/>
              </w:rPr>
              <w:t xml:space="preserve"> г.</w:t>
            </w:r>
          </w:p>
          <w:p w14:paraId="3E0BD1F6" w14:textId="77777777" w:rsidR="0086074C" w:rsidRPr="002C36F8" w:rsidRDefault="00851BA0" w:rsidP="001B1979">
            <w:pPr>
              <w:jc w:val="both"/>
              <w:rPr>
                <w:rFonts w:ascii="Times New Roman" w:hAnsi="Times New Roman" w:cs="Times New Roman"/>
                <w:sz w:val="24"/>
                <w:szCs w:val="24"/>
              </w:rPr>
            </w:pPr>
            <w:r>
              <w:rPr>
                <w:rFonts w:ascii="Times New Roman" w:hAnsi="Times New Roman" w:cs="Times New Roman"/>
                <w:sz w:val="24"/>
                <w:szCs w:val="24"/>
              </w:rPr>
              <w:t>0</w:t>
            </w:r>
            <w:r w:rsidR="0086074C" w:rsidRPr="002C36F8">
              <w:rPr>
                <w:rFonts w:ascii="Times New Roman" w:hAnsi="Times New Roman" w:cs="Times New Roman"/>
                <w:sz w:val="24"/>
                <w:szCs w:val="24"/>
              </w:rPr>
              <w:t>1.06.2012 г.</w:t>
            </w:r>
          </w:p>
        </w:tc>
        <w:tc>
          <w:tcPr>
            <w:tcW w:w="1510" w:type="dxa"/>
            <w:vMerge w:val="restart"/>
          </w:tcPr>
          <w:p w14:paraId="66829F55" w14:textId="77777777" w:rsidR="0086074C" w:rsidRDefault="0086074C" w:rsidP="001B1979">
            <w:pPr>
              <w:ind w:firstLine="567"/>
              <w:jc w:val="both"/>
              <w:rPr>
                <w:rFonts w:ascii="Times New Roman" w:hAnsi="Times New Roman" w:cs="Times New Roman"/>
                <w:sz w:val="24"/>
                <w:szCs w:val="24"/>
              </w:rPr>
            </w:pPr>
            <w:r>
              <w:rPr>
                <w:rFonts w:ascii="Times New Roman" w:hAnsi="Times New Roman" w:cs="Times New Roman"/>
                <w:sz w:val="24"/>
                <w:szCs w:val="24"/>
              </w:rPr>
              <w:t>5</w:t>
            </w:r>
          </w:p>
          <w:p w14:paraId="3C277F55" w14:textId="77777777" w:rsidR="0086074C" w:rsidRPr="002C36F8" w:rsidRDefault="0086074C" w:rsidP="001B1979">
            <w:pPr>
              <w:ind w:firstLine="567"/>
              <w:jc w:val="both"/>
              <w:rPr>
                <w:rFonts w:ascii="Times New Roman" w:hAnsi="Times New Roman" w:cs="Times New Roman"/>
                <w:sz w:val="24"/>
                <w:szCs w:val="24"/>
              </w:rPr>
            </w:pPr>
            <w:r>
              <w:rPr>
                <w:rFonts w:ascii="Times New Roman" w:hAnsi="Times New Roman" w:cs="Times New Roman"/>
                <w:sz w:val="24"/>
                <w:szCs w:val="24"/>
              </w:rPr>
              <w:t>6</w:t>
            </w:r>
          </w:p>
        </w:tc>
        <w:tc>
          <w:tcPr>
            <w:tcW w:w="1510" w:type="dxa"/>
          </w:tcPr>
          <w:p w14:paraId="524CB898"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1.06.2012 г</w:t>
            </w:r>
          </w:p>
        </w:tc>
        <w:tc>
          <w:tcPr>
            <w:tcW w:w="1511" w:type="dxa"/>
          </w:tcPr>
          <w:p w14:paraId="64527B74"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2</w:t>
            </w:r>
          </w:p>
        </w:tc>
        <w:tc>
          <w:tcPr>
            <w:tcW w:w="3021" w:type="dxa"/>
            <w:vMerge w:val="restart"/>
          </w:tcPr>
          <w:p w14:paraId="4B5701FB"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Не</w:t>
            </w:r>
          </w:p>
        </w:tc>
      </w:tr>
      <w:tr w:rsidR="0086074C" w:rsidRPr="002C36F8" w14:paraId="0EE42843" w14:textId="77777777" w:rsidTr="001B1979">
        <w:tc>
          <w:tcPr>
            <w:tcW w:w="1510" w:type="dxa"/>
            <w:vMerge/>
          </w:tcPr>
          <w:p w14:paraId="1F445762"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1BD918C1"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729768E5"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1.03.2013 г.</w:t>
            </w:r>
          </w:p>
        </w:tc>
        <w:tc>
          <w:tcPr>
            <w:tcW w:w="1511" w:type="dxa"/>
          </w:tcPr>
          <w:p w14:paraId="35A00FA7"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3</w:t>
            </w:r>
          </w:p>
        </w:tc>
        <w:tc>
          <w:tcPr>
            <w:tcW w:w="3021" w:type="dxa"/>
            <w:vMerge/>
          </w:tcPr>
          <w:p w14:paraId="58855A40"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3827F03A" w14:textId="77777777" w:rsidTr="001B1979">
        <w:tc>
          <w:tcPr>
            <w:tcW w:w="1510" w:type="dxa"/>
            <w:vMerge/>
          </w:tcPr>
          <w:p w14:paraId="61E9521A"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4EFF9F63"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3F92810A"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1.09.2013 г</w:t>
            </w:r>
          </w:p>
        </w:tc>
        <w:tc>
          <w:tcPr>
            <w:tcW w:w="1511" w:type="dxa"/>
          </w:tcPr>
          <w:p w14:paraId="726D41EF"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4</w:t>
            </w:r>
          </w:p>
        </w:tc>
        <w:tc>
          <w:tcPr>
            <w:tcW w:w="3021" w:type="dxa"/>
            <w:vMerge/>
          </w:tcPr>
          <w:p w14:paraId="64875DD7"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2FA785F3" w14:textId="77777777" w:rsidTr="001B1979">
        <w:tc>
          <w:tcPr>
            <w:tcW w:w="1510" w:type="dxa"/>
            <w:vMerge/>
          </w:tcPr>
          <w:p w14:paraId="6F37A2DB"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446F97D4"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08208BFE"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1.03.2014 г.</w:t>
            </w:r>
          </w:p>
        </w:tc>
        <w:tc>
          <w:tcPr>
            <w:tcW w:w="1511" w:type="dxa"/>
          </w:tcPr>
          <w:p w14:paraId="63A738EF"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5</w:t>
            </w:r>
          </w:p>
        </w:tc>
        <w:tc>
          <w:tcPr>
            <w:tcW w:w="3021" w:type="dxa"/>
            <w:vMerge/>
          </w:tcPr>
          <w:p w14:paraId="2140025E"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37C427BC" w14:textId="77777777" w:rsidTr="001B1979">
        <w:tc>
          <w:tcPr>
            <w:tcW w:w="1510" w:type="dxa"/>
            <w:vMerge/>
          </w:tcPr>
          <w:p w14:paraId="48CA7ECA"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1B6ED81D"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06658404"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1.09.2014 г.</w:t>
            </w:r>
          </w:p>
        </w:tc>
        <w:tc>
          <w:tcPr>
            <w:tcW w:w="1511" w:type="dxa"/>
          </w:tcPr>
          <w:p w14:paraId="7F8638C2"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6</w:t>
            </w:r>
          </w:p>
        </w:tc>
        <w:tc>
          <w:tcPr>
            <w:tcW w:w="3021" w:type="dxa"/>
            <w:vMerge/>
          </w:tcPr>
          <w:p w14:paraId="5B3C6A3A"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6BD3A27F" w14:textId="77777777" w:rsidTr="001B1979">
        <w:tc>
          <w:tcPr>
            <w:tcW w:w="1510" w:type="dxa"/>
            <w:vMerge/>
          </w:tcPr>
          <w:p w14:paraId="7B352A04"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4199C9AC"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43DAACD1"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1.03.2015 г</w:t>
            </w:r>
          </w:p>
        </w:tc>
        <w:tc>
          <w:tcPr>
            <w:tcW w:w="1511" w:type="dxa"/>
          </w:tcPr>
          <w:p w14:paraId="3724A5E4"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7</w:t>
            </w:r>
          </w:p>
        </w:tc>
        <w:tc>
          <w:tcPr>
            <w:tcW w:w="3021" w:type="dxa"/>
            <w:vMerge/>
          </w:tcPr>
          <w:p w14:paraId="13FCFF1C"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1AE4E0E6" w14:textId="77777777" w:rsidTr="001B1979">
        <w:tc>
          <w:tcPr>
            <w:tcW w:w="1510" w:type="dxa"/>
            <w:vMerge/>
          </w:tcPr>
          <w:p w14:paraId="310DCD5C"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798C198F"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0EBD8CAC"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1.09.2018 г</w:t>
            </w:r>
          </w:p>
        </w:tc>
        <w:tc>
          <w:tcPr>
            <w:tcW w:w="1511" w:type="dxa"/>
          </w:tcPr>
          <w:p w14:paraId="18CA5091"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8</w:t>
            </w:r>
          </w:p>
        </w:tc>
        <w:tc>
          <w:tcPr>
            <w:tcW w:w="3021" w:type="dxa"/>
            <w:vMerge/>
          </w:tcPr>
          <w:p w14:paraId="2481995A" w14:textId="77777777" w:rsidR="0086074C" w:rsidRPr="002C36F8" w:rsidRDefault="0086074C" w:rsidP="001B1979">
            <w:pPr>
              <w:ind w:firstLine="567"/>
              <w:jc w:val="both"/>
              <w:rPr>
                <w:rFonts w:ascii="Times New Roman" w:hAnsi="Times New Roman" w:cs="Times New Roman"/>
                <w:sz w:val="24"/>
                <w:szCs w:val="24"/>
              </w:rPr>
            </w:pPr>
          </w:p>
        </w:tc>
      </w:tr>
      <w:tr w:rsidR="0086074C" w:rsidRPr="002C36F8" w14:paraId="103AA291" w14:textId="77777777" w:rsidTr="001B1979">
        <w:tc>
          <w:tcPr>
            <w:tcW w:w="1510" w:type="dxa"/>
            <w:vMerge/>
          </w:tcPr>
          <w:p w14:paraId="59948ACE" w14:textId="77777777" w:rsidR="0086074C" w:rsidRPr="002C36F8" w:rsidRDefault="0086074C" w:rsidP="001B1979">
            <w:pPr>
              <w:ind w:firstLine="567"/>
              <w:jc w:val="both"/>
              <w:rPr>
                <w:rFonts w:ascii="Times New Roman" w:hAnsi="Times New Roman" w:cs="Times New Roman"/>
                <w:sz w:val="24"/>
                <w:szCs w:val="24"/>
              </w:rPr>
            </w:pPr>
          </w:p>
        </w:tc>
        <w:tc>
          <w:tcPr>
            <w:tcW w:w="1510" w:type="dxa"/>
            <w:vMerge/>
          </w:tcPr>
          <w:p w14:paraId="329DE3F8" w14:textId="77777777" w:rsidR="0086074C" w:rsidRPr="002C36F8" w:rsidRDefault="0086074C" w:rsidP="001B1979">
            <w:pPr>
              <w:ind w:firstLine="567"/>
              <w:jc w:val="both"/>
              <w:rPr>
                <w:rFonts w:ascii="Times New Roman" w:hAnsi="Times New Roman" w:cs="Times New Roman"/>
                <w:sz w:val="24"/>
                <w:szCs w:val="24"/>
              </w:rPr>
            </w:pPr>
          </w:p>
        </w:tc>
        <w:tc>
          <w:tcPr>
            <w:tcW w:w="1510" w:type="dxa"/>
          </w:tcPr>
          <w:p w14:paraId="6E3F607B" w14:textId="77777777" w:rsidR="0086074C" w:rsidRPr="002C36F8" w:rsidRDefault="0086074C" w:rsidP="001B1979">
            <w:pPr>
              <w:jc w:val="both"/>
              <w:rPr>
                <w:rFonts w:ascii="Times New Roman" w:hAnsi="Times New Roman" w:cs="Times New Roman"/>
                <w:sz w:val="24"/>
                <w:szCs w:val="24"/>
              </w:rPr>
            </w:pPr>
            <w:r w:rsidRPr="002C36F8">
              <w:rPr>
                <w:rFonts w:ascii="Times New Roman" w:hAnsi="Times New Roman" w:cs="Times New Roman"/>
                <w:sz w:val="24"/>
                <w:szCs w:val="24"/>
              </w:rPr>
              <w:t>1.03.2019 г.</w:t>
            </w:r>
          </w:p>
        </w:tc>
        <w:tc>
          <w:tcPr>
            <w:tcW w:w="1511" w:type="dxa"/>
          </w:tcPr>
          <w:p w14:paraId="10654227" w14:textId="77777777" w:rsidR="0086074C" w:rsidRPr="002C36F8" w:rsidRDefault="0086074C" w:rsidP="001B1979">
            <w:pPr>
              <w:ind w:firstLine="567"/>
              <w:jc w:val="both"/>
              <w:rPr>
                <w:rFonts w:ascii="Times New Roman" w:hAnsi="Times New Roman" w:cs="Times New Roman"/>
                <w:sz w:val="24"/>
                <w:szCs w:val="24"/>
              </w:rPr>
            </w:pPr>
            <w:r w:rsidRPr="002C36F8">
              <w:rPr>
                <w:rFonts w:ascii="Times New Roman" w:hAnsi="Times New Roman" w:cs="Times New Roman"/>
                <w:sz w:val="24"/>
                <w:szCs w:val="24"/>
              </w:rPr>
              <w:t>9</w:t>
            </w:r>
          </w:p>
        </w:tc>
        <w:tc>
          <w:tcPr>
            <w:tcW w:w="3021" w:type="dxa"/>
            <w:vMerge/>
          </w:tcPr>
          <w:p w14:paraId="17A78233" w14:textId="77777777" w:rsidR="0086074C" w:rsidRPr="002C36F8" w:rsidRDefault="0086074C" w:rsidP="001B1979">
            <w:pPr>
              <w:ind w:firstLine="567"/>
              <w:jc w:val="both"/>
              <w:rPr>
                <w:rFonts w:ascii="Times New Roman" w:hAnsi="Times New Roman" w:cs="Times New Roman"/>
                <w:sz w:val="24"/>
                <w:szCs w:val="24"/>
              </w:rPr>
            </w:pPr>
          </w:p>
        </w:tc>
      </w:tr>
    </w:tbl>
    <w:p w14:paraId="347B4575" w14:textId="77777777" w:rsidR="0086074C" w:rsidRDefault="0086074C" w:rsidP="00B97336">
      <w:pPr>
        <w:spacing w:after="0"/>
        <w:ind w:firstLine="567"/>
        <w:rPr>
          <w:rFonts w:ascii="Times New Roman" w:hAnsi="Times New Roman" w:cs="Times New Roman"/>
          <w:i/>
          <w:sz w:val="24"/>
          <w:szCs w:val="24"/>
        </w:rPr>
      </w:pPr>
    </w:p>
    <w:p w14:paraId="7824567E" w14:textId="77777777" w:rsidR="0089314C" w:rsidRPr="002C36F8" w:rsidRDefault="009C0510" w:rsidP="00860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314C" w:rsidRPr="002C36F8">
        <w:rPr>
          <w:rFonts w:ascii="Times New Roman" w:hAnsi="Times New Roman" w:cs="Times New Roman"/>
          <w:sz w:val="24"/>
          <w:szCs w:val="24"/>
        </w:rPr>
        <w:t xml:space="preserve">В ЗЕВИ, също така са посочени и конкретните ангажименти и отговорности на кметовете, които разработват и внасят за приемане от общинските съвети, дългосрочни и краткосрочни програми за насърчаване използването на енергията от възобновяеми източници и биогорива в съответствие с </w:t>
      </w:r>
      <w:r w:rsidRPr="009C0510">
        <w:rPr>
          <w:rFonts w:ascii="Times New Roman" w:hAnsi="Times New Roman" w:cs="Times New Roman"/>
          <w:sz w:val="24"/>
          <w:szCs w:val="24"/>
        </w:rPr>
        <w:t xml:space="preserve">Национален план за действие за енергията от възобновяеми източници </w:t>
      </w:r>
      <w:r w:rsidRPr="008045CD">
        <w:rPr>
          <w:rFonts w:ascii="Times New Roman" w:hAnsi="Times New Roman" w:cs="Times New Roman"/>
          <w:sz w:val="24"/>
          <w:szCs w:val="24"/>
        </w:rPr>
        <w:t>(</w:t>
      </w:r>
      <w:r w:rsidR="0089314C" w:rsidRPr="002C36F8">
        <w:rPr>
          <w:rFonts w:ascii="Times New Roman" w:hAnsi="Times New Roman" w:cs="Times New Roman"/>
          <w:sz w:val="24"/>
          <w:szCs w:val="24"/>
        </w:rPr>
        <w:t>НПДЕВИ</w:t>
      </w:r>
      <w:r w:rsidRPr="008045CD">
        <w:rPr>
          <w:rFonts w:ascii="Times New Roman" w:hAnsi="Times New Roman" w:cs="Times New Roman"/>
          <w:sz w:val="24"/>
          <w:szCs w:val="24"/>
        </w:rPr>
        <w:t>)</w:t>
      </w:r>
      <w:r w:rsidR="0089314C" w:rsidRPr="002C36F8">
        <w:rPr>
          <w:rFonts w:ascii="Times New Roman" w:hAnsi="Times New Roman" w:cs="Times New Roman"/>
          <w:sz w:val="24"/>
          <w:szCs w:val="24"/>
        </w:rPr>
        <w:t>. В програмите се включват конкретни мерки за използване на биогорива и/или ен</w:t>
      </w:r>
      <w:r w:rsidR="007C210A" w:rsidRPr="002C36F8">
        <w:rPr>
          <w:rFonts w:ascii="Times New Roman" w:hAnsi="Times New Roman" w:cs="Times New Roman"/>
          <w:sz w:val="24"/>
          <w:szCs w:val="24"/>
        </w:rPr>
        <w:t xml:space="preserve">ергия от възобновяеми източници </w:t>
      </w:r>
      <w:r w:rsidR="0089314C" w:rsidRPr="002C36F8">
        <w:rPr>
          <w:rFonts w:ascii="Times New Roman" w:hAnsi="Times New Roman" w:cs="Times New Roman"/>
          <w:sz w:val="24"/>
          <w:szCs w:val="24"/>
        </w:rPr>
        <w:t xml:space="preserve">в общинския транспорт, схеми за подпомагане на проекти за производство и потребление на биогорива и енергия от възобновяеми източници в транспорта и т.н. Кметовете следва да провеждат и ежегодни информационни и обучителни кампании сред населението на съответната община за мерките за подпомагане, ползите и практическите особености на развитието и използването на електрическа енергия, топлинна енергия и енергия за </w:t>
      </w:r>
      <w:r w:rsidR="0089314C" w:rsidRPr="002C36F8">
        <w:rPr>
          <w:rFonts w:ascii="Times New Roman" w:hAnsi="Times New Roman" w:cs="Times New Roman"/>
          <w:sz w:val="24"/>
          <w:szCs w:val="24"/>
        </w:rPr>
        <w:lastRenderedPageBreak/>
        <w:t>охлаждане от възобновяеми източници, газ от възобновяеми източници, биогорива и енергия от възобновяеми източници в транспорта.</w:t>
      </w:r>
    </w:p>
    <w:p w14:paraId="25171A6F" w14:textId="01D78677" w:rsidR="0089314C" w:rsidRPr="002C36F8" w:rsidRDefault="0089314C" w:rsidP="007C210A">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 xml:space="preserve">Отделно, в изпълнение на чл. 2, ал. 2, т. „д" от Директива 2015/1513/ЕО в срок до 6 април 2017 г., държавите-членки трябва да определят национална цел за минимално потребление на своята територия на биогорива, произведени от суровини и на други горива, изброени в приложение IX, част А. Референтната стойност за тази цел е 0,5 процентни пункта енергийно съдържание от дела на енергията от възобновяеми източници във всички видове транспорт през 2020 г. При определени в </w:t>
      </w:r>
      <w:r w:rsidR="009C0510" w:rsidRPr="009C0510">
        <w:rPr>
          <w:rFonts w:ascii="Times New Roman" w:hAnsi="Times New Roman" w:cs="Times New Roman"/>
          <w:sz w:val="24"/>
          <w:szCs w:val="24"/>
        </w:rPr>
        <w:t>Директива 2015/1513/ЕО</w:t>
      </w:r>
      <w:r w:rsidRPr="002C36F8">
        <w:rPr>
          <w:rFonts w:ascii="Times New Roman" w:hAnsi="Times New Roman" w:cs="Times New Roman"/>
          <w:sz w:val="24"/>
          <w:szCs w:val="24"/>
        </w:rPr>
        <w:t xml:space="preserve"> условия, е възможно и определяне на националната цел по-ниска спрямо референтната стойност. Директивата, също така въвежда и 7% праг на конвенционални биогорива в крайното потребление на енергия в транспорта, който трябва да бъде постигнат до 2020 г. / това са биогоривата произведени от суровини, които служат за производство на храна и са отгледани върху земеделски земи/. Останалата част до задължителния 10 %-ен дял на енергията от възобновяеми източници в транспорта трябва да бъде постигната, чрез използване на биогорива от ново поколение (приложение IX) и електрическа енергия от възобновяеми източници. Директивата </w:t>
      </w:r>
      <w:r w:rsidR="000E5721">
        <w:rPr>
          <w:rFonts w:ascii="Times New Roman" w:hAnsi="Times New Roman" w:cs="Times New Roman"/>
          <w:sz w:val="24"/>
          <w:szCs w:val="24"/>
        </w:rPr>
        <w:t>ще</w:t>
      </w:r>
      <w:r w:rsidRPr="002C36F8">
        <w:rPr>
          <w:rFonts w:ascii="Times New Roman" w:hAnsi="Times New Roman" w:cs="Times New Roman"/>
          <w:sz w:val="24"/>
          <w:szCs w:val="24"/>
        </w:rPr>
        <w:t xml:space="preserve"> бъде транспонирана в националното ни законодателство </w:t>
      </w:r>
      <w:r w:rsidR="000E5721">
        <w:rPr>
          <w:rFonts w:ascii="Times New Roman" w:hAnsi="Times New Roman" w:cs="Times New Roman"/>
          <w:sz w:val="24"/>
          <w:szCs w:val="24"/>
        </w:rPr>
        <w:t>чрез п</w:t>
      </w:r>
      <w:r w:rsidR="000E5721" w:rsidRPr="000E5721">
        <w:rPr>
          <w:rFonts w:ascii="Times New Roman" w:hAnsi="Times New Roman" w:cs="Times New Roman"/>
          <w:sz w:val="24"/>
          <w:szCs w:val="24"/>
        </w:rPr>
        <w:t>роект на ПМС за изменение и допълнение на Наредбата за изискванията за качеството на течните горива,условията, реда и начина за техния контрол</w:t>
      </w:r>
      <w:r w:rsidR="000E5721">
        <w:rPr>
          <w:rFonts w:ascii="Times New Roman" w:hAnsi="Times New Roman" w:cs="Times New Roman"/>
          <w:sz w:val="24"/>
          <w:szCs w:val="24"/>
        </w:rPr>
        <w:t xml:space="preserve"> в срок </w:t>
      </w:r>
      <w:r w:rsidRPr="002C36F8">
        <w:rPr>
          <w:rFonts w:ascii="Times New Roman" w:hAnsi="Times New Roman" w:cs="Times New Roman"/>
          <w:sz w:val="24"/>
          <w:szCs w:val="24"/>
        </w:rPr>
        <w:t>до м. септември 2017 г.</w:t>
      </w:r>
    </w:p>
    <w:p w14:paraId="025DD524" w14:textId="77777777" w:rsidR="007C210A" w:rsidRPr="002C36F8" w:rsidRDefault="007C210A" w:rsidP="007C210A">
      <w:pPr>
        <w:widowControl w:val="0"/>
        <w:spacing w:after="0" w:line="240" w:lineRule="auto"/>
        <w:ind w:firstLine="567"/>
        <w:jc w:val="both"/>
        <w:rPr>
          <w:rFonts w:ascii="Times New Roman" w:eastAsia="Times New Roman" w:hAnsi="Times New Roman" w:cs="Times New Roman"/>
          <w:i/>
          <w:color w:val="000000"/>
          <w:sz w:val="24"/>
          <w:szCs w:val="24"/>
          <w:lang w:eastAsia="bg-BG"/>
        </w:rPr>
      </w:pPr>
    </w:p>
    <w:p w14:paraId="64C67E1F" w14:textId="77777777" w:rsidR="0089314C" w:rsidRPr="002C36F8" w:rsidRDefault="000443D2" w:rsidP="000443D2">
      <w:pPr>
        <w:widowControl w:val="0"/>
        <w:spacing w:after="0" w:line="240" w:lineRule="auto"/>
        <w:jc w:val="both"/>
        <w:rPr>
          <w:rFonts w:ascii="Times New Roman" w:eastAsia="Times New Roman" w:hAnsi="Times New Roman" w:cs="Times New Roman"/>
          <w:i/>
          <w:color w:val="000000"/>
          <w:sz w:val="24"/>
          <w:szCs w:val="24"/>
          <w:lang w:eastAsia="bg-BG"/>
        </w:rPr>
      </w:pPr>
      <w:r w:rsidRPr="002C36F8">
        <w:rPr>
          <w:rFonts w:ascii="Times New Roman" w:eastAsia="Times New Roman" w:hAnsi="Times New Roman" w:cs="Times New Roman"/>
          <w:i/>
          <w:color w:val="000000"/>
          <w:sz w:val="24"/>
          <w:szCs w:val="24"/>
          <w:lang w:eastAsia="bg-BG"/>
        </w:rPr>
        <w:t xml:space="preserve">3.4.1 </w:t>
      </w:r>
      <w:r w:rsidR="00742222">
        <w:rPr>
          <w:rFonts w:ascii="Times New Roman" w:eastAsia="Times New Roman" w:hAnsi="Times New Roman" w:cs="Times New Roman"/>
          <w:i/>
          <w:color w:val="000000"/>
          <w:sz w:val="24"/>
          <w:szCs w:val="24"/>
          <w:lang w:eastAsia="bg-BG"/>
        </w:rPr>
        <w:t>Одобряване на типа</w:t>
      </w:r>
      <w:r w:rsidR="0089314C" w:rsidRPr="002C36F8">
        <w:rPr>
          <w:rFonts w:ascii="Times New Roman" w:eastAsia="Times New Roman" w:hAnsi="Times New Roman" w:cs="Times New Roman"/>
          <w:i/>
          <w:color w:val="000000"/>
          <w:sz w:val="24"/>
          <w:szCs w:val="24"/>
          <w:lang w:eastAsia="bg-BG"/>
        </w:rPr>
        <w:t xml:space="preserve"> на моторни превозни средства, задвижвани с биогорива</w:t>
      </w:r>
    </w:p>
    <w:p w14:paraId="2DE1665F" w14:textId="77777777" w:rsidR="0089314C" w:rsidRPr="002C36F8" w:rsidRDefault="0089314C" w:rsidP="007C210A">
      <w:pPr>
        <w:widowControl w:val="0"/>
        <w:spacing w:after="0" w:line="240" w:lineRule="auto"/>
        <w:ind w:firstLine="567"/>
        <w:jc w:val="both"/>
        <w:rPr>
          <w:rFonts w:ascii="Times New Roman" w:eastAsia="Times New Roman" w:hAnsi="Times New Roman" w:cs="Times New Roman"/>
          <w:i/>
          <w:color w:val="000000"/>
          <w:sz w:val="24"/>
          <w:szCs w:val="24"/>
          <w:lang w:eastAsia="bg-BG"/>
        </w:rPr>
      </w:pPr>
    </w:p>
    <w:p w14:paraId="3B2125B3" w14:textId="77777777" w:rsidR="0089314C" w:rsidRPr="002C36F8" w:rsidRDefault="0089314C" w:rsidP="007C210A">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Нормативни</w:t>
      </w:r>
      <w:r w:rsidR="009C0510">
        <w:rPr>
          <w:rFonts w:ascii="Times New Roman" w:eastAsia="Times New Roman" w:hAnsi="Times New Roman" w:cs="Times New Roman"/>
          <w:color w:val="000000"/>
          <w:sz w:val="24"/>
          <w:szCs w:val="24"/>
          <w:lang w:eastAsia="bg-BG"/>
        </w:rPr>
        <w:t>те</w:t>
      </w:r>
      <w:r w:rsidRPr="002C36F8">
        <w:rPr>
          <w:rFonts w:ascii="Times New Roman" w:eastAsia="Times New Roman" w:hAnsi="Times New Roman" w:cs="Times New Roman"/>
          <w:color w:val="000000"/>
          <w:sz w:val="24"/>
          <w:szCs w:val="24"/>
          <w:lang w:eastAsia="bg-BG"/>
        </w:rPr>
        <w:t xml:space="preserve"> актове, които съдържат изисквания за моторни превозни средства, които се задвижват с биогорива по отношение на изискванията за </w:t>
      </w:r>
      <w:r w:rsidR="00B35B1A">
        <w:rPr>
          <w:rFonts w:ascii="Times New Roman" w:eastAsia="Times New Roman" w:hAnsi="Times New Roman" w:cs="Times New Roman"/>
          <w:color w:val="000000"/>
          <w:sz w:val="24"/>
          <w:szCs w:val="24"/>
          <w:lang w:eastAsia="bg-BG"/>
        </w:rPr>
        <w:t>одобряване</w:t>
      </w:r>
      <w:r w:rsidRPr="002C36F8">
        <w:rPr>
          <w:rFonts w:ascii="Times New Roman" w:eastAsia="Times New Roman" w:hAnsi="Times New Roman" w:cs="Times New Roman"/>
          <w:color w:val="000000"/>
          <w:sz w:val="24"/>
          <w:szCs w:val="24"/>
          <w:lang w:eastAsia="bg-BG"/>
        </w:rPr>
        <w:t xml:space="preserve"> на типа са Наредба № 60 от 2009 г., Регламент (ЕО) № 692/2008, Регламент (ЕС) № 168/2013 и Делегиран регламент (ЕС) № 134/2014.</w:t>
      </w:r>
    </w:p>
    <w:p w14:paraId="01B0200B" w14:textId="77777777" w:rsidR="0089314C" w:rsidRPr="002C36F8" w:rsidRDefault="0089314C" w:rsidP="007C210A">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В Регламент (ЕС) № 168/2013 и Регламент (ЕО) № 692/2008 е включено определение за:</w:t>
      </w:r>
    </w:p>
    <w:p w14:paraId="5CC9FB92" w14:textId="77777777" w:rsidR="0089314C" w:rsidRPr="002C36F8" w:rsidRDefault="0089314C" w:rsidP="007C210A">
      <w:pPr>
        <w:widowControl w:val="0"/>
        <w:spacing w:after="0" w:line="240" w:lineRule="auto"/>
        <w:ind w:firstLine="567"/>
        <w:jc w:val="both"/>
        <w:rPr>
          <w:rFonts w:ascii="Times New Roman" w:hAnsi="Times New Roman" w:cs="Times New Roman"/>
          <w:sz w:val="24"/>
          <w:szCs w:val="24"/>
        </w:rPr>
      </w:pPr>
      <w:r w:rsidRPr="002C36F8">
        <w:rPr>
          <w:rFonts w:ascii="Times New Roman" w:eastAsia="Times New Roman" w:hAnsi="Times New Roman" w:cs="Times New Roman"/>
          <w:b/>
          <w:color w:val="000000"/>
          <w:sz w:val="24"/>
          <w:szCs w:val="24"/>
          <w:lang w:eastAsia="bg-BG"/>
        </w:rPr>
        <w:t>„Превозно средство с гъвкав горивен режим, работещо с биодизел“</w:t>
      </w:r>
      <w:r w:rsidRPr="002C36F8">
        <w:rPr>
          <w:rFonts w:ascii="Times New Roman" w:eastAsia="Times New Roman" w:hAnsi="Times New Roman" w:cs="Times New Roman"/>
          <w:color w:val="000000"/>
          <w:sz w:val="24"/>
          <w:szCs w:val="24"/>
          <w:lang w:eastAsia="bg-BG"/>
        </w:rPr>
        <w:t>, което означава превозно средство с гъвкав горивен режим, което може да работи с минерално дизелово гориво или със смес от минерално дизелово гориво и биодизел;</w:t>
      </w:r>
      <w:r w:rsidRPr="002C36F8">
        <w:rPr>
          <w:rFonts w:ascii="Times New Roman" w:hAnsi="Times New Roman" w:cs="Times New Roman"/>
          <w:sz w:val="24"/>
          <w:szCs w:val="24"/>
        </w:rPr>
        <w:t xml:space="preserve"> </w:t>
      </w:r>
    </w:p>
    <w:p w14:paraId="4BC4E502" w14:textId="77777777" w:rsidR="0089314C" w:rsidRPr="002C36F8" w:rsidRDefault="0089314C" w:rsidP="007C210A">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Също така в Регламент (ЕС) № 168/2013 са включени определения и за:</w:t>
      </w:r>
    </w:p>
    <w:p w14:paraId="5B926DD1" w14:textId="77777777" w:rsidR="0089314C" w:rsidRPr="002C36F8" w:rsidRDefault="0089314C" w:rsidP="007C210A">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b/>
          <w:color w:val="000000"/>
          <w:sz w:val="24"/>
          <w:szCs w:val="24"/>
          <w:lang w:eastAsia="bg-BG"/>
        </w:rPr>
        <w:t>„Биодизел“</w:t>
      </w:r>
      <w:r w:rsidRPr="002C36F8">
        <w:rPr>
          <w:rFonts w:ascii="Times New Roman" w:eastAsia="Times New Roman" w:hAnsi="Times New Roman" w:cs="Times New Roman"/>
          <w:color w:val="000000"/>
          <w:sz w:val="24"/>
          <w:szCs w:val="24"/>
          <w:lang w:eastAsia="bg-BG"/>
        </w:rPr>
        <w:t xml:space="preserve"> - означава дизелово гориво на основата на растителни или животински масла, което се състои от дълги вериги от алкилови естери, произведено по устойчив начин; </w:t>
      </w:r>
    </w:p>
    <w:p w14:paraId="1B8BE0F1" w14:textId="77777777" w:rsidR="00570A70" w:rsidRDefault="0089314C" w:rsidP="00013405">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b/>
          <w:color w:val="000000"/>
          <w:sz w:val="24"/>
          <w:szCs w:val="24"/>
          <w:lang w:eastAsia="bg-BG"/>
        </w:rPr>
        <w:t>„Биометан“</w:t>
      </w:r>
      <w:r w:rsidRPr="002C36F8">
        <w:rPr>
          <w:rFonts w:ascii="Times New Roman" w:eastAsia="Times New Roman" w:hAnsi="Times New Roman" w:cs="Times New Roman"/>
          <w:color w:val="000000"/>
          <w:sz w:val="24"/>
          <w:szCs w:val="24"/>
          <w:lang w:eastAsia="bg-BG"/>
        </w:rPr>
        <w:t xml:space="preserve"> означава възобновяем природен газ, произведен от органични източници, който в началото е „биогаз“, но след това се пречиства в процес на преобразуване на биогаз в биометан, който премахва примесите в биогаза, като например въглероден диоксид, силоксани и водородни сулфиди (H</w:t>
      </w:r>
      <w:r w:rsidRPr="002C36F8">
        <w:rPr>
          <w:rFonts w:ascii="Times New Roman" w:eastAsia="Times New Roman" w:hAnsi="Times New Roman" w:cs="Times New Roman"/>
          <w:color w:val="000000"/>
          <w:sz w:val="24"/>
          <w:szCs w:val="24"/>
          <w:vertAlign w:val="subscript"/>
          <w:lang w:eastAsia="bg-BG"/>
        </w:rPr>
        <w:t>2</w:t>
      </w:r>
      <w:r w:rsidRPr="002C36F8">
        <w:rPr>
          <w:rFonts w:ascii="Times New Roman" w:eastAsia="Times New Roman" w:hAnsi="Times New Roman" w:cs="Times New Roman"/>
          <w:color w:val="000000"/>
          <w:sz w:val="24"/>
          <w:szCs w:val="24"/>
          <w:lang w:eastAsia="bg-BG"/>
        </w:rPr>
        <w:t>S).</w:t>
      </w:r>
    </w:p>
    <w:p w14:paraId="6041343F" w14:textId="77777777" w:rsidR="00E9195F" w:rsidRDefault="00E9195F" w:rsidP="00013405">
      <w:pPr>
        <w:widowControl w:val="0"/>
        <w:spacing w:after="0" w:line="240" w:lineRule="auto"/>
        <w:ind w:firstLine="567"/>
        <w:jc w:val="both"/>
        <w:rPr>
          <w:rFonts w:ascii="Times New Roman" w:eastAsia="Times New Roman" w:hAnsi="Times New Roman" w:cs="Times New Roman"/>
          <w:color w:val="000000"/>
          <w:sz w:val="24"/>
          <w:szCs w:val="24"/>
          <w:lang w:eastAsia="bg-BG"/>
        </w:rPr>
      </w:pPr>
    </w:p>
    <w:p w14:paraId="407E45A7" w14:textId="77777777" w:rsidR="00CA3C4A" w:rsidRPr="00013405" w:rsidRDefault="00CA3C4A" w:rsidP="00013405">
      <w:pPr>
        <w:widowControl w:val="0"/>
        <w:spacing w:after="0" w:line="240" w:lineRule="auto"/>
        <w:ind w:firstLine="567"/>
        <w:jc w:val="both"/>
        <w:rPr>
          <w:rFonts w:ascii="Times New Roman" w:eastAsia="Times New Roman" w:hAnsi="Times New Roman" w:cs="Times New Roman"/>
          <w:color w:val="000000"/>
          <w:sz w:val="24"/>
          <w:szCs w:val="24"/>
          <w:lang w:eastAsia="bg-BG"/>
        </w:rPr>
      </w:pPr>
    </w:p>
    <w:p w14:paraId="4742FFAB" w14:textId="77777777" w:rsidR="008A6C57" w:rsidRDefault="008A6C57" w:rsidP="001A0506">
      <w:pPr>
        <w:pStyle w:val="a0"/>
        <w:numPr>
          <w:ilvl w:val="0"/>
          <w:numId w:val="25"/>
        </w:numPr>
        <w:shd w:val="clear" w:color="auto" w:fill="auto"/>
        <w:spacing w:after="0" w:line="240" w:lineRule="auto"/>
        <w:ind w:left="567" w:right="40" w:hanging="567"/>
        <w:rPr>
          <w:b/>
          <w:sz w:val="24"/>
          <w:szCs w:val="24"/>
        </w:rPr>
      </w:pPr>
      <w:r>
        <w:rPr>
          <w:b/>
          <w:sz w:val="24"/>
          <w:szCs w:val="24"/>
        </w:rPr>
        <w:t>ИНВЕСТИЦИОННА ПОДКРЕПА ПО ЛИНИЯ НА ОПЕРАТИВНИТЕ И ДРУГИ ПРОГРАМИ, СВЪРЗАНИ С АЛТЕРНАТИВНИТЕ ГОРИВА</w:t>
      </w:r>
    </w:p>
    <w:p w14:paraId="70572174" w14:textId="77777777" w:rsidR="008A6C57" w:rsidRDefault="008A6C57" w:rsidP="008A6C57">
      <w:pPr>
        <w:pStyle w:val="a0"/>
        <w:shd w:val="clear" w:color="auto" w:fill="auto"/>
        <w:spacing w:after="0" w:line="240" w:lineRule="auto"/>
        <w:ind w:left="567" w:right="40" w:firstLine="0"/>
        <w:rPr>
          <w:b/>
          <w:sz w:val="24"/>
          <w:szCs w:val="24"/>
        </w:rPr>
      </w:pPr>
    </w:p>
    <w:p w14:paraId="59AB5347" w14:textId="77777777" w:rsidR="00570A70" w:rsidRPr="002C36F8" w:rsidRDefault="008A6C57" w:rsidP="008A6C57">
      <w:pPr>
        <w:pStyle w:val="a0"/>
        <w:shd w:val="clear" w:color="auto" w:fill="auto"/>
        <w:spacing w:after="0" w:line="240" w:lineRule="auto"/>
        <w:ind w:left="567" w:right="40" w:firstLine="0"/>
        <w:rPr>
          <w:b/>
          <w:sz w:val="24"/>
          <w:szCs w:val="24"/>
        </w:rPr>
      </w:pPr>
      <w:r>
        <w:rPr>
          <w:b/>
          <w:sz w:val="24"/>
          <w:szCs w:val="24"/>
        </w:rPr>
        <w:t>4.1. М</w:t>
      </w:r>
      <w:r w:rsidRPr="002C36F8">
        <w:rPr>
          <w:b/>
          <w:sz w:val="24"/>
          <w:szCs w:val="24"/>
        </w:rPr>
        <w:t xml:space="preserve">еханизъм за частично субсидиране закупуването на електрически и хибридни превозни средства от публичната администрация </w:t>
      </w:r>
    </w:p>
    <w:p w14:paraId="1CA6B99D" w14:textId="77777777" w:rsidR="00570A70" w:rsidRPr="002C36F8" w:rsidRDefault="00570A70" w:rsidP="00570A70">
      <w:pPr>
        <w:widowControl w:val="0"/>
        <w:spacing w:after="0" w:line="240" w:lineRule="auto"/>
        <w:ind w:left="20" w:right="40" w:firstLine="700"/>
        <w:jc w:val="both"/>
        <w:rPr>
          <w:rFonts w:ascii="Times New Roman" w:eastAsia="Times New Roman" w:hAnsi="Times New Roman" w:cs="Times New Roman"/>
          <w:sz w:val="24"/>
          <w:szCs w:val="24"/>
        </w:rPr>
      </w:pPr>
    </w:p>
    <w:p w14:paraId="432B8850" w14:textId="77777777" w:rsidR="00570A70" w:rsidRPr="002C36F8" w:rsidRDefault="00570A70" w:rsidP="00570A70">
      <w:pPr>
        <w:widowControl w:val="0"/>
        <w:spacing w:after="0" w:line="240" w:lineRule="auto"/>
        <w:ind w:left="20" w:right="40" w:firstLine="54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 xml:space="preserve">Инвестиционна програма за климата (ИПК) е най-новата програма на Националния доверителен екофонд (НДЕФ) с принос към ограничаване изменението на климата, чрез която се финансират проекти, водещи до директно или индиректно намаляване на емисиите на парникови газове. Тя е своеобразно продължение на Националната схема </w:t>
      </w:r>
      <w:r w:rsidRPr="002C36F8">
        <w:rPr>
          <w:rFonts w:ascii="Times New Roman" w:eastAsia="Times New Roman" w:hAnsi="Times New Roman" w:cs="Times New Roman"/>
          <w:sz w:val="24"/>
          <w:szCs w:val="24"/>
        </w:rPr>
        <w:lastRenderedPageBreak/>
        <w:t>за зелени инвестиции.</w:t>
      </w:r>
    </w:p>
    <w:p w14:paraId="78193B74" w14:textId="77777777" w:rsidR="00570A70" w:rsidRPr="002C36F8" w:rsidRDefault="00570A70" w:rsidP="00570A70">
      <w:pPr>
        <w:widowControl w:val="0"/>
        <w:spacing w:after="0" w:line="240" w:lineRule="auto"/>
        <w:ind w:left="20" w:right="40" w:firstLine="54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 xml:space="preserve">За първи път в страната през месец май </w:t>
      </w:r>
      <w:r w:rsidRPr="008045CD">
        <w:rPr>
          <w:rFonts w:ascii="Times New Roman" w:eastAsia="Times New Roman" w:hAnsi="Times New Roman" w:cs="Times New Roman"/>
          <w:sz w:val="24"/>
          <w:szCs w:val="24"/>
        </w:rPr>
        <w:t xml:space="preserve">2016 </w:t>
      </w:r>
      <w:r w:rsidRPr="002C36F8">
        <w:rPr>
          <w:rFonts w:ascii="Times New Roman" w:eastAsia="Times New Roman" w:hAnsi="Times New Roman" w:cs="Times New Roman"/>
          <w:sz w:val="24"/>
          <w:szCs w:val="24"/>
        </w:rPr>
        <w:t xml:space="preserve">г. стартира пилотна схема, чрез която е осигурено частично финансиране на средствата, необходими за закупуване на електромобили или хибридни автомобили за публичните институции, като по този начин ще се оптимизират разходите за гориво и ще бъдат спестени емисии на парникови газове. Размерът на финансирането е </w:t>
      </w:r>
      <w:r w:rsidR="00DD2376">
        <w:rPr>
          <w:rFonts w:ascii="Times New Roman" w:eastAsia="Times New Roman" w:hAnsi="Times New Roman" w:cs="Times New Roman"/>
          <w:sz w:val="24"/>
          <w:szCs w:val="24"/>
        </w:rPr>
        <w:t xml:space="preserve">в размер на </w:t>
      </w:r>
      <w:r w:rsidRPr="002C36F8">
        <w:rPr>
          <w:rFonts w:ascii="Times New Roman" w:eastAsia="Times New Roman" w:hAnsi="Times New Roman" w:cs="Times New Roman"/>
          <w:sz w:val="24"/>
          <w:szCs w:val="24"/>
        </w:rPr>
        <w:t>1 млн. лв.</w:t>
      </w:r>
    </w:p>
    <w:p w14:paraId="7B0ABB89" w14:textId="7C78BF6D"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color w:val="000000"/>
          <w:sz w:val="24"/>
          <w:szCs w:val="24"/>
          <w:lang w:eastAsia="bg-BG"/>
        </w:rPr>
      </w:pPr>
      <w:r w:rsidRPr="002C36F8">
        <w:rPr>
          <w:rFonts w:ascii="Times New Roman" w:eastAsia="Calibri" w:hAnsi="Times New Roman" w:cs="Times New Roman"/>
          <w:bCs/>
          <w:color w:val="000000"/>
          <w:sz w:val="24"/>
          <w:szCs w:val="24"/>
          <w:lang w:eastAsia="bg-BG"/>
        </w:rPr>
        <w:t xml:space="preserve">Схемата за насърчаване използването на електрически и хибридни превозни средства в рамките на Инвестиционната програма за климата на НДЕФ е в изпълнение на Директива 2009/33/ЕО на Европейския парламент за насърчаването на чисти и енергоефективни пътни превозни средства. Директивата за чисти превозни средства изисква да се вземат предвид потреблението на енергия и въздействието върху околната среда при покупката на пътни превозни средства - емисиите на въглероден диоксид, въглеводороди, изгорели газове и прахови частици. </w:t>
      </w:r>
    </w:p>
    <w:p w14:paraId="65C97446" w14:textId="3F54B50E"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color w:val="000000"/>
          <w:sz w:val="24"/>
          <w:szCs w:val="24"/>
          <w:lang w:eastAsia="bg-BG"/>
        </w:rPr>
      </w:pPr>
      <w:r w:rsidRPr="002C36F8">
        <w:rPr>
          <w:rFonts w:ascii="Times New Roman" w:eastAsia="Calibri" w:hAnsi="Times New Roman" w:cs="Times New Roman"/>
          <w:bCs/>
          <w:color w:val="000000"/>
          <w:sz w:val="24"/>
          <w:szCs w:val="24"/>
          <w:lang w:eastAsia="bg-BG"/>
        </w:rPr>
        <w:t>В българското законодателство изискванията на директивата са въведени в Закона за обществените поръчки</w:t>
      </w:r>
      <w:r w:rsidR="002C0D46">
        <w:rPr>
          <w:rFonts w:ascii="Times New Roman" w:eastAsia="Calibri" w:hAnsi="Times New Roman" w:cs="Times New Roman"/>
          <w:bCs/>
          <w:color w:val="000000"/>
          <w:sz w:val="24"/>
          <w:szCs w:val="24"/>
          <w:lang w:eastAsia="bg-BG"/>
        </w:rPr>
        <w:t xml:space="preserve"> </w:t>
      </w:r>
      <w:r w:rsidR="002C0D46" w:rsidRPr="008045CD">
        <w:rPr>
          <w:rFonts w:ascii="Times New Roman" w:eastAsia="Calibri" w:hAnsi="Times New Roman" w:cs="Times New Roman"/>
          <w:bCs/>
          <w:color w:val="000000"/>
          <w:sz w:val="24"/>
          <w:szCs w:val="24"/>
          <w:lang w:eastAsia="bg-BG"/>
        </w:rPr>
        <w:t>(</w:t>
      </w:r>
      <w:r w:rsidR="002C0D46">
        <w:rPr>
          <w:rFonts w:ascii="Times New Roman" w:eastAsia="Calibri" w:hAnsi="Times New Roman" w:cs="Times New Roman"/>
          <w:bCs/>
          <w:color w:val="000000"/>
          <w:sz w:val="24"/>
          <w:szCs w:val="24"/>
          <w:lang w:eastAsia="bg-BG"/>
        </w:rPr>
        <w:t>ЗОП</w:t>
      </w:r>
      <w:r w:rsidR="002C0D46" w:rsidRPr="008045CD">
        <w:rPr>
          <w:rFonts w:ascii="Times New Roman" w:eastAsia="Calibri" w:hAnsi="Times New Roman" w:cs="Times New Roman"/>
          <w:bCs/>
          <w:color w:val="000000"/>
          <w:sz w:val="24"/>
          <w:szCs w:val="24"/>
          <w:lang w:eastAsia="bg-BG"/>
        </w:rPr>
        <w:t>)</w:t>
      </w:r>
      <w:r w:rsidRPr="002C36F8">
        <w:rPr>
          <w:rFonts w:ascii="Times New Roman" w:eastAsia="Calibri" w:hAnsi="Times New Roman" w:cs="Times New Roman"/>
          <w:bCs/>
          <w:color w:val="000000"/>
          <w:sz w:val="24"/>
          <w:szCs w:val="24"/>
          <w:lang w:eastAsia="bg-BG"/>
        </w:rPr>
        <w:t xml:space="preserve">. С </w:t>
      </w:r>
      <w:r w:rsidR="002C0D46" w:rsidRPr="002C36F8">
        <w:rPr>
          <w:rFonts w:ascii="Times New Roman" w:eastAsia="Calibri" w:hAnsi="Times New Roman" w:cs="Times New Roman"/>
          <w:bCs/>
          <w:color w:val="000000"/>
          <w:sz w:val="24"/>
          <w:szCs w:val="24"/>
          <w:lang w:eastAsia="bg-BG"/>
        </w:rPr>
        <w:t>разпоредб</w:t>
      </w:r>
      <w:r w:rsidR="002C0D46">
        <w:rPr>
          <w:rFonts w:ascii="Times New Roman" w:eastAsia="Calibri" w:hAnsi="Times New Roman" w:cs="Times New Roman"/>
          <w:bCs/>
          <w:color w:val="000000"/>
          <w:sz w:val="24"/>
          <w:szCs w:val="24"/>
          <w:lang w:eastAsia="bg-BG"/>
        </w:rPr>
        <w:t>ите му</w:t>
      </w:r>
      <w:r w:rsidR="002C0D46" w:rsidRPr="002C36F8">
        <w:rPr>
          <w:rFonts w:ascii="Times New Roman" w:eastAsia="Calibri" w:hAnsi="Times New Roman" w:cs="Times New Roman"/>
          <w:bCs/>
          <w:color w:val="000000"/>
          <w:sz w:val="24"/>
          <w:szCs w:val="24"/>
          <w:lang w:eastAsia="bg-BG"/>
        </w:rPr>
        <w:t xml:space="preserve"> </w:t>
      </w:r>
      <w:r w:rsidRPr="002C36F8">
        <w:rPr>
          <w:rFonts w:ascii="Times New Roman" w:eastAsia="Calibri" w:hAnsi="Times New Roman" w:cs="Times New Roman"/>
          <w:bCs/>
          <w:color w:val="000000"/>
          <w:sz w:val="24"/>
          <w:szCs w:val="24"/>
          <w:lang w:eastAsia="bg-BG"/>
        </w:rPr>
        <w:t xml:space="preserve">се дефинират минималните изисквания за доставка на такива превозни средства. </w:t>
      </w:r>
      <w:r w:rsidR="002C0D46" w:rsidRPr="002C0D46">
        <w:rPr>
          <w:rFonts w:ascii="Times New Roman" w:eastAsia="Calibri" w:hAnsi="Times New Roman" w:cs="Times New Roman"/>
          <w:bCs/>
          <w:color w:val="000000"/>
          <w:sz w:val="24"/>
          <w:szCs w:val="24"/>
          <w:lang w:eastAsia="bg-BG"/>
        </w:rPr>
        <w:t>При възлагане на обществена поръчка за доставка на пътни превозни средства по приложение № 11</w:t>
      </w:r>
      <w:r w:rsidR="002C0D46">
        <w:rPr>
          <w:rFonts w:ascii="Times New Roman" w:eastAsia="Calibri" w:hAnsi="Times New Roman" w:cs="Times New Roman"/>
          <w:bCs/>
          <w:color w:val="000000"/>
          <w:sz w:val="24"/>
          <w:szCs w:val="24"/>
          <w:lang w:eastAsia="bg-BG"/>
        </w:rPr>
        <w:t xml:space="preserve"> от ЗОП</w:t>
      </w:r>
      <w:r w:rsidR="002C0D46" w:rsidRPr="002C0D46">
        <w:rPr>
          <w:rFonts w:ascii="Times New Roman" w:eastAsia="Calibri" w:hAnsi="Times New Roman" w:cs="Times New Roman"/>
          <w:bCs/>
          <w:color w:val="000000"/>
          <w:sz w:val="24"/>
          <w:szCs w:val="24"/>
          <w:lang w:eastAsia="bg-BG"/>
        </w:rPr>
        <w:t xml:space="preserve"> за изчисляване на определени разходи за целия жизнен цикъл възложителите прилагат методиката, определена с </w:t>
      </w:r>
      <w:r w:rsidR="002C0D46">
        <w:rPr>
          <w:rFonts w:ascii="Times New Roman" w:eastAsia="Calibri" w:hAnsi="Times New Roman" w:cs="Times New Roman"/>
          <w:bCs/>
          <w:color w:val="000000"/>
          <w:sz w:val="24"/>
          <w:szCs w:val="24"/>
          <w:lang w:eastAsia="bg-BG"/>
        </w:rPr>
        <w:t>Н</w:t>
      </w:r>
      <w:r w:rsidR="002C0D46" w:rsidRPr="002C0D46">
        <w:rPr>
          <w:rFonts w:ascii="Times New Roman" w:eastAsia="Calibri" w:hAnsi="Times New Roman" w:cs="Times New Roman"/>
          <w:bCs/>
          <w:color w:val="000000"/>
          <w:sz w:val="24"/>
          <w:szCs w:val="24"/>
          <w:lang w:eastAsia="bg-BG"/>
        </w:rPr>
        <w:t>аредба № Н-18 от 8.08.2016 г. за определяне на методиката за изчисляване на определени разходи за целия жизнен цикъл на пътните превозни средства</w:t>
      </w:r>
      <w:r w:rsidRPr="002C36F8">
        <w:rPr>
          <w:rFonts w:ascii="Times New Roman" w:eastAsia="Calibri" w:hAnsi="Times New Roman" w:cs="Times New Roman"/>
          <w:bCs/>
          <w:color w:val="000000"/>
          <w:sz w:val="24"/>
          <w:szCs w:val="24"/>
          <w:lang w:eastAsia="bg-BG"/>
        </w:rPr>
        <w:t xml:space="preserve"> г.</w:t>
      </w:r>
      <w:r w:rsidR="002C0D46">
        <w:rPr>
          <w:rFonts w:ascii="Times New Roman" w:eastAsia="Calibri" w:hAnsi="Times New Roman" w:cs="Times New Roman"/>
          <w:bCs/>
          <w:color w:val="000000"/>
          <w:sz w:val="24"/>
          <w:szCs w:val="24"/>
          <w:lang w:eastAsia="bg-BG"/>
        </w:rPr>
        <w:t>, издадена от</w:t>
      </w:r>
      <w:r w:rsidRPr="002C36F8">
        <w:rPr>
          <w:rFonts w:ascii="Times New Roman" w:eastAsia="Calibri" w:hAnsi="Times New Roman" w:cs="Times New Roman"/>
          <w:bCs/>
          <w:color w:val="000000"/>
          <w:sz w:val="24"/>
          <w:szCs w:val="24"/>
          <w:lang w:eastAsia="bg-BG"/>
        </w:rPr>
        <w:t xml:space="preserve"> министъра на транспорта, информационните технологии и съобщенията</w:t>
      </w:r>
      <w:r w:rsidR="00432BDA">
        <w:rPr>
          <w:rFonts w:ascii="Times New Roman" w:eastAsia="Calibri" w:hAnsi="Times New Roman" w:cs="Times New Roman"/>
          <w:bCs/>
          <w:color w:val="000000"/>
          <w:sz w:val="24"/>
          <w:szCs w:val="24"/>
          <w:lang w:eastAsia="bg-BG"/>
        </w:rPr>
        <w:t xml:space="preserve"> </w:t>
      </w:r>
      <w:r w:rsidR="00432BDA" w:rsidRPr="008045CD">
        <w:rPr>
          <w:rFonts w:ascii="Times New Roman" w:eastAsia="Calibri" w:hAnsi="Times New Roman" w:cs="Times New Roman"/>
          <w:bCs/>
          <w:color w:val="000000"/>
          <w:sz w:val="24"/>
          <w:szCs w:val="24"/>
          <w:lang w:eastAsia="bg-BG"/>
        </w:rPr>
        <w:t>(обн., ДВ, бр. 66 от 2016 г.)</w:t>
      </w:r>
      <w:r w:rsidRPr="002C36F8">
        <w:rPr>
          <w:rFonts w:ascii="Times New Roman" w:eastAsia="Calibri" w:hAnsi="Times New Roman" w:cs="Times New Roman"/>
          <w:bCs/>
          <w:color w:val="000000"/>
          <w:sz w:val="24"/>
          <w:szCs w:val="24"/>
          <w:lang w:eastAsia="bg-BG"/>
        </w:rPr>
        <w:t xml:space="preserve">. Критериите за оценка на проектни предложения и провеждане на обществени поръчки по схемата на Националния Доверителен Екофонд </w:t>
      </w:r>
      <w:r w:rsidR="00F25BD3">
        <w:rPr>
          <w:rFonts w:ascii="Times New Roman" w:eastAsia="Calibri" w:hAnsi="Times New Roman" w:cs="Times New Roman"/>
          <w:bCs/>
          <w:color w:val="000000"/>
          <w:sz w:val="24"/>
          <w:szCs w:val="24"/>
          <w:lang w:eastAsia="bg-BG"/>
        </w:rPr>
        <w:t xml:space="preserve">(НДЕФ) </w:t>
      </w:r>
      <w:r w:rsidRPr="002C36F8">
        <w:rPr>
          <w:rFonts w:ascii="Times New Roman" w:eastAsia="Calibri" w:hAnsi="Times New Roman" w:cs="Times New Roman"/>
          <w:bCs/>
          <w:color w:val="000000"/>
          <w:sz w:val="24"/>
          <w:szCs w:val="24"/>
          <w:lang w:eastAsia="bg-BG"/>
        </w:rPr>
        <w:t>за насърчаване използването на електромобили са в съответствие със ЗОП.</w:t>
      </w:r>
    </w:p>
    <w:p w14:paraId="7C7E84DB"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color w:val="000000"/>
          <w:sz w:val="24"/>
          <w:szCs w:val="24"/>
          <w:lang w:eastAsia="bg-BG"/>
        </w:rPr>
      </w:pPr>
      <w:r w:rsidRPr="002C36F8">
        <w:rPr>
          <w:rFonts w:ascii="Times New Roman" w:eastAsia="Calibri" w:hAnsi="Times New Roman" w:cs="Times New Roman"/>
          <w:bCs/>
          <w:color w:val="000000"/>
          <w:sz w:val="24"/>
          <w:szCs w:val="24"/>
          <w:lang w:eastAsia="bg-BG"/>
        </w:rPr>
        <w:t>Министерския</w:t>
      </w:r>
      <w:r w:rsidR="00FA130B">
        <w:rPr>
          <w:rFonts w:ascii="Times New Roman" w:eastAsia="Calibri" w:hAnsi="Times New Roman" w:cs="Times New Roman"/>
          <w:bCs/>
          <w:color w:val="000000"/>
          <w:sz w:val="24"/>
          <w:szCs w:val="24"/>
          <w:lang w:eastAsia="bg-BG"/>
        </w:rPr>
        <w:t>т</w:t>
      </w:r>
      <w:r w:rsidRPr="002C36F8">
        <w:rPr>
          <w:rFonts w:ascii="Times New Roman" w:eastAsia="Calibri" w:hAnsi="Times New Roman" w:cs="Times New Roman"/>
          <w:bCs/>
          <w:color w:val="000000"/>
          <w:sz w:val="24"/>
          <w:szCs w:val="24"/>
          <w:lang w:eastAsia="bg-BG"/>
        </w:rPr>
        <w:t xml:space="preserve"> съвет прие на 13.10.2011 г. Национален план за действие за насърчаване на зелените обществени поръчки за периода 2012-2014 г. Една от основните му задачи е дефиниране на продуктовите групи екологични автомобили, по отношение на които да бъдат приложени насърчителните мерки, целящи ускореното им навлизане у нас - следвайки стратегическите документи на ЕС в плана е заложено преференциално третиране на електрически и хибридни превозни средства.</w:t>
      </w:r>
    </w:p>
    <w:p w14:paraId="1CBBC730"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color w:val="000000"/>
          <w:sz w:val="24"/>
          <w:szCs w:val="24"/>
          <w:lang w:eastAsia="bg-BG"/>
        </w:rPr>
      </w:pPr>
      <w:r w:rsidRPr="002C36F8">
        <w:rPr>
          <w:rFonts w:ascii="Times New Roman" w:eastAsia="Calibri" w:hAnsi="Times New Roman" w:cs="Times New Roman"/>
          <w:bCs/>
          <w:color w:val="000000"/>
          <w:sz w:val="24"/>
          <w:szCs w:val="24"/>
          <w:lang w:eastAsia="bg-BG"/>
        </w:rPr>
        <w:t xml:space="preserve">Енергийно ефективни превозни средства, включително електромобилите, имат по-висока първоначална цена в сравнение с конвенционалните автомобили. Следвайки европейските документи и практиката на отделните държави-членки, за създаване на достатъчно търсене на такива автомобили от страна на потребителите, особено на началния етап на тяхното навлизане е необходимо да се въвеждат мерки за стимулиране на търсенето, с които да се повлияе върху избора на потребителите при закупуване на превозни средства в полза на екологичните. </w:t>
      </w:r>
    </w:p>
    <w:p w14:paraId="6AD53934"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color w:val="000000"/>
          <w:sz w:val="24"/>
          <w:szCs w:val="24"/>
          <w:lang w:eastAsia="bg-BG"/>
        </w:rPr>
      </w:pPr>
      <w:r w:rsidRPr="002C36F8">
        <w:rPr>
          <w:rFonts w:ascii="Times New Roman" w:eastAsia="Calibri" w:hAnsi="Times New Roman" w:cs="Times New Roman"/>
          <w:bCs/>
          <w:color w:val="000000"/>
          <w:sz w:val="24"/>
          <w:szCs w:val="24"/>
          <w:lang w:eastAsia="bg-BG"/>
        </w:rPr>
        <w:t>Схемата на НДЕФ е първата такава схема, която цели да насърчи използването на електромобили от централната и териториална администрация на изпълнителната власт.</w:t>
      </w:r>
    </w:p>
    <w:p w14:paraId="110065A5"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 xml:space="preserve">С решение на Управителния съвет </w:t>
      </w:r>
      <w:r w:rsidR="00F25BD3">
        <w:rPr>
          <w:rFonts w:ascii="Times New Roman" w:eastAsia="Calibri" w:hAnsi="Times New Roman" w:cs="Times New Roman"/>
          <w:bCs/>
          <w:sz w:val="24"/>
          <w:szCs w:val="24"/>
        </w:rPr>
        <w:t xml:space="preserve">на НДЕФ </w:t>
      </w:r>
      <w:r w:rsidRPr="002C36F8">
        <w:rPr>
          <w:rFonts w:ascii="Times New Roman" w:eastAsia="Calibri" w:hAnsi="Times New Roman" w:cs="Times New Roman"/>
          <w:bCs/>
          <w:sz w:val="24"/>
          <w:szCs w:val="24"/>
        </w:rPr>
        <w:t xml:space="preserve">от 14.06.2016 г. бяха одобрени проекти за частично безвъзмездно финансиране на общо 34 електрически и 10 електрически хибридни </w:t>
      </w:r>
      <w:r w:rsidRPr="008045CD">
        <w:rPr>
          <w:rFonts w:ascii="Times New Roman" w:eastAsia="Calibri" w:hAnsi="Times New Roman" w:cs="Times New Roman"/>
          <w:bCs/>
          <w:sz w:val="24"/>
          <w:szCs w:val="24"/>
        </w:rPr>
        <w:t>(</w:t>
      </w:r>
      <w:r w:rsidRPr="002C36F8">
        <w:rPr>
          <w:rFonts w:ascii="Times New Roman" w:eastAsia="Calibri" w:hAnsi="Times New Roman" w:cs="Times New Roman"/>
          <w:bCs/>
          <w:sz w:val="24"/>
          <w:szCs w:val="24"/>
          <w:lang w:val="en-US"/>
        </w:rPr>
        <w:t>plug</w:t>
      </w:r>
      <w:r w:rsidRPr="008045CD">
        <w:rPr>
          <w:rFonts w:ascii="Times New Roman" w:eastAsia="Calibri" w:hAnsi="Times New Roman" w:cs="Times New Roman"/>
          <w:bCs/>
          <w:sz w:val="24"/>
          <w:szCs w:val="24"/>
        </w:rPr>
        <w:t>-</w:t>
      </w:r>
      <w:r w:rsidRPr="002C36F8">
        <w:rPr>
          <w:rFonts w:ascii="Times New Roman" w:eastAsia="Calibri" w:hAnsi="Times New Roman" w:cs="Times New Roman"/>
          <w:bCs/>
          <w:sz w:val="24"/>
          <w:szCs w:val="24"/>
          <w:lang w:val="en-US"/>
        </w:rPr>
        <w:t>in</w:t>
      </w:r>
      <w:r w:rsidRPr="008045CD">
        <w:rPr>
          <w:rFonts w:ascii="Times New Roman" w:eastAsia="Calibri" w:hAnsi="Times New Roman" w:cs="Times New Roman"/>
          <w:bCs/>
          <w:sz w:val="24"/>
          <w:szCs w:val="24"/>
        </w:rPr>
        <w:t xml:space="preserve">) </w:t>
      </w:r>
      <w:r w:rsidRPr="002C36F8">
        <w:rPr>
          <w:rFonts w:ascii="Times New Roman" w:eastAsia="Calibri" w:hAnsi="Times New Roman" w:cs="Times New Roman"/>
          <w:bCs/>
          <w:sz w:val="24"/>
          <w:szCs w:val="24"/>
        </w:rPr>
        <w:t>превозни средства.</w:t>
      </w:r>
    </w:p>
    <w:p w14:paraId="57483831"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Закупените екологични превозни средства ще спестяват годишно 138 тона въглероден диоксид.</w:t>
      </w:r>
    </w:p>
    <w:p w14:paraId="135CB847" w14:textId="73FE302A"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Сред одобрените бенефициенти са 4 държавни институции - Министерството на околната среда и водите, Министерството на икономиката, Министерството на труда и социалната политика и Изпълнителна агенция „Главна инспекция по труда</w:t>
      </w:r>
      <w:r w:rsidR="00432BDA">
        <w:rPr>
          <w:rFonts w:ascii="Times New Roman" w:eastAsia="Calibri" w:hAnsi="Times New Roman" w:cs="Times New Roman"/>
          <w:bCs/>
          <w:sz w:val="24"/>
          <w:szCs w:val="24"/>
        </w:rPr>
        <w:t>“</w:t>
      </w:r>
      <w:r w:rsidRPr="002C36F8">
        <w:rPr>
          <w:rFonts w:ascii="Times New Roman" w:eastAsia="Calibri" w:hAnsi="Times New Roman" w:cs="Times New Roman"/>
          <w:bCs/>
          <w:sz w:val="24"/>
          <w:szCs w:val="24"/>
        </w:rPr>
        <w:t>.</w:t>
      </w:r>
    </w:p>
    <w:p w14:paraId="67163171"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 xml:space="preserve">Одобрени бяха проектите и на следните 22 общини: Община Асеновград, Община Поморие, Община Горна Оряховица, Община Бургас, Община Трън, Община Разлог, Община Видин, Община Стара Загора, Община Самоков, Община Габрово, Община </w:t>
      </w:r>
      <w:r w:rsidRPr="002C36F8">
        <w:rPr>
          <w:rFonts w:ascii="Times New Roman" w:eastAsia="Calibri" w:hAnsi="Times New Roman" w:cs="Times New Roman"/>
          <w:bCs/>
          <w:sz w:val="24"/>
          <w:szCs w:val="24"/>
        </w:rPr>
        <w:lastRenderedPageBreak/>
        <w:t>Мъглиж, Община Смолян, Община Пловдив, Община Сливен, Община Варна, Община Попово, Община Сливница, Община Баните, Община Малко Търново, Община Никола Козлево, Община Несебър и Община Плевен.</w:t>
      </w:r>
    </w:p>
    <w:p w14:paraId="597397FD" w14:textId="77777777" w:rsidR="00570A70" w:rsidRPr="002C36F8" w:rsidRDefault="00570A70" w:rsidP="00570A70">
      <w:pPr>
        <w:widowControl w:val="0"/>
        <w:spacing w:after="0" w:line="240" w:lineRule="auto"/>
        <w:ind w:left="20" w:right="20" w:firstLine="547"/>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Закупените 44 електрически и електрически хибридни превозни средства ще се използват за:</w:t>
      </w:r>
    </w:p>
    <w:p w14:paraId="429A99E1" w14:textId="77777777" w:rsidR="00570A70" w:rsidRPr="002C36F8" w:rsidRDefault="00570A70" w:rsidP="001A0506">
      <w:pPr>
        <w:pStyle w:val="ListParagraph"/>
        <w:widowControl w:val="0"/>
        <w:numPr>
          <w:ilvl w:val="0"/>
          <w:numId w:val="12"/>
        </w:numPr>
        <w:tabs>
          <w:tab w:val="left" w:pos="1100"/>
        </w:tabs>
        <w:spacing w:after="0" w:line="240" w:lineRule="auto"/>
        <w:ind w:left="567"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обслужване на общински обекти в етап на строителство;</w:t>
      </w:r>
    </w:p>
    <w:p w14:paraId="400E25D4" w14:textId="77777777" w:rsidR="00570A70" w:rsidRPr="002C36F8" w:rsidRDefault="00570A70" w:rsidP="001A0506">
      <w:pPr>
        <w:pStyle w:val="ListParagraph"/>
        <w:widowControl w:val="0"/>
        <w:numPr>
          <w:ilvl w:val="0"/>
          <w:numId w:val="12"/>
        </w:numPr>
        <w:tabs>
          <w:tab w:val="left" w:pos="1100"/>
        </w:tabs>
        <w:spacing w:after="0" w:line="240" w:lineRule="auto"/>
        <w:ind w:left="567"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преглед на общинската пътна мрежа;</w:t>
      </w:r>
    </w:p>
    <w:p w14:paraId="79CE0EBA" w14:textId="77777777" w:rsidR="00570A70" w:rsidRPr="002C36F8" w:rsidRDefault="00570A70" w:rsidP="001A0506">
      <w:pPr>
        <w:pStyle w:val="ListParagraph"/>
        <w:widowControl w:val="0"/>
        <w:numPr>
          <w:ilvl w:val="0"/>
          <w:numId w:val="12"/>
        </w:numPr>
        <w:tabs>
          <w:tab w:val="left" w:pos="1095"/>
        </w:tabs>
        <w:spacing w:after="0" w:line="240" w:lineRule="auto"/>
        <w:ind w:left="567"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текущ контрол и охрана на общински обекти;</w:t>
      </w:r>
    </w:p>
    <w:p w14:paraId="7117F82B" w14:textId="77777777" w:rsidR="00570A70" w:rsidRPr="002C36F8" w:rsidRDefault="00570A70" w:rsidP="001A0506">
      <w:pPr>
        <w:pStyle w:val="ListParagraph"/>
        <w:widowControl w:val="0"/>
        <w:numPr>
          <w:ilvl w:val="0"/>
          <w:numId w:val="12"/>
        </w:numPr>
        <w:tabs>
          <w:tab w:val="left" w:pos="1110"/>
        </w:tabs>
        <w:spacing w:after="0" w:line="240" w:lineRule="auto"/>
        <w:ind w:left="567"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посещение на обекти по сигнали на граждани;</w:t>
      </w:r>
    </w:p>
    <w:p w14:paraId="3F987A8A" w14:textId="77777777" w:rsidR="00570A70" w:rsidRPr="002C36F8" w:rsidRDefault="00570A70" w:rsidP="001A0506">
      <w:pPr>
        <w:pStyle w:val="ListParagraph"/>
        <w:widowControl w:val="0"/>
        <w:numPr>
          <w:ilvl w:val="0"/>
          <w:numId w:val="12"/>
        </w:numPr>
        <w:tabs>
          <w:tab w:val="left" w:pos="1110"/>
        </w:tabs>
        <w:spacing w:after="0" w:line="240" w:lineRule="auto"/>
        <w:ind w:left="567"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посещение на обекти свързани с опазването на водните ресурси;</w:t>
      </w:r>
    </w:p>
    <w:p w14:paraId="57A1CFC8" w14:textId="77777777" w:rsidR="00570A70" w:rsidRPr="002C36F8" w:rsidRDefault="00570A70" w:rsidP="001A0506">
      <w:pPr>
        <w:pStyle w:val="ListParagraph"/>
        <w:widowControl w:val="0"/>
        <w:numPr>
          <w:ilvl w:val="0"/>
          <w:numId w:val="12"/>
        </w:numPr>
        <w:tabs>
          <w:tab w:val="left" w:pos="1080"/>
        </w:tabs>
        <w:spacing w:after="0" w:line="240" w:lineRule="auto"/>
        <w:ind w:left="567" w:right="20"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обслужване на проблеми по инфраструктурата и екологията при възникнали аварийни ситуация в населените места;</w:t>
      </w:r>
    </w:p>
    <w:p w14:paraId="75AD08B7" w14:textId="77777777" w:rsidR="00570A70" w:rsidRPr="002C36F8" w:rsidRDefault="00570A70" w:rsidP="001A0506">
      <w:pPr>
        <w:pStyle w:val="ListParagraph"/>
        <w:widowControl w:val="0"/>
        <w:numPr>
          <w:ilvl w:val="0"/>
          <w:numId w:val="12"/>
        </w:numPr>
        <w:tabs>
          <w:tab w:val="left" w:pos="1080"/>
        </w:tabs>
        <w:spacing w:after="0" w:line="240" w:lineRule="auto"/>
        <w:ind w:left="567" w:right="20"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социален патронаж;</w:t>
      </w:r>
    </w:p>
    <w:p w14:paraId="0A344540" w14:textId="77777777" w:rsidR="00570A70" w:rsidRPr="002C36F8" w:rsidRDefault="00570A70" w:rsidP="001A0506">
      <w:pPr>
        <w:pStyle w:val="ListParagraph"/>
        <w:widowControl w:val="0"/>
        <w:numPr>
          <w:ilvl w:val="0"/>
          <w:numId w:val="12"/>
        </w:numPr>
        <w:tabs>
          <w:tab w:val="left" w:pos="1080"/>
        </w:tabs>
        <w:spacing w:after="0" w:line="240" w:lineRule="auto"/>
        <w:ind w:left="567" w:right="20" w:hanging="141"/>
        <w:jc w:val="both"/>
        <w:rPr>
          <w:rFonts w:ascii="Times New Roman" w:eastAsia="Calibri" w:hAnsi="Times New Roman" w:cs="Times New Roman"/>
          <w:bCs/>
          <w:sz w:val="24"/>
          <w:szCs w:val="24"/>
        </w:rPr>
      </w:pPr>
      <w:r w:rsidRPr="002C36F8">
        <w:rPr>
          <w:rFonts w:ascii="Times New Roman" w:eastAsia="Calibri" w:hAnsi="Times New Roman" w:cs="Times New Roman"/>
          <w:bCs/>
          <w:sz w:val="24"/>
          <w:szCs w:val="24"/>
        </w:rPr>
        <w:t>контрол по спазване правилата за паркиране, и др.</w:t>
      </w:r>
    </w:p>
    <w:p w14:paraId="125169F7" w14:textId="77777777" w:rsidR="00554C19" w:rsidRDefault="00554C19" w:rsidP="00554C19">
      <w:pPr>
        <w:widowControl w:val="0"/>
        <w:spacing w:after="0" w:line="240" w:lineRule="auto"/>
        <w:ind w:right="40" w:firstLine="426"/>
        <w:jc w:val="both"/>
        <w:rPr>
          <w:rFonts w:ascii="Times New Roman" w:eastAsia="Times New Roman" w:hAnsi="Times New Roman" w:cs="Times New Roman"/>
          <w:b/>
          <w:sz w:val="24"/>
          <w:szCs w:val="24"/>
        </w:rPr>
      </w:pPr>
      <w:r w:rsidRPr="00554C19">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 xml:space="preserve"> О</w:t>
      </w:r>
      <w:r w:rsidR="00CA3C4A">
        <w:rPr>
          <w:rFonts w:ascii="Times New Roman" w:eastAsia="Times New Roman" w:hAnsi="Times New Roman" w:cs="Times New Roman"/>
          <w:b/>
          <w:sz w:val="24"/>
          <w:szCs w:val="24"/>
        </w:rPr>
        <w:t>перативна програма</w:t>
      </w:r>
      <w:r>
        <w:rPr>
          <w:rFonts w:ascii="Times New Roman" w:eastAsia="Times New Roman" w:hAnsi="Times New Roman" w:cs="Times New Roman"/>
          <w:b/>
          <w:sz w:val="24"/>
          <w:szCs w:val="24"/>
        </w:rPr>
        <w:t xml:space="preserve"> „Околна среда 2014</w:t>
      </w:r>
      <w:r w:rsidR="00CA3C4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2020 г.</w:t>
      </w:r>
    </w:p>
    <w:p w14:paraId="585AE7AB" w14:textId="77777777" w:rsidR="00570A70" w:rsidRPr="002C36F8" w:rsidRDefault="00432BDA" w:rsidP="00570A70">
      <w:pPr>
        <w:widowControl w:val="0"/>
        <w:spacing w:after="0" w:line="240" w:lineRule="auto"/>
        <w:ind w:left="20" w:right="40" w:firstLine="547"/>
        <w:jc w:val="both"/>
        <w:rPr>
          <w:rFonts w:ascii="Times New Roman" w:eastAsia="Times New Roman" w:hAnsi="Times New Roman" w:cs="Times New Roman"/>
          <w:sz w:val="24"/>
          <w:szCs w:val="24"/>
        </w:rPr>
      </w:pPr>
      <w:r w:rsidRPr="00432BDA">
        <w:rPr>
          <w:rFonts w:ascii="Times New Roman" w:eastAsia="Times New Roman" w:hAnsi="Times New Roman" w:cs="Times New Roman"/>
          <w:sz w:val="24"/>
          <w:szCs w:val="24"/>
        </w:rPr>
        <w:t>Оперативна програма</w:t>
      </w:r>
      <w:r w:rsidR="00570A70" w:rsidRPr="002C36F8">
        <w:rPr>
          <w:rFonts w:ascii="Times New Roman" w:eastAsia="Times New Roman" w:hAnsi="Times New Roman" w:cs="Times New Roman"/>
          <w:sz w:val="24"/>
          <w:szCs w:val="24"/>
        </w:rPr>
        <w:t xml:space="preserve"> „Околна среда 2014-2020 г.“ (ОПОС 2014-2020 г.) предоставя финансиране в секторите „Води“, „Отпадъци“, „Натура 2000 и биоразнообразие“, „Превенция и управление на риска от наводнения и свлачища“ и „Подобряване качеството на атмосферния въздух“.</w:t>
      </w:r>
    </w:p>
    <w:p w14:paraId="32767B24" w14:textId="77777777" w:rsidR="00570A70" w:rsidRPr="002C36F8" w:rsidRDefault="00570A70" w:rsidP="00570A70">
      <w:pPr>
        <w:widowControl w:val="0"/>
        <w:spacing w:after="0" w:line="240" w:lineRule="auto"/>
        <w:ind w:left="20" w:right="40" w:firstLine="547"/>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В сектор „Подобряване качеството на атмосферния въздух“ допустими за финансиране са следните дейности:</w:t>
      </w:r>
    </w:p>
    <w:p w14:paraId="065EDCC3" w14:textId="77777777" w:rsidR="00570A70" w:rsidRPr="002C36F8" w:rsidRDefault="00570A70" w:rsidP="001A0506">
      <w:pPr>
        <w:pStyle w:val="ListParagraph"/>
        <w:widowControl w:val="0"/>
        <w:numPr>
          <w:ilvl w:val="0"/>
          <w:numId w:val="10"/>
        </w:numPr>
        <w:tabs>
          <w:tab w:val="left" w:pos="1080"/>
        </w:tabs>
        <w:spacing w:after="0" w:line="240" w:lineRule="auto"/>
        <w:ind w:left="993" w:right="40" w:hanging="426"/>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Преглед и анализ на общинските програми за качеството на атмосферния въздух (КАВ) и подпомагане за последващото им изготвяне/преработване и контрол.</w:t>
      </w:r>
    </w:p>
    <w:p w14:paraId="0047DFAA" w14:textId="77777777" w:rsidR="00570A70" w:rsidRPr="002C36F8" w:rsidRDefault="00570A70" w:rsidP="001A0506">
      <w:pPr>
        <w:pStyle w:val="ListParagraph"/>
        <w:widowControl w:val="0"/>
        <w:numPr>
          <w:ilvl w:val="0"/>
          <w:numId w:val="10"/>
        </w:numPr>
        <w:tabs>
          <w:tab w:val="left" w:pos="993"/>
        </w:tabs>
        <w:spacing w:after="0" w:line="240" w:lineRule="auto"/>
        <w:ind w:left="567" w:right="40"/>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Мерки, адресиращи замърсяването от битово отопление.</w:t>
      </w:r>
    </w:p>
    <w:p w14:paraId="605C206C" w14:textId="77777777" w:rsidR="00570A70" w:rsidRPr="002C36F8" w:rsidRDefault="00570A70" w:rsidP="001A0506">
      <w:pPr>
        <w:pStyle w:val="ListParagraph"/>
        <w:widowControl w:val="0"/>
        <w:numPr>
          <w:ilvl w:val="0"/>
          <w:numId w:val="10"/>
        </w:numPr>
        <w:tabs>
          <w:tab w:val="left" w:pos="993"/>
        </w:tabs>
        <w:spacing w:after="0" w:line="240" w:lineRule="auto"/>
        <w:ind w:left="567" w:right="40"/>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Мерки, адресиращи замърсяването от обществения транспорт:</w:t>
      </w:r>
    </w:p>
    <w:p w14:paraId="4954BAC2" w14:textId="77777777" w:rsidR="00570A70" w:rsidRPr="002C36F8" w:rsidRDefault="00570A70" w:rsidP="001A0506">
      <w:pPr>
        <w:widowControl w:val="0"/>
        <w:numPr>
          <w:ilvl w:val="0"/>
          <w:numId w:val="11"/>
        </w:numPr>
        <w:tabs>
          <w:tab w:val="left" w:pos="922"/>
        </w:tabs>
        <w:spacing w:after="0" w:line="240" w:lineRule="auto"/>
        <w:ind w:left="1418" w:right="40" w:hanging="284"/>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мерки за намаляване замърсяването на атмосферния въздух от обществения транспорт;</w:t>
      </w:r>
    </w:p>
    <w:p w14:paraId="528D7F70" w14:textId="77777777" w:rsidR="00570A70" w:rsidRPr="002C36F8" w:rsidRDefault="00570A70" w:rsidP="001A0506">
      <w:pPr>
        <w:widowControl w:val="0"/>
        <w:numPr>
          <w:ilvl w:val="0"/>
          <w:numId w:val="11"/>
        </w:numPr>
        <w:tabs>
          <w:tab w:val="left" w:pos="850"/>
        </w:tabs>
        <w:spacing w:after="0" w:line="240" w:lineRule="auto"/>
        <w:ind w:left="1418" w:right="40" w:hanging="284"/>
        <w:jc w:val="both"/>
        <w:rPr>
          <w:rFonts w:ascii="Times New Roman" w:eastAsia="Times New Roman" w:hAnsi="Times New Roman" w:cs="Times New Roman"/>
          <w:sz w:val="24"/>
          <w:szCs w:val="24"/>
        </w:rPr>
      </w:pPr>
      <w:r w:rsidRPr="002C36F8">
        <w:rPr>
          <w:rFonts w:ascii="Times New Roman" w:eastAsia="Times New Roman" w:hAnsi="Times New Roman" w:cs="Times New Roman"/>
          <w:sz w:val="24"/>
          <w:szCs w:val="24"/>
        </w:rPr>
        <w:t>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КАВ.</w:t>
      </w:r>
    </w:p>
    <w:p w14:paraId="195ED929" w14:textId="77777777" w:rsidR="00554C19" w:rsidRPr="00554C19" w:rsidRDefault="00554C19" w:rsidP="00570A70">
      <w:pPr>
        <w:widowControl w:val="0"/>
        <w:tabs>
          <w:tab w:val="left" w:pos="998"/>
        </w:tabs>
        <w:spacing w:after="0" w:line="240" w:lineRule="auto"/>
        <w:ind w:left="20" w:right="20" w:firstLine="547"/>
        <w:jc w:val="both"/>
        <w:rPr>
          <w:rFonts w:ascii="Times New Roman" w:eastAsia="Times New Roman" w:hAnsi="Times New Roman" w:cs="Times New Roman"/>
          <w:b/>
          <w:sz w:val="24"/>
          <w:szCs w:val="24"/>
        </w:rPr>
      </w:pPr>
      <w:r w:rsidRPr="00554C19">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 xml:space="preserve"> </w:t>
      </w:r>
      <w:r w:rsidRPr="00554C19">
        <w:rPr>
          <w:rFonts w:ascii="Times New Roman" w:eastAsia="Times New Roman" w:hAnsi="Times New Roman" w:cs="Times New Roman"/>
          <w:b/>
          <w:sz w:val="24"/>
          <w:szCs w:val="24"/>
        </w:rPr>
        <w:t>Оперативна програма „Региони в растеж“ 2014</w:t>
      </w:r>
      <w:r w:rsidR="00CA3C4A">
        <w:rPr>
          <w:rFonts w:ascii="Times New Roman" w:eastAsia="Times New Roman" w:hAnsi="Times New Roman" w:cs="Times New Roman"/>
          <w:b/>
          <w:sz w:val="24"/>
          <w:szCs w:val="24"/>
        </w:rPr>
        <w:t xml:space="preserve"> – </w:t>
      </w:r>
      <w:r w:rsidRPr="00554C19">
        <w:rPr>
          <w:rFonts w:ascii="Times New Roman" w:eastAsia="Times New Roman" w:hAnsi="Times New Roman" w:cs="Times New Roman"/>
          <w:b/>
          <w:sz w:val="24"/>
          <w:szCs w:val="24"/>
        </w:rPr>
        <w:t>2020</w:t>
      </w:r>
      <w:r w:rsidR="00CA3C4A">
        <w:rPr>
          <w:rFonts w:ascii="Times New Roman" w:eastAsia="Times New Roman" w:hAnsi="Times New Roman" w:cs="Times New Roman"/>
          <w:b/>
          <w:sz w:val="24"/>
          <w:szCs w:val="24"/>
        </w:rPr>
        <w:t xml:space="preserve"> г.</w:t>
      </w:r>
    </w:p>
    <w:p w14:paraId="66BDBBD4" w14:textId="77777777" w:rsidR="00570A70" w:rsidRPr="002C36F8" w:rsidRDefault="00570A70" w:rsidP="00570A70">
      <w:pPr>
        <w:widowControl w:val="0"/>
        <w:tabs>
          <w:tab w:val="left" w:pos="998"/>
        </w:tabs>
        <w:spacing w:after="0" w:line="240" w:lineRule="auto"/>
        <w:ind w:left="20" w:right="20" w:firstLine="54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sz w:val="24"/>
          <w:szCs w:val="24"/>
        </w:rPr>
        <w:t xml:space="preserve">Управляващият Орган на Оперативна програма „Региони в растеж“ 2014-2020 г. не предвижда конкретни мерки в подкрепа на разгръщане на зарядна инфраструктура за алтернативни горива. В проектните предложения по инвестиционен приоритет „Интегриран градски транспорт“, по процедура за предоставяне на безвъзмездна финансова помощ </w:t>
      </w:r>
      <w:r w:rsidRPr="002C36F8">
        <w:rPr>
          <w:rFonts w:ascii="Times New Roman" w:eastAsia="Times New Roman" w:hAnsi="Times New Roman" w:cs="Times New Roman"/>
          <w:sz w:val="24"/>
          <w:szCs w:val="24"/>
          <w:lang w:val="en-US"/>
        </w:rPr>
        <w:t>BG</w:t>
      </w:r>
      <w:r w:rsidRPr="008045CD">
        <w:rPr>
          <w:rFonts w:ascii="Times New Roman" w:eastAsia="Times New Roman" w:hAnsi="Times New Roman" w:cs="Times New Roman"/>
          <w:sz w:val="24"/>
          <w:szCs w:val="24"/>
        </w:rPr>
        <w:t>16</w:t>
      </w:r>
      <w:r w:rsidRPr="002C36F8">
        <w:rPr>
          <w:rFonts w:ascii="Times New Roman" w:eastAsia="Times New Roman" w:hAnsi="Times New Roman" w:cs="Times New Roman"/>
          <w:sz w:val="24"/>
          <w:szCs w:val="24"/>
          <w:lang w:val="en-US"/>
        </w:rPr>
        <w:t>RFOP</w:t>
      </w:r>
      <w:r w:rsidRPr="008045CD">
        <w:rPr>
          <w:rFonts w:ascii="Times New Roman" w:eastAsia="Times New Roman" w:hAnsi="Times New Roman" w:cs="Times New Roman"/>
          <w:sz w:val="24"/>
          <w:szCs w:val="24"/>
        </w:rPr>
        <w:t>001-1.</w:t>
      </w:r>
      <w:r w:rsidRPr="002C36F8">
        <w:rPr>
          <w:rFonts w:ascii="Times New Roman" w:eastAsia="Times New Roman" w:hAnsi="Times New Roman" w:cs="Times New Roman"/>
          <w:sz w:val="24"/>
          <w:szCs w:val="24"/>
        </w:rPr>
        <w:t xml:space="preserve">001-039 „Изпълнение на Интегрирани планове за градско възстановяване и развитие 2014- 2020“, </w:t>
      </w:r>
      <w:r w:rsidRPr="00511139">
        <w:rPr>
          <w:rFonts w:ascii="Times New Roman" w:eastAsia="Times New Roman" w:hAnsi="Times New Roman" w:cs="Times New Roman"/>
          <w:sz w:val="24"/>
          <w:szCs w:val="24"/>
        </w:rPr>
        <w:t xml:space="preserve">би могло да се включи като допустима дейност </w:t>
      </w:r>
      <w:r w:rsidRPr="002C36F8">
        <w:rPr>
          <w:rFonts w:ascii="Times New Roman" w:eastAsia="Times New Roman" w:hAnsi="Times New Roman" w:cs="Times New Roman"/>
          <w:sz w:val="24"/>
          <w:szCs w:val="24"/>
        </w:rPr>
        <w:t>изграждане за зарядна</w:t>
      </w:r>
      <w:r w:rsidRPr="008045CD">
        <w:rPr>
          <w:rFonts w:ascii="Times New Roman" w:eastAsia="Times New Roman" w:hAnsi="Times New Roman" w:cs="Times New Roman"/>
          <w:sz w:val="24"/>
          <w:szCs w:val="24"/>
        </w:rPr>
        <w:t xml:space="preserve"> </w:t>
      </w:r>
      <w:r w:rsidRPr="002C36F8">
        <w:rPr>
          <w:rFonts w:ascii="Times New Roman" w:eastAsia="Times New Roman" w:hAnsi="Times New Roman" w:cs="Times New Roman"/>
          <w:color w:val="000000"/>
          <w:sz w:val="24"/>
          <w:szCs w:val="24"/>
          <w:lang w:eastAsia="bg-BG"/>
        </w:rPr>
        <w:t>инфраструктура, която да обслужва единствено нуждите на обществения градски транспорт, в случай че бъде изведено като необходим компонент вследствие от предпроектното проучване.</w:t>
      </w:r>
    </w:p>
    <w:p w14:paraId="17DBAE3A" w14:textId="77777777" w:rsidR="00570A70" w:rsidRPr="002C36F8" w:rsidRDefault="00570A70" w:rsidP="00570A70">
      <w:pPr>
        <w:widowControl w:val="0"/>
        <w:tabs>
          <w:tab w:val="left" w:pos="998"/>
        </w:tabs>
        <w:spacing w:after="0" w:line="240" w:lineRule="auto"/>
        <w:ind w:left="20" w:right="20" w:firstLine="54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По </w:t>
      </w:r>
      <w:r w:rsidRPr="002800B2">
        <w:rPr>
          <w:rFonts w:ascii="Times New Roman" w:eastAsia="Times New Roman" w:hAnsi="Times New Roman" w:cs="Times New Roman"/>
          <w:color w:val="000000"/>
          <w:sz w:val="24"/>
          <w:szCs w:val="24"/>
          <w:lang w:eastAsia="bg-BG"/>
        </w:rPr>
        <w:t>Програмата за трансгранично сътрудничество</w:t>
      </w:r>
      <w:r w:rsidRPr="002C36F8">
        <w:rPr>
          <w:rFonts w:ascii="Times New Roman" w:eastAsia="Times New Roman" w:hAnsi="Times New Roman" w:cs="Times New Roman"/>
          <w:color w:val="000000"/>
          <w:sz w:val="24"/>
          <w:szCs w:val="24"/>
          <w:lang w:eastAsia="bg-BG"/>
        </w:rPr>
        <w:t xml:space="preserve"> ИНТЕРРЕГ </w:t>
      </w:r>
      <w:r w:rsidRPr="002C36F8">
        <w:rPr>
          <w:rFonts w:ascii="Times New Roman" w:eastAsia="Times New Roman" w:hAnsi="Times New Roman" w:cs="Times New Roman"/>
          <w:color w:val="000000"/>
          <w:sz w:val="24"/>
          <w:szCs w:val="24"/>
          <w:lang w:val="en-US" w:eastAsia="bg-BG"/>
        </w:rPr>
        <w:t>V</w:t>
      </w:r>
      <w:r w:rsidRPr="002C36F8">
        <w:rPr>
          <w:rFonts w:ascii="Times New Roman" w:eastAsia="Times New Roman" w:hAnsi="Times New Roman" w:cs="Times New Roman"/>
          <w:color w:val="000000"/>
          <w:sz w:val="24"/>
          <w:szCs w:val="24"/>
          <w:lang w:eastAsia="bg-BG"/>
        </w:rPr>
        <w:t xml:space="preserve">-А "Румъния- България" 2014-2020 предстои обявяване на трета покана за подаване на проектни предложения, с цел финансиране дейности по приоритетни оси: ПО 1 „Добре свързан регион“, ПО 2 „Зелен регион“, ПО 3 „Безопасен регион“, като следва да </w:t>
      </w:r>
      <w:r w:rsidR="00444821">
        <w:rPr>
          <w:rFonts w:ascii="Times New Roman" w:eastAsia="Times New Roman" w:hAnsi="Times New Roman" w:cs="Times New Roman"/>
          <w:color w:val="000000"/>
          <w:sz w:val="24"/>
          <w:szCs w:val="24"/>
          <w:lang w:eastAsia="bg-BG"/>
        </w:rPr>
        <w:t xml:space="preserve">се </w:t>
      </w:r>
      <w:r w:rsidRPr="002C36F8">
        <w:rPr>
          <w:rFonts w:ascii="Times New Roman" w:eastAsia="Times New Roman" w:hAnsi="Times New Roman" w:cs="Times New Roman"/>
          <w:color w:val="000000"/>
          <w:sz w:val="24"/>
          <w:szCs w:val="24"/>
          <w:lang w:eastAsia="bg-BG"/>
        </w:rPr>
        <w:t xml:space="preserve">има предвид, че списъкът с дейностите, описани в програмните документи (Програма, Насоки за кандидатстване), е индикативен. За да бъде допустимо предложението, следва да допринася за развитието на зарядна инфраструктура за алтернативни горива в административно-териториалните единици на двете държави, включени в трансграничния регион. Съгласно правилата на програма ИНТЕРРЕГ </w:t>
      </w:r>
      <w:r w:rsidRPr="002C36F8">
        <w:rPr>
          <w:rFonts w:ascii="Times New Roman" w:eastAsia="Times New Roman" w:hAnsi="Times New Roman" w:cs="Times New Roman"/>
          <w:color w:val="000000"/>
          <w:sz w:val="24"/>
          <w:szCs w:val="24"/>
          <w:lang w:val="en-US" w:eastAsia="bg-BG"/>
        </w:rPr>
        <w:t>V</w:t>
      </w:r>
      <w:r w:rsidRPr="002C36F8">
        <w:rPr>
          <w:rFonts w:ascii="Times New Roman" w:eastAsia="Times New Roman" w:hAnsi="Times New Roman" w:cs="Times New Roman"/>
          <w:color w:val="000000"/>
          <w:sz w:val="24"/>
          <w:szCs w:val="24"/>
          <w:lang w:eastAsia="bg-BG"/>
        </w:rPr>
        <w:t>-А "Румъния- България" 2014-2020</w:t>
      </w:r>
      <w:r w:rsidR="00511139">
        <w:rPr>
          <w:rFonts w:ascii="Times New Roman" w:eastAsia="Times New Roman" w:hAnsi="Times New Roman" w:cs="Times New Roman"/>
          <w:color w:val="000000"/>
          <w:sz w:val="24"/>
          <w:szCs w:val="24"/>
          <w:lang w:eastAsia="bg-BG"/>
        </w:rPr>
        <w:t xml:space="preserve"> г.,</w:t>
      </w:r>
      <w:r w:rsidRPr="002C36F8">
        <w:rPr>
          <w:rFonts w:ascii="Times New Roman" w:eastAsia="Times New Roman" w:hAnsi="Times New Roman" w:cs="Times New Roman"/>
          <w:color w:val="000000"/>
          <w:sz w:val="24"/>
          <w:szCs w:val="24"/>
          <w:lang w:eastAsia="bg-BG"/>
        </w:rPr>
        <w:t xml:space="preserve"> 85% от бюджета на проектите се финансират от Европейския </w:t>
      </w:r>
      <w:r w:rsidRPr="002C36F8">
        <w:rPr>
          <w:rFonts w:ascii="Times New Roman" w:eastAsia="Times New Roman" w:hAnsi="Times New Roman" w:cs="Times New Roman"/>
          <w:color w:val="000000"/>
          <w:sz w:val="24"/>
          <w:szCs w:val="24"/>
          <w:lang w:eastAsia="bg-BG"/>
        </w:rPr>
        <w:lastRenderedPageBreak/>
        <w:t>фонд за регионално развитие (ЕФРР), като 13 % се предоставят от Националния орган, Министерство на регионалното развитие и благоустройството, под формата на национално съфинансиран</w:t>
      </w:r>
      <w:r w:rsidR="00511139">
        <w:rPr>
          <w:rFonts w:ascii="Times New Roman" w:eastAsia="Times New Roman" w:hAnsi="Times New Roman" w:cs="Times New Roman"/>
          <w:color w:val="000000"/>
          <w:sz w:val="24"/>
          <w:szCs w:val="24"/>
          <w:lang w:eastAsia="bg-BG"/>
        </w:rPr>
        <w:t>е, а 2 % е съответно собствения</w:t>
      </w:r>
      <w:r w:rsidRPr="002C36F8">
        <w:rPr>
          <w:rFonts w:ascii="Times New Roman" w:eastAsia="Times New Roman" w:hAnsi="Times New Roman" w:cs="Times New Roman"/>
          <w:color w:val="000000"/>
          <w:sz w:val="24"/>
          <w:szCs w:val="24"/>
          <w:lang w:eastAsia="bg-BG"/>
        </w:rPr>
        <w:t xml:space="preserve"> принос на партньорите по проектите. Критериите и приоритетите, които се прилагат при подбора на проекти, се одобряват от Съвместния комитет за наблюдение (СКН), който е основният орган за взимане на решения по програмата. Задължително изискване е всеки проект да включва минимум по един партньор от двете партниращи си държави - Румъния и България. Задължително условие проектите да имат ясен трансграничен ефект при спазване на принципите на съвместно разработване и съвместно изпълнение. За да бъдат допустими по програмата, участващите партньори не трябва да генерират печалба от основната им дейност, както и да получават държавни помощи. Всеки проект трябва да изпълнява поне един от следните два критерия - общ екип или съвместно финансиран</w:t>
      </w:r>
      <w:r w:rsidR="009A55BC">
        <w:rPr>
          <w:rFonts w:ascii="Times New Roman" w:eastAsia="Times New Roman" w:hAnsi="Times New Roman" w:cs="Times New Roman"/>
          <w:color w:val="000000"/>
          <w:sz w:val="24"/>
          <w:szCs w:val="24"/>
          <w:lang w:eastAsia="bg-BG"/>
        </w:rPr>
        <w:t>е н</w:t>
      </w:r>
      <w:r w:rsidRPr="002C36F8">
        <w:rPr>
          <w:rFonts w:ascii="Times New Roman" w:eastAsia="Times New Roman" w:hAnsi="Times New Roman" w:cs="Times New Roman"/>
          <w:color w:val="000000"/>
          <w:sz w:val="24"/>
          <w:szCs w:val="24"/>
          <w:lang w:eastAsia="bg-BG"/>
        </w:rPr>
        <w:t>а проекта.</w:t>
      </w:r>
    </w:p>
    <w:p w14:paraId="61B7A45C" w14:textId="77777777" w:rsidR="005278D2" w:rsidRDefault="005278D2" w:rsidP="00570A70">
      <w:pPr>
        <w:spacing w:after="0" w:line="240" w:lineRule="auto"/>
        <w:jc w:val="both"/>
        <w:rPr>
          <w:rFonts w:ascii="Times New Roman" w:hAnsi="Times New Roman" w:cs="Times New Roman"/>
          <w:b/>
          <w:sz w:val="24"/>
          <w:szCs w:val="24"/>
        </w:rPr>
      </w:pPr>
    </w:p>
    <w:p w14:paraId="5D294D97" w14:textId="77777777" w:rsidR="00570A70" w:rsidRPr="00554C19" w:rsidRDefault="00554C19" w:rsidP="00570A70">
      <w:pPr>
        <w:spacing w:after="0" w:line="240" w:lineRule="auto"/>
        <w:jc w:val="both"/>
        <w:rPr>
          <w:rFonts w:ascii="Times New Roman" w:hAnsi="Times New Roman" w:cs="Times New Roman"/>
          <w:b/>
          <w:sz w:val="24"/>
          <w:szCs w:val="24"/>
        </w:rPr>
      </w:pPr>
      <w:r w:rsidRPr="00554C19">
        <w:rPr>
          <w:rFonts w:ascii="Times New Roman" w:hAnsi="Times New Roman" w:cs="Times New Roman"/>
          <w:b/>
          <w:sz w:val="24"/>
          <w:szCs w:val="24"/>
        </w:rPr>
        <w:t>4.4.</w:t>
      </w:r>
      <w:r w:rsidR="00570A70" w:rsidRPr="00554C19">
        <w:rPr>
          <w:rFonts w:ascii="Times New Roman" w:hAnsi="Times New Roman" w:cs="Times New Roman"/>
          <w:b/>
          <w:sz w:val="24"/>
          <w:szCs w:val="24"/>
        </w:rPr>
        <w:t>Финансиране на проекти в областта на алтернативните горива и технологии чрез фонд „Научни изследвания“.</w:t>
      </w:r>
    </w:p>
    <w:p w14:paraId="1492707A" w14:textId="77777777" w:rsidR="00570A70" w:rsidRPr="002C36F8"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В</w:t>
      </w:r>
      <w:r w:rsidRPr="002C36F8">
        <w:rPr>
          <w:rFonts w:ascii="Times New Roman" w:hAnsi="Times New Roman" w:cs="Times New Roman"/>
          <w:sz w:val="24"/>
          <w:szCs w:val="24"/>
        </w:rPr>
        <w:t xml:space="preserve"> периода</w:t>
      </w:r>
      <w:r w:rsidRPr="008045CD">
        <w:rPr>
          <w:rFonts w:ascii="Times New Roman" w:hAnsi="Times New Roman" w:cs="Times New Roman"/>
          <w:sz w:val="24"/>
          <w:szCs w:val="24"/>
        </w:rPr>
        <w:t xml:space="preserve"> 2008 – 2014 г. Фонд „Научни изследвания“ е финансирал шест проекта, свързани с алтернативните горива и алтернативните технологии на </w:t>
      </w:r>
      <w:r w:rsidRPr="002C36F8">
        <w:rPr>
          <w:rFonts w:ascii="Times New Roman" w:hAnsi="Times New Roman" w:cs="Times New Roman"/>
          <w:sz w:val="24"/>
          <w:szCs w:val="24"/>
        </w:rPr>
        <w:t>за</w:t>
      </w:r>
      <w:r w:rsidRPr="008045CD">
        <w:rPr>
          <w:rFonts w:ascii="Times New Roman" w:hAnsi="Times New Roman" w:cs="Times New Roman"/>
          <w:sz w:val="24"/>
          <w:szCs w:val="24"/>
        </w:rPr>
        <w:t>движване на стойност 752 030 лв. Тематиката на проектите е свързана главно с получаване на алтернативни горива от биомаса, биоетанол и нови горивни клетки, базирани на химични и микробни процеси.</w:t>
      </w:r>
    </w:p>
    <w:p w14:paraId="62360455" w14:textId="2CB70FD3"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 xml:space="preserve">Алтернативните горива и технологии на задвижване спадат към биологическите, селскостопанските и техническите науки като области, в които може да се кандидатства и да се подават проектни предложения. </w:t>
      </w:r>
    </w:p>
    <w:p w14:paraId="4D51155B" w14:textId="77777777"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 xml:space="preserve">През 2016 г. в Оперативната годишна програма на Фонд „Научни изследвания“ за фундаментални научни изследвания са планирани 4 500 000 лв. Тук попадат и гореописаните научни области. </w:t>
      </w:r>
    </w:p>
    <w:p w14:paraId="3AAD3427" w14:textId="77777777"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До 2020 г. се предвижда сумата да нараства или да няма промяна на средствата, предвидени в бюджета. По отношение на алтернативните горива и технологии за задвижване не се предвиждат и не е записано експлицитно да се предвиждат средства за конкретни тематични конкурси по темата.</w:t>
      </w:r>
    </w:p>
    <w:p w14:paraId="21B68BD2" w14:textId="77777777"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Към настоящия момент 44 български организации участват в изпълнението на 34 проекта в направление „Сигурна, чиста и ефективна енергия“ на рамкова програма „Хоризонт 2020“. Финансирането, което са получили или се очаква да получат, се равнява приблизително на 5 410 000 евро.</w:t>
      </w:r>
    </w:p>
    <w:p w14:paraId="731EADFC" w14:textId="77777777"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Девет български организации са включени в консорциуми и изпълняват 7 проекта в направление „Интелигентен, екологосъобразен и интегриран транспорт“ на рамкова програма „Хоризонт 2020“. Финансирането, което българските организации ще получат, се равнява приблизително на 1 524 000 евро.</w:t>
      </w:r>
    </w:p>
    <w:p w14:paraId="7B058D50" w14:textId="77777777" w:rsidR="00570A70" w:rsidRPr="008045CD" w:rsidRDefault="00570A70" w:rsidP="00570A70">
      <w:pPr>
        <w:spacing w:after="0" w:line="240" w:lineRule="auto"/>
        <w:ind w:firstLine="567"/>
        <w:jc w:val="both"/>
        <w:rPr>
          <w:rFonts w:ascii="Times New Roman" w:hAnsi="Times New Roman" w:cs="Times New Roman"/>
          <w:sz w:val="24"/>
          <w:szCs w:val="24"/>
        </w:rPr>
      </w:pPr>
      <w:r w:rsidRPr="008045CD">
        <w:rPr>
          <w:rFonts w:ascii="Times New Roman" w:hAnsi="Times New Roman" w:cs="Times New Roman"/>
          <w:sz w:val="24"/>
          <w:szCs w:val="24"/>
        </w:rPr>
        <w:t xml:space="preserve">Единадесет български организации са част от консорциуми, които изпълняват 7 проекта </w:t>
      </w:r>
      <w:r w:rsidR="00CF0971">
        <w:rPr>
          <w:rFonts w:ascii="Times New Roman" w:hAnsi="Times New Roman" w:cs="Times New Roman"/>
          <w:sz w:val="24"/>
          <w:szCs w:val="24"/>
        </w:rPr>
        <w:t>по</w:t>
      </w:r>
      <w:r w:rsidR="00CF0971" w:rsidRPr="008045CD">
        <w:rPr>
          <w:rFonts w:ascii="Times New Roman" w:hAnsi="Times New Roman" w:cs="Times New Roman"/>
          <w:sz w:val="24"/>
          <w:szCs w:val="24"/>
        </w:rPr>
        <w:t xml:space="preserve"> </w:t>
      </w:r>
      <w:r w:rsidRPr="008045CD">
        <w:rPr>
          <w:rFonts w:ascii="Times New Roman" w:hAnsi="Times New Roman" w:cs="Times New Roman"/>
          <w:sz w:val="24"/>
          <w:szCs w:val="24"/>
        </w:rPr>
        <w:t>направление „Климат, околна среда, ресурсна ефективност и суровини“, на рамкова програма „Хоризонт 2020“. Финансирането, което българските организации са получили или се очаква да получат се равнява приблизително на 712 000 евро.</w:t>
      </w:r>
    </w:p>
    <w:p w14:paraId="1F0B1E24" w14:textId="77777777" w:rsidR="00570A70" w:rsidRPr="002C36F8" w:rsidRDefault="00570A70" w:rsidP="00570A70">
      <w:pPr>
        <w:widowControl w:val="0"/>
        <w:spacing w:after="0" w:line="240" w:lineRule="auto"/>
        <w:ind w:right="40" w:firstLine="567"/>
        <w:jc w:val="both"/>
        <w:rPr>
          <w:rFonts w:ascii="Times New Roman" w:eastAsia="Times New Roman" w:hAnsi="Times New Roman" w:cs="Times New Roman"/>
          <w:sz w:val="24"/>
          <w:szCs w:val="24"/>
        </w:rPr>
      </w:pPr>
      <w:r w:rsidRPr="002C36F8">
        <w:rPr>
          <w:rFonts w:ascii="Times New Roman" w:eastAsia="Times New Roman" w:hAnsi="Times New Roman" w:cs="Times New Roman"/>
          <w:color w:val="000000"/>
          <w:sz w:val="24"/>
          <w:szCs w:val="24"/>
          <w:lang w:eastAsia="bg-BG"/>
        </w:rPr>
        <w:t xml:space="preserve">През 2016 г. стартира проект </w:t>
      </w:r>
      <w:r w:rsidRPr="002C36F8">
        <w:rPr>
          <w:rFonts w:ascii="Times New Roman" w:eastAsia="Times New Roman" w:hAnsi="Times New Roman" w:cs="Times New Roman"/>
          <w:sz w:val="24"/>
          <w:szCs w:val="24"/>
        </w:rPr>
        <w:t xml:space="preserve">за изграждане на пилотен модел на технологична инфраструктура за електромобилност в България, структуриран в съответствие с изискванията за финансиране по ОП </w:t>
      </w:r>
      <w:r w:rsidR="009A55BC">
        <w:rPr>
          <w:rFonts w:ascii="Times New Roman" w:eastAsia="Times New Roman" w:hAnsi="Times New Roman" w:cs="Times New Roman"/>
          <w:sz w:val="24"/>
          <w:szCs w:val="24"/>
        </w:rPr>
        <w:t>„</w:t>
      </w:r>
      <w:r w:rsidRPr="002C36F8">
        <w:rPr>
          <w:rFonts w:ascii="Times New Roman" w:eastAsia="Times New Roman" w:hAnsi="Times New Roman" w:cs="Times New Roman"/>
          <w:sz w:val="24"/>
          <w:szCs w:val="24"/>
        </w:rPr>
        <w:t>Наука и образование за интелигентен растеж</w:t>
      </w:r>
      <w:r w:rsidR="009A55BC">
        <w:rPr>
          <w:rFonts w:ascii="Times New Roman" w:eastAsia="Times New Roman" w:hAnsi="Times New Roman" w:cs="Times New Roman"/>
          <w:sz w:val="24"/>
          <w:szCs w:val="24"/>
        </w:rPr>
        <w:t>“</w:t>
      </w:r>
      <w:r w:rsidRPr="002C36F8">
        <w:rPr>
          <w:rFonts w:ascii="Times New Roman" w:eastAsia="Times New Roman" w:hAnsi="Times New Roman" w:cs="Times New Roman"/>
          <w:sz w:val="24"/>
          <w:szCs w:val="24"/>
        </w:rPr>
        <w:t xml:space="preserve"> 2014 -2020 г. </w:t>
      </w:r>
    </w:p>
    <w:p w14:paraId="08900A19" w14:textId="77777777" w:rsidR="00570A70" w:rsidRPr="002C36F8" w:rsidRDefault="00570A70" w:rsidP="00570A70">
      <w:pPr>
        <w:widowControl w:val="0"/>
        <w:spacing w:after="0" w:line="240" w:lineRule="auto"/>
        <w:ind w:right="40" w:firstLine="567"/>
        <w:jc w:val="both"/>
        <w:rPr>
          <w:rFonts w:ascii="Times New Roman" w:eastAsia="Arial" w:hAnsi="Times New Roman" w:cs="Times New Roman"/>
          <w:color w:val="000000"/>
          <w:sz w:val="24"/>
          <w:szCs w:val="24"/>
          <w:lang w:eastAsia="bg-BG"/>
        </w:rPr>
      </w:pPr>
      <w:r w:rsidRPr="002C36F8">
        <w:rPr>
          <w:rFonts w:ascii="Times New Roman" w:eastAsia="Arial" w:hAnsi="Times New Roman" w:cs="Times New Roman"/>
          <w:color w:val="000000"/>
          <w:sz w:val="24"/>
          <w:szCs w:val="24"/>
          <w:lang w:eastAsia="bg-BG"/>
        </w:rPr>
        <w:t xml:space="preserve">Той предвижда осъществяване на цялостния процес от адаптация на концепцията за автомобили с електрическо задвижване (електромобили) към водещите в това направление образователни и научно-изследователски програми до пълноценното осъществяване на електромобилност в избрани региони на Република България. За целите на проекта трябва да бъде изградена комплексна инфраструктура, която да </w:t>
      </w:r>
      <w:r w:rsidRPr="002C36F8">
        <w:rPr>
          <w:rFonts w:ascii="Times New Roman" w:eastAsia="Arial" w:hAnsi="Times New Roman" w:cs="Times New Roman"/>
          <w:color w:val="000000"/>
          <w:sz w:val="24"/>
          <w:szCs w:val="24"/>
          <w:lang w:eastAsia="bg-BG"/>
        </w:rPr>
        <w:lastRenderedPageBreak/>
        <w:t>превърне електромобилите в реална алтернатива на конвенционалните МПС чрез съвместното участие на партньори от сферата на образованието, НПО, и частния сектор.</w:t>
      </w:r>
    </w:p>
    <w:p w14:paraId="18E00B58" w14:textId="77777777" w:rsidR="00570A70" w:rsidRPr="002C36F8" w:rsidRDefault="00570A70" w:rsidP="00570A70">
      <w:pPr>
        <w:widowControl w:val="0"/>
        <w:spacing w:after="0" w:line="240" w:lineRule="auto"/>
        <w:ind w:right="40" w:firstLine="567"/>
        <w:jc w:val="both"/>
        <w:rPr>
          <w:rFonts w:ascii="Times New Roman" w:eastAsia="Arial" w:hAnsi="Times New Roman" w:cs="Times New Roman"/>
          <w:color w:val="000000"/>
          <w:sz w:val="24"/>
          <w:szCs w:val="24"/>
          <w:lang w:eastAsia="bg-BG"/>
        </w:rPr>
      </w:pPr>
      <w:r w:rsidRPr="002C36F8">
        <w:rPr>
          <w:rFonts w:ascii="Times New Roman" w:eastAsia="Arial" w:hAnsi="Times New Roman" w:cs="Times New Roman"/>
          <w:color w:val="000000"/>
          <w:sz w:val="24"/>
          <w:szCs w:val="24"/>
          <w:lang w:eastAsia="bg-BG"/>
        </w:rPr>
        <w:t xml:space="preserve">Предвижда се проектиране, изграждане, изпитване и въвеждане в експлоатация на </w:t>
      </w:r>
      <w:r w:rsidRPr="002800B2">
        <w:rPr>
          <w:rFonts w:ascii="Times New Roman" w:eastAsia="Arial" w:hAnsi="Times New Roman" w:cs="Times New Roman"/>
          <w:color w:val="000000"/>
          <w:sz w:val="24"/>
          <w:szCs w:val="24"/>
          <w:lang w:eastAsia="bg-BG"/>
        </w:rPr>
        <w:t>пилотен модел</w:t>
      </w:r>
      <w:r w:rsidRPr="002C36F8">
        <w:rPr>
          <w:rFonts w:ascii="Times New Roman" w:eastAsia="Arial" w:hAnsi="Times New Roman" w:cs="Times New Roman"/>
          <w:color w:val="000000"/>
          <w:sz w:val="24"/>
          <w:szCs w:val="24"/>
          <w:lang w:eastAsia="bg-BG"/>
        </w:rPr>
        <w:t xml:space="preserve"> на електрическа „смарт“ мрежа, управлявана от специално разработен софтуер, състояща се от универсални електрически станции и обслужваща инфраструктура о</w:t>
      </w:r>
      <w:r w:rsidR="00554C19">
        <w:rPr>
          <w:rFonts w:ascii="Times New Roman" w:eastAsia="Arial" w:hAnsi="Times New Roman" w:cs="Times New Roman"/>
          <w:color w:val="000000"/>
          <w:sz w:val="24"/>
          <w:szCs w:val="24"/>
          <w:lang w:eastAsia="bg-BG"/>
        </w:rPr>
        <w:t>т терминали за зареждане на елект</w:t>
      </w:r>
      <w:r w:rsidRPr="002C36F8">
        <w:rPr>
          <w:rFonts w:ascii="Times New Roman" w:eastAsia="Arial" w:hAnsi="Times New Roman" w:cs="Times New Roman"/>
          <w:color w:val="000000"/>
          <w:sz w:val="24"/>
          <w:szCs w:val="24"/>
          <w:lang w:eastAsia="bg-BG"/>
        </w:rPr>
        <w:t>ромобили</w:t>
      </w:r>
      <w:r w:rsidR="00554C19">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eastAsia="bg-BG"/>
        </w:rPr>
        <w:t>Мрежата заедно със своите терминали и присъединените за зареждане превозни средства ще бъдат интегрирана част от националната електрическа мрежа и ще служат като балансьор при пикове и падове на потреблението. Ще се експериментират софтуерни решения, така че мрежата да има универсални възможности за присъединяване, управление и мониторинг.</w:t>
      </w:r>
    </w:p>
    <w:p w14:paraId="661FF387" w14:textId="77777777" w:rsidR="00570A70" w:rsidRPr="002C36F8" w:rsidRDefault="00570A70" w:rsidP="00570A70">
      <w:pPr>
        <w:widowControl w:val="0"/>
        <w:spacing w:after="0" w:line="240" w:lineRule="auto"/>
        <w:ind w:right="40" w:firstLine="567"/>
        <w:jc w:val="both"/>
        <w:rPr>
          <w:rFonts w:ascii="Times New Roman" w:eastAsia="Arial" w:hAnsi="Times New Roman" w:cs="Times New Roman"/>
          <w:color w:val="000000"/>
          <w:sz w:val="24"/>
          <w:szCs w:val="24"/>
          <w:lang w:eastAsia="bg-BG"/>
        </w:rPr>
      </w:pPr>
      <w:r w:rsidRPr="002C36F8">
        <w:rPr>
          <w:rFonts w:ascii="Times New Roman" w:eastAsia="Arial" w:hAnsi="Times New Roman" w:cs="Times New Roman"/>
          <w:color w:val="000000"/>
          <w:sz w:val="24"/>
          <w:szCs w:val="24"/>
          <w:lang w:eastAsia="bg-BG"/>
        </w:rPr>
        <w:t xml:space="preserve">Изследванията върху създадената инфраструктура трябва да дават възможност за присъединяване на възможно най-много брандови и мрежови решения от типа </w:t>
      </w:r>
      <w:r w:rsidRPr="002C36F8">
        <w:rPr>
          <w:rFonts w:ascii="Times New Roman" w:eastAsia="Arial" w:hAnsi="Times New Roman" w:cs="Times New Roman"/>
          <w:color w:val="000000"/>
          <w:sz w:val="24"/>
          <w:szCs w:val="24"/>
          <w:lang w:val="en-US" w:eastAsia="bg-BG"/>
        </w:rPr>
        <w:t>smart</w:t>
      </w:r>
      <w:r w:rsidRPr="008045CD">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val="en-US" w:eastAsia="bg-BG"/>
        </w:rPr>
        <w:t>grid</w:t>
      </w:r>
      <w:r w:rsidRPr="008045CD">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val="en-US" w:eastAsia="bg-BG"/>
        </w:rPr>
        <w:t>smart</w:t>
      </w:r>
      <w:r w:rsidRPr="008045CD">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val="en-US" w:eastAsia="bg-BG"/>
        </w:rPr>
        <w:t>city</w:t>
      </w:r>
      <w:r w:rsidRPr="008045CD">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eastAsia="bg-BG"/>
        </w:rPr>
        <w:t>и всички видове и марки електрически станции, което да е базата за свободна конкуренция и привличане на инвестиции в този сектор. Изследванията ще се концентрират в три географски центъра, които да изследват както поведението на мрежата, така и комуникацията помежду им, ще се изследват приложението на електромобилност в различни среди и при различни условия.</w:t>
      </w:r>
    </w:p>
    <w:p w14:paraId="72CE6399" w14:textId="77777777" w:rsidR="00570A70" w:rsidRPr="002C36F8" w:rsidRDefault="00570A70" w:rsidP="00570A70">
      <w:pPr>
        <w:widowControl w:val="0"/>
        <w:spacing w:after="0" w:line="240" w:lineRule="auto"/>
        <w:ind w:right="40" w:firstLine="567"/>
        <w:jc w:val="both"/>
        <w:rPr>
          <w:rFonts w:ascii="Times New Roman" w:eastAsia="Arial" w:hAnsi="Times New Roman" w:cs="Times New Roman"/>
          <w:color w:val="000000"/>
          <w:sz w:val="24"/>
          <w:szCs w:val="24"/>
          <w:lang w:eastAsia="bg-BG"/>
        </w:rPr>
      </w:pPr>
      <w:r w:rsidRPr="002C36F8">
        <w:rPr>
          <w:rFonts w:ascii="Times New Roman" w:eastAsia="Arial" w:hAnsi="Times New Roman" w:cs="Times New Roman"/>
          <w:color w:val="000000"/>
          <w:sz w:val="24"/>
          <w:szCs w:val="24"/>
          <w:lang w:eastAsia="bg-BG"/>
        </w:rPr>
        <w:t xml:space="preserve">За целите на проекта ще бъдат закупени определен брой електромобили, които първоначално ще послужат като модели за синхронизиране и адаптиране на системата, а в последствие ще са база за развитие и разширение на системата с широк кръг услуги и дейности, повишаващи експлоатационните възможности на мрежата и тях самите, като ще се предлагат на принципа </w:t>
      </w:r>
      <w:r w:rsidRPr="008045CD">
        <w:rPr>
          <w:rFonts w:ascii="Times New Roman" w:eastAsia="Arial" w:hAnsi="Times New Roman" w:cs="Times New Roman"/>
          <w:color w:val="000000"/>
          <w:sz w:val="24"/>
          <w:szCs w:val="24"/>
          <w:lang w:eastAsia="bg-BG"/>
        </w:rPr>
        <w:t>„</w:t>
      </w:r>
      <w:r w:rsidRPr="002C36F8">
        <w:rPr>
          <w:rFonts w:ascii="Times New Roman" w:eastAsia="Arial" w:hAnsi="Times New Roman" w:cs="Times New Roman"/>
          <w:color w:val="000000"/>
          <w:sz w:val="24"/>
          <w:szCs w:val="24"/>
          <w:lang w:val="en-US" w:eastAsia="bg-BG"/>
        </w:rPr>
        <w:t>Zipcar</w:t>
      </w:r>
      <w:r w:rsidRPr="008045CD">
        <w:rPr>
          <w:rFonts w:ascii="Times New Roman" w:eastAsia="Arial" w:hAnsi="Times New Roman" w:cs="Times New Roman"/>
          <w:color w:val="000000"/>
          <w:sz w:val="24"/>
          <w:szCs w:val="24"/>
          <w:lang w:eastAsia="bg-BG"/>
        </w:rPr>
        <w:t xml:space="preserve">“ </w:t>
      </w:r>
      <w:r w:rsidRPr="002C36F8">
        <w:rPr>
          <w:rFonts w:ascii="Times New Roman" w:eastAsia="Arial" w:hAnsi="Times New Roman" w:cs="Times New Roman"/>
          <w:color w:val="000000"/>
          <w:sz w:val="24"/>
          <w:szCs w:val="24"/>
          <w:lang w:eastAsia="bg-BG"/>
        </w:rPr>
        <w:t>- като нов вид транспортна услуга в страната за популяризиране и практическа демонстрация на електромобилността.</w:t>
      </w:r>
    </w:p>
    <w:p w14:paraId="72CFD173" w14:textId="77777777" w:rsidR="005278D2" w:rsidRDefault="005278D2" w:rsidP="00570A70">
      <w:pPr>
        <w:widowControl w:val="0"/>
        <w:spacing w:after="0" w:line="240" w:lineRule="auto"/>
        <w:ind w:right="40" w:firstLine="567"/>
        <w:jc w:val="both"/>
        <w:rPr>
          <w:rFonts w:ascii="Times New Roman" w:eastAsia="Times New Roman" w:hAnsi="Times New Roman" w:cs="Times New Roman"/>
          <w:b/>
          <w:color w:val="000000"/>
          <w:sz w:val="24"/>
          <w:szCs w:val="24"/>
          <w:lang w:eastAsia="bg-BG"/>
        </w:rPr>
      </w:pPr>
    </w:p>
    <w:p w14:paraId="29A32622" w14:textId="77777777" w:rsidR="00554C19" w:rsidRPr="00554C19" w:rsidRDefault="00554C19" w:rsidP="00570A70">
      <w:pPr>
        <w:widowControl w:val="0"/>
        <w:spacing w:after="0" w:line="240" w:lineRule="auto"/>
        <w:ind w:right="40" w:firstLine="567"/>
        <w:jc w:val="both"/>
        <w:rPr>
          <w:rFonts w:ascii="Times New Roman" w:eastAsia="Times New Roman" w:hAnsi="Times New Roman" w:cs="Times New Roman"/>
          <w:b/>
          <w:color w:val="000000"/>
          <w:sz w:val="24"/>
          <w:szCs w:val="24"/>
          <w:lang w:eastAsia="bg-BG"/>
        </w:rPr>
      </w:pPr>
      <w:r w:rsidRPr="00554C19">
        <w:rPr>
          <w:rFonts w:ascii="Times New Roman" w:eastAsia="Times New Roman" w:hAnsi="Times New Roman" w:cs="Times New Roman"/>
          <w:b/>
          <w:color w:val="000000"/>
          <w:sz w:val="24"/>
          <w:szCs w:val="24"/>
          <w:lang w:eastAsia="bg-BG"/>
        </w:rPr>
        <w:t>4.5. Оперативна програма „Наука и образование за интелигентен растеж" 2014 - 202</w:t>
      </w:r>
      <w:r>
        <w:rPr>
          <w:rFonts w:ascii="Times New Roman" w:eastAsia="Times New Roman" w:hAnsi="Times New Roman" w:cs="Times New Roman"/>
          <w:b/>
          <w:color w:val="000000"/>
          <w:sz w:val="24"/>
          <w:szCs w:val="24"/>
          <w:lang w:eastAsia="bg-BG"/>
        </w:rPr>
        <w:t xml:space="preserve">0 г. </w:t>
      </w:r>
    </w:p>
    <w:p w14:paraId="72FABBD8" w14:textId="77777777" w:rsidR="00570A70" w:rsidRPr="002C36F8" w:rsidRDefault="00570A70" w:rsidP="00570A70">
      <w:pPr>
        <w:widowControl w:val="0"/>
        <w:spacing w:after="0" w:line="240" w:lineRule="auto"/>
        <w:ind w:right="40" w:firstLine="56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Планираните процедури по Оперативна програма „Наука и образование за интелигентен растеж</w:t>
      </w:r>
      <w:r w:rsidR="009A55BC">
        <w:rPr>
          <w:rFonts w:ascii="Times New Roman" w:eastAsia="Times New Roman" w:hAnsi="Times New Roman" w:cs="Times New Roman"/>
          <w:color w:val="000000"/>
          <w:sz w:val="24"/>
          <w:szCs w:val="24"/>
          <w:lang w:eastAsia="bg-BG"/>
        </w:rPr>
        <w:t>“</w:t>
      </w:r>
      <w:r w:rsidR="00A663E3">
        <w:rPr>
          <w:rFonts w:ascii="Times New Roman" w:eastAsia="Times New Roman" w:hAnsi="Times New Roman" w:cs="Times New Roman"/>
          <w:color w:val="000000"/>
          <w:sz w:val="24"/>
          <w:szCs w:val="24"/>
          <w:lang w:eastAsia="bg-BG"/>
        </w:rPr>
        <w:t xml:space="preserve"> (ОП „НОИР“)</w:t>
      </w:r>
      <w:r w:rsidRPr="002C36F8">
        <w:rPr>
          <w:rFonts w:ascii="Times New Roman" w:eastAsia="Times New Roman" w:hAnsi="Times New Roman" w:cs="Times New Roman"/>
          <w:color w:val="000000"/>
          <w:sz w:val="24"/>
          <w:szCs w:val="24"/>
          <w:lang w:eastAsia="bg-BG"/>
        </w:rPr>
        <w:t xml:space="preserve"> 2014 - 202</w:t>
      </w:r>
      <w:r w:rsidR="00554C19">
        <w:rPr>
          <w:rFonts w:ascii="Times New Roman" w:eastAsia="Times New Roman" w:hAnsi="Times New Roman" w:cs="Times New Roman"/>
          <w:color w:val="000000"/>
          <w:sz w:val="24"/>
          <w:szCs w:val="24"/>
          <w:lang w:eastAsia="bg-BG"/>
        </w:rPr>
        <w:t>0 г. в изпълнение на целите на С</w:t>
      </w:r>
      <w:r w:rsidRPr="002C36F8">
        <w:rPr>
          <w:rFonts w:ascii="Times New Roman" w:eastAsia="Times New Roman" w:hAnsi="Times New Roman" w:cs="Times New Roman"/>
          <w:color w:val="000000"/>
          <w:sz w:val="24"/>
          <w:szCs w:val="24"/>
          <w:lang w:eastAsia="bg-BG"/>
        </w:rPr>
        <w:t xml:space="preserve">тратегията за развитие на научните изследвания и Националната пътна карта за научна инфраструктура са свързани с първата от трите основни приоритетни оси на програмата </w:t>
      </w:r>
      <w:r w:rsidR="009A55BC">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 xml:space="preserve"> </w:t>
      </w:r>
      <w:r w:rsidR="009A55BC">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Научни изследвания и технологично развитие</w:t>
      </w:r>
      <w:r w:rsidR="009A55BC">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 xml:space="preserve"> с бюджет от близо 545,8 млн. лв. средства от Европейския фонд за регионално развитие. Сред приоритетите, които са заложени тук, е повишаването на качеството на научните изследвания и развитието на иновациите. Националната цел е да се постигне устойчив растеж на България, а той изисква целенасочени инвестиции в приоритетни за страната научни направления, квалифицирани изследователи и изобретатели и атрактивна научна среда.</w:t>
      </w:r>
    </w:p>
    <w:p w14:paraId="180530FA" w14:textId="77777777" w:rsidR="003E4292" w:rsidRDefault="003E4292" w:rsidP="00570A70">
      <w:pPr>
        <w:widowControl w:val="0"/>
        <w:spacing w:after="0" w:line="240" w:lineRule="auto"/>
        <w:ind w:right="4320"/>
        <w:rPr>
          <w:rFonts w:ascii="Times New Roman" w:eastAsia="Times New Roman" w:hAnsi="Times New Roman" w:cs="Times New Roman"/>
          <w:color w:val="000000"/>
          <w:sz w:val="24"/>
          <w:szCs w:val="24"/>
          <w:lang w:eastAsia="bg-BG"/>
        </w:rPr>
      </w:pPr>
    </w:p>
    <w:p w14:paraId="1A34A2B1" w14:textId="77777777" w:rsidR="00570A70" w:rsidRPr="002C36F8" w:rsidRDefault="00570A70" w:rsidP="00570A70">
      <w:pPr>
        <w:widowControl w:val="0"/>
        <w:spacing w:after="0" w:line="240" w:lineRule="auto"/>
        <w:ind w:right="4320"/>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И</w:t>
      </w:r>
      <w:r w:rsidR="00E66958">
        <w:rPr>
          <w:rFonts w:ascii="Times New Roman" w:eastAsia="Times New Roman" w:hAnsi="Times New Roman" w:cs="Times New Roman"/>
          <w:color w:val="000000"/>
          <w:sz w:val="24"/>
          <w:szCs w:val="24"/>
          <w:lang w:eastAsia="bg-BG"/>
        </w:rPr>
        <w:t>НВЕСТИЦИОНЕН</w:t>
      </w:r>
      <w:r w:rsidRPr="002C36F8">
        <w:rPr>
          <w:rFonts w:ascii="Times New Roman" w:eastAsia="Times New Roman" w:hAnsi="Times New Roman" w:cs="Times New Roman"/>
          <w:color w:val="000000"/>
          <w:sz w:val="24"/>
          <w:szCs w:val="24"/>
          <w:lang w:eastAsia="bg-BG"/>
        </w:rPr>
        <w:t xml:space="preserve"> ПРИОРИТЕТ № 1 </w:t>
      </w:r>
    </w:p>
    <w:p w14:paraId="705218CB" w14:textId="77777777" w:rsidR="00917D61" w:rsidRPr="002C36F8" w:rsidRDefault="00570A70" w:rsidP="001A0506">
      <w:pPr>
        <w:pStyle w:val="ListParagraph"/>
        <w:widowControl w:val="0"/>
        <w:numPr>
          <w:ilvl w:val="0"/>
          <w:numId w:val="13"/>
        </w:numPr>
        <w:spacing w:after="0" w:line="240" w:lineRule="auto"/>
        <w:ind w:left="567" w:right="4320"/>
        <w:rPr>
          <w:rFonts w:ascii="Times New Roman" w:eastAsia="Times New Roman" w:hAnsi="Times New Roman" w:cs="Times New Roman"/>
          <w:b/>
          <w:bCs/>
          <w:i/>
          <w:iCs/>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Центрове за компетентност </w:t>
      </w:r>
    </w:p>
    <w:p w14:paraId="188E224D" w14:textId="77777777" w:rsidR="00917D61" w:rsidRPr="002C36F8" w:rsidRDefault="00570A70" w:rsidP="001A0506">
      <w:pPr>
        <w:pStyle w:val="ListParagraph"/>
        <w:widowControl w:val="0"/>
        <w:numPr>
          <w:ilvl w:val="0"/>
          <w:numId w:val="13"/>
        </w:numPr>
        <w:spacing w:after="0" w:line="240" w:lineRule="auto"/>
        <w:ind w:left="567" w:right="4320"/>
        <w:rPr>
          <w:rFonts w:ascii="Times New Roman" w:eastAsia="Times New Roman" w:hAnsi="Times New Roman" w:cs="Times New Roman"/>
          <w:b/>
          <w:bCs/>
          <w:i/>
          <w:iCs/>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Центрове за върхови постижения </w:t>
      </w:r>
    </w:p>
    <w:p w14:paraId="1FC6B5DF" w14:textId="77777777" w:rsidR="00917D61" w:rsidRPr="002C36F8" w:rsidRDefault="00570A70" w:rsidP="001A0506">
      <w:pPr>
        <w:pStyle w:val="ListParagraph"/>
        <w:widowControl w:val="0"/>
        <w:numPr>
          <w:ilvl w:val="0"/>
          <w:numId w:val="13"/>
        </w:numPr>
        <w:spacing w:after="0" w:line="240" w:lineRule="auto"/>
        <w:ind w:left="567" w:right="4320"/>
        <w:rPr>
          <w:rFonts w:ascii="Times New Roman" w:eastAsia="Times New Roman" w:hAnsi="Times New Roman" w:cs="Times New Roman"/>
          <w:b/>
          <w:bCs/>
          <w:i/>
          <w:iCs/>
          <w:color w:val="000000"/>
          <w:sz w:val="24"/>
          <w:szCs w:val="24"/>
          <w:lang w:eastAsia="bg-BG"/>
        </w:rPr>
      </w:pPr>
      <w:r w:rsidRPr="002C36F8">
        <w:rPr>
          <w:rFonts w:ascii="Times New Roman" w:eastAsia="Times New Roman" w:hAnsi="Times New Roman" w:cs="Times New Roman"/>
          <w:color w:val="000000"/>
          <w:sz w:val="24"/>
          <w:szCs w:val="24"/>
          <w:lang w:eastAsia="bg-BG"/>
        </w:rPr>
        <w:t>Научна инфраструктура</w:t>
      </w:r>
    </w:p>
    <w:p w14:paraId="253BF3F2" w14:textId="77777777" w:rsidR="00917D61" w:rsidRPr="002C36F8" w:rsidRDefault="00570A70" w:rsidP="001A0506">
      <w:pPr>
        <w:pStyle w:val="ListParagraph"/>
        <w:widowControl w:val="0"/>
        <w:numPr>
          <w:ilvl w:val="0"/>
          <w:numId w:val="13"/>
        </w:numPr>
        <w:spacing w:after="0" w:line="240" w:lineRule="auto"/>
        <w:ind w:left="567" w:right="4320"/>
        <w:rPr>
          <w:rFonts w:ascii="Times New Roman" w:eastAsia="Times New Roman" w:hAnsi="Times New Roman" w:cs="Times New Roman"/>
          <w:b/>
          <w:bCs/>
          <w:i/>
          <w:iCs/>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Развитие на регионална интелигентна специализация </w:t>
      </w:r>
    </w:p>
    <w:p w14:paraId="080A4CC8" w14:textId="77777777" w:rsidR="00570A70" w:rsidRPr="002C36F8" w:rsidRDefault="00570A70" w:rsidP="001A0506">
      <w:pPr>
        <w:pStyle w:val="ListParagraph"/>
        <w:widowControl w:val="0"/>
        <w:numPr>
          <w:ilvl w:val="0"/>
          <w:numId w:val="13"/>
        </w:numPr>
        <w:spacing w:after="0" w:line="240" w:lineRule="auto"/>
        <w:ind w:left="567" w:right="4320"/>
        <w:rPr>
          <w:rFonts w:ascii="Times New Roman" w:eastAsia="Times New Roman" w:hAnsi="Times New Roman" w:cs="Times New Roman"/>
          <w:b/>
          <w:bCs/>
          <w:i/>
          <w:iCs/>
          <w:color w:val="000000"/>
          <w:sz w:val="24"/>
          <w:szCs w:val="24"/>
          <w:lang w:eastAsia="bg-BG"/>
        </w:rPr>
      </w:pPr>
      <w:r w:rsidRPr="002C36F8">
        <w:rPr>
          <w:rFonts w:ascii="Times New Roman" w:eastAsia="Times New Roman" w:hAnsi="Times New Roman" w:cs="Times New Roman"/>
          <w:color w:val="000000"/>
          <w:sz w:val="24"/>
          <w:szCs w:val="24"/>
          <w:lang w:eastAsia="bg-BG"/>
        </w:rPr>
        <w:t>Международно сътрудничество</w:t>
      </w:r>
    </w:p>
    <w:p w14:paraId="0E303B2C" w14:textId="77777777" w:rsidR="00917D61" w:rsidRPr="002C36F8" w:rsidRDefault="00917D61" w:rsidP="00917D61">
      <w:pPr>
        <w:widowControl w:val="0"/>
        <w:spacing w:after="0" w:line="240" w:lineRule="auto"/>
        <w:ind w:left="20" w:right="40" w:firstLine="547"/>
        <w:jc w:val="both"/>
        <w:rPr>
          <w:rFonts w:ascii="Times New Roman" w:eastAsia="Times New Roman" w:hAnsi="Times New Roman" w:cs="Times New Roman"/>
          <w:color w:val="000000"/>
          <w:sz w:val="24"/>
          <w:szCs w:val="24"/>
          <w:lang w:eastAsia="bg-BG"/>
        </w:rPr>
      </w:pPr>
    </w:p>
    <w:p w14:paraId="6B5AC865" w14:textId="77777777" w:rsidR="00570A70" w:rsidRPr="002C36F8" w:rsidRDefault="00570A70" w:rsidP="00917D61">
      <w:pPr>
        <w:widowControl w:val="0"/>
        <w:spacing w:after="0" w:line="240" w:lineRule="auto"/>
        <w:ind w:left="20" w:right="40" w:firstLine="54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През 2017 г. се предвижда изграждане на регионални научни центрове: Основната цел на операцията е изграждането на регионален капацитет за специализация съгласно Иновационната стратегия за интелигентна специализация (ИСИС) в рамките на научни институции и висши училища. Регионалните научни центрове ще представляват регионални научноизследователски организации и висши училища, които не разполагат </w:t>
      </w:r>
      <w:r w:rsidRPr="002C36F8">
        <w:rPr>
          <w:rFonts w:ascii="Times New Roman" w:eastAsia="Times New Roman" w:hAnsi="Times New Roman" w:cs="Times New Roman"/>
          <w:color w:val="000000"/>
          <w:sz w:val="24"/>
          <w:szCs w:val="24"/>
          <w:lang w:eastAsia="bg-BG"/>
        </w:rPr>
        <w:lastRenderedPageBreak/>
        <w:t>с критична маса, за да се превърнат в ефективни центрове за върхови постижения или компетентност, но играят важна регионална роля за развитието на местната иновационна екосистема. Програмата ще подкрепи по няколко инфраструктури във всеки от шестте основни географски райони на България (с изключване територията на област София-град).</w:t>
      </w:r>
    </w:p>
    <w:p w14:paraId="14C6BA7D" w14:textId="77777777" w:rsidR="00570A70" w:rsidRPr="002C36F8" w:rsidRDefault="00570A70" w:rsidP="00917D61">
      <w:pPr>
        <w:widowControl w:val="0"/>
        <w:spacing w:after="0" w:line="240" w:lineRule="auto"/>
        <w:ind w:left="20" w:right="20" w:firstLine="547"/>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Уникални научни инфраструктури: Основната цел по Компонент 1 на операцията е да се подкрепи развитието на капацитета за извършване на научни изследвания и иновации в България, чрез изграждане на нова и модернизиране на съществуваща уникална научна инфраструктура за осигуряване на достъп на българската научна общност и бизнеса до най-новите научни открития и най-модерните технологии в ЕС. Това ще позволи на български научноизследователски организации с тяхната уникална инфраструктура и специфична експертиза да бъдат включени в паневропейски комплекси, определени в Европейската пътна карта за научна инфраструктура. Основната цел по Компонент 2 на операцията е да осигури на българските изследователи подкрепа за свободен и удобен достъп до международните бази данни за научна информация и публикации, тъй като те не могат да бъдат напълно ефективни в своите изследвания без такъв достъп. Посоченото ще доведе и до подкрепа на усилията на изследователите в посока на пълната им интеграция в европейското изследователско пространство, включително по отношение на развитието на бъдещите и нововъзникващите технологии на европейско равнище. Подкрепата по ОП </w:t>
      </w:r>
      <w:r w:rsidR="00A663E3">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НОИР</w:t>
      </w:r>
      <w:r w:rsidR="00A663E3">
        <w:rPr>
          <w:rFonts w:ascii="Times New Roman" w:eastAsia="Times New Roman" w:hAnsi="Times New Roman" w:cs="Times New Roman"/>
          <w:color w:val="000000"/>
          <w:sz w:val="24"/>
          <w:szCs w:val="24"/>
          <w:lang w:eastAsia="bg-BG"/>
        </w:rPr>
        <w:t>“</w:t>
      </w:r>
      <w:r w:rsidRPr="002C36F8">
        <w:rPr>
          <w:rFonts w:ascii="Times New Roman" w:eastAsia="Times New Roman" w:hAnsi="Times New Roman" w:cs="Times New Roman"/>
          <w:color w:val="000000"/>
          <w:sz w:val="24"/>
          <w:szCs w:val="24"/>
          <w:lang w:eastAsia="bg-BG"/>
        </w:rPr>
        <w:t xml:space="preserve"> на достъпа до международни бази данни, както и до публикации в признати научни списания, ще даде възможност за интернационализация и засилване на конкурентоспособността на българската наука и икономика. Подкрепата за повишаване качеството на научните издания и подготовката им за рефериране в реферативните и наукометрични бази данни ще гарантира популяризирането на научните резултати и международната разпознаваемост на българските учени и повишаване на международното сътрудничество.</w:t>
      </w:r>
    </w:p>
    <w:p w14:paraId="26ED0130" w14:textId="77777777" w:rsidR="00E66958" w:rsidRDefault="00E66958" w:rsidP="00570A70">
      <w:pPr>
        <w:spacing w:after="0" w:line="240" w:lineRule="auto"/>
        <w:jc w:val="both"/>
        <w:rPr>
          <w:rFonts w:ascii="Times New Roman" w:hAnsi="Times New Roman" w:cs="Times New Roman"/>
          <w:b/>
          <w:sz w:val="24"/>
          <w:szCs w:val="24"/>
        </w:rPr>
      </w:pPr>
    </w:p>
    <w:p w14:paraId="6D53559E" w14:textId="77777777" w:rsidR="00353D0C" w:rsidRPr="00091F00" w:rsidRDefault="00FD1A00" w:rsidP="00091F00">
      <w:pPr>
        <w:spacing w:after="0" w:line="240" w:lineRule="auto"/>
        <w:jc w:val="both"/>
        <w:rPr>
          <w:rFonts w:ascii="Times New Roman" w:hAnsi="Times New Roman" w:cs="Times New Roman"/>
          <w:b/>
          <w:sz w:val="24"/>
          <w:szCs w:val="24"/>
        </w:rPr>
      </w:pPr>
      <w:r w:rsidRPr="00FD1A00">
        <w:rPr>
          <w:rFonts w:ascii="Times New Roman" w:hAnsi="Times New Roman" w:cs="Times New Roman"/>
          <w:b/>
          <w:sz w:val="24"/>
          <w:szCs w:val="24"/>
        </w:rPr>
        <w:t>4.6</w:t>
      </w:r>
      <w:r w:rsidR="00511139">
        <w:rPr>
          <w:rFonts w:ascii="Times New Roman" w:hAnsi="Times New Roman" w:cs="Times New Roman"/>
          <w:b/>
          <w:sz w:val="24"/>
          <w:szCs w:val="24"/>
        </w:rPr>
        <w:t>.</w:t>
      </w:r>
      <w:r w:rsidR="00353D0C">
        <w:rPr>
          <w:rFonts w:ascii="Times New Roman" w:hAnsi="Times New Roman" w:cs="Times New Roman"/>
          <w:b/>
          <w:sz w:val="24"/>
          <w:szCs w:val="24"/>
        </w:rPr>
        <w:t xml:space="preserve"> </w:t>
      </w:r>
      <w:r w:rsidR="00353D0C" w:rsidRPr="00482076">
        <w:rPr>
          <w:rFonts w:ascii="Times New Roman" w:eastAsia="Calibri" w:hAnsi="Times New Roman" w:cs="Times New Roman"/>
          <w:b/>
          <w:bCs/>
          <w:color w:val="000000"/>
          <w:sz w:val="24"/>
          <w:szCs w:val="24"/>
        </w:rPr>
        <w:t>Програма за развитие на селските райони</w:t>
      </w:r>
      <w:r w:rsidR="00353D0C" w:rsidRPr="00482076">
        <w:rPr>
          <w:rFonts w:ascii="Times New Roman" w:eastAsia="Calibri" w:hAnsi="Times New Roman" w:cs="Times New Roman"/>
          <w:b/>
          <w:bCs/>
          <w:color w:val="000000"/>
          <w:sz w:val="24"/>
          <w:szCs w:val="24"/>
          <w:vertAlign w:val="superscript"/>
        </w:rPr>
        <w:t xml:space="preserve"> </w:t>
      </w:r>
      <w:r w:rsidR="00353D0C" w:rsidRPr="00482076">
        <w:rPr>
          <w:rFonts w:ascii="Times New Roman" w:eastAsia="Calibri" w:hAnsi="Times New Roman" w:cs="Times New Roman"/>
          <w:b/>
          <w:bCs/>
          <w:color w:val="000000"/>
          <w:sz w:val="24"/>
          <w:szCs w:val="24"/>
        </w:rPr>
        <w:t>за 2014-2020 г.</w:t>
      </w:r>
      <w:r w:rsidR="009A55BC">
        <w:rPr>
          <w:rFonts w:ascii="Times New Roman" w:eastAsia="Calibri" w:hAnsi="Times New Roman" w:cs="Times New Roman"/>
          <w:b/>
          <w:bCs/>
          <w:color w:val="000000"/>
          <w:sz w:val="24"/>
          <w:szCs w:val="24"/>
        </w:rPr>
        <w:t xml:space="preserve"> </w:t>
      </w:r>
      <w:r w:rsidR="00353D0C" w:rsidRPr="00353D0C">
        <w:rPr>
          <w:rFonts w:ascii="Times New Roman" w:eastAsia="Calibri" w:hAnsi="Times New Roman" w:cs="Times New Roman"/>
          <w:bCs/>
          <w:color w:val="000000"/>
          <w:sz w:val="24"/>
          <w:szCs w:val="24"/>
        </w:rPr>
        <w:t>Подкрепа за производство на биогорива се осъществява по Програмата за развитие на селските райони</w:t>
      </w:r>
      <w:r w:rsidR="00353D0C" w:rsidRPr="00353D0C">
        <w:rPr>
          <w:rFonts w:ascii="Times New Roman" w:eastAsia="Calibri" w:hAnsi="Times New Roman" w:cs="Times New Roman"/>
          <w:bCs/>
          <w:color w:val="000000"/>
          <w:sz w:val="24"/>
          <w:szCs w:val="24"/>
          <w:vertAlign w:val="superscript"/>
        </w:rPr>
        <w:footnoteReference w:id="8"/>
      </w:r>
      <w:r w:rsidR="00353D0C" w:rsidRPr="00353D0C">
        <w:rPr>
          <w:rFonts w:ascii="Times New Roman" w:eastAsia="Calibri" w:hAnsi="Times New Roman" w:cs="Times New Roman"/>
          <w:bCs/>
          <w:color w:val="000000"/>
          <w:sz w:val="24"/>
          <w:szCs w:val="24"/>
        </w:rPr>
        <w:t xml:space="preserve"> за 2014-2020 г. </w:t>
      </w:r>
      <w:r w:rsidR="00353D0C" w:rsidRPr="00353D0C">
        <w:rPr>
          <w:rFonts w:ascii="Times New Roman" w:eastAsia="Calibri" w:hAnsi="Times New Roman" w:cs="Times New Roman"/>
          <w:color w:val="000000"/>
          <w:sz w:val="24"/>
          <w:szCs w:val="24"/>
        </w:rPr>
        <w:t>съфинансирана от Европейския земеделски фонд за развитие на селските райони, по следните мерки:</w:t>
      </w:r>
    </w:p>
    <w:p w14:paraId="31087DAB" w14:textId="77777777" w:rsidR="00353D0C" w:rsidRPr="00353D0C" w:rsidRDefault="00353D0C" w:rsidP="001A0506">
      <w:pPr>
        <w:pStyle w:val="ListParagraph"/>
        <w:widowControl w:val="0"/>
        <w:numPr>
          <w:ilvl w:val="0"/>
          <w:numId w:val="30"/>
        </w:num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353D0C">
        <w:rPr>
          <w:rFonts w:ascii="Times New Roman" w:eastAsia="Calibri" w:hAnsi="Times New Roman" w:cs="Times New Roman"/>
          <w:color w:val="000000"/>
          <w:sz w:val="24"/>
          <w:szCs w:val="24"/>
        </w:rPr>
        <w:t xml:space="preserve">мярка M04 „Инвестиции в материални активи”: подмярка 4.1 „Инвестиции в земеделски стопанства“ и подмярка 4.2 „Инвестиции в преработка/маркетинг на селскостопански продукти“; </w:t>
      </w:r>
    </w:p>
    <w:p w14:paraId="2DC9D8EC" w14:textId="77777777" w:rsidR="00353D0C" w:rsidRPr="00353D0C" w:rsidRDefault="00353D0C" w:rsidP="001A0506">
      <w:pPr>
        <w:pStyle w:val="ListParagraph"/>
        <w:widowControl w:val="0"/>
        <w:numPr>
          <w:ilvl w:val="0"/>
          <w:numId w:val="29"/>
        </w:numPr>
        <w:tabs>
          <w:tab w:val="left" w:pos="993"/>
        </w:tabs>
        <w:autoSpaceDE w:val="0"/>
        <w:autoSpaceDN w:val="0"/>
        <w:adjustRightInd w:val="0"/>
        <w:spacing w:after="19" w:line="240" w:lineRule="auto"/>
        <w:jc w:val="both"/>
        <w:rPr>
          <w:rFonts w:ascii="Times New Roman" w:eastAsia="Calibri" w:hAnsi="Times New Roman" w:cs="Times New Roman"/>
          <w:color w:val="000000"/>
          <w:sz w:val="24"/>
          <w:szCs w:val="24"/>
        </w:rPr>
      </w:pPr>
      <w:r w:rsidRPr="00353D0C">
        <w:rPr>
          <w:rFonts w:ascii="Times New Roman" w:eastAsia="Calibri" w:hAnsi="Times New Roman" w:cs="Times New Roman"/>
          <w:color w:val="000000"/>
          <w:sz w:val="24"/>
          <w:szCs w:val="24"/>
        </w:rPr>
        <w:t xml:space="preserve">мярка M06 „Развитие на стопанства и предприятия“: подмярка 6.2 „Стартова помощ за неземеделски дейности“ и подмярка 6.4 „Инвестиции в подкрепа на неземеделски дейности“. </w:t>
      </w:r>
    </w:p>
    <w:p w14:paraId="33939A5F" w14:textId="77777777" w:rsidR="00353D0C" w:rsidRPr="00353D0C" w:rsidRDefault="00353D0C" w:rsidP="00353D0C">
      <w:pPr>
        <w:autoSpaceDE w:val="0"/>
        <w:autoSpaceDN w:val="0"/>
        <w:adjustRightInd w:val="0"/>
        <w:ind w:firstLine="708"/>
        <w:jc w:val="both"/>
        <w:rPr>
          <w:rFonts w:ascii="Times New Roman" w:eastAsia="Calibri" w:hAnsi="Times New Roman" w:cs="Times New Roman"/>
          <w:color w:val="000000"/>
          <w:sz w:val="24"/>
          <w:szCs w:val="24"/>
        </w:rPr>
      </w:pPr>
      <w:r w:rsidRPr="00353D0C">
        <w:rPr>
          <w:rFonts w:ascii="Times New Roman" w:eastAsia="Calibri" w:hAnsi="Times New Roman" w:cs="Times New Roman"/>
          <w:color w:val="000000"/>
          <w:sz w:val="24"/>
          <w:szCs w:val="24"/>
        </w:rPr>
        <w:t>Проекти за производство на биогорива и течните горива от биомаса се подпомагат при условие, че отговарят на критериите за устойчивост, определени от Закона за енергията от възобновяеми източници (ЗЕВИ)</w:t>
      </w:r>
      <w:r w:rsidRPr="00353D0C">
        <w:rPr>
          <w:rFonts w:ascii="Times New Roman" w:eastAsia="Calibri" w:hAnsi="Times New Roman" w:cs="Times New Roman"/>
          <w:color w:val="000000"/>
          <w:sz w:val="24"/>
          <w:szCs w:val="24"/>
          <w:vertAlign w:val="superscript"/>
        </w:rPr>
        <w:footnoteReference w:id="9"/>
      </w:r>
      <w:r w:rsidRPr="00353D0C">
        <w:rPr>
          <w:rFonts w:ascii="Times New Roman" w:eastAsia="Calibri" w:hAnsi="Times New Roman" w:cs="Times New Roman"/>
          <w:color w:val="000000"/>
          <w:sz w:val="24"/>
          <w:szCs w:val="24"/>
        </w:rPr>
        <w:t xml:space="preserve">. </w:t>
      </w:r>
    </w:p>
    <w:p w14:paraId="4095F0AC" w14:textId="77777777" w:rsidR="00570A70" w:rsidRPr="002C36F8" w:rsidRDefault="00570A70" w:rsidP="000443D2">
      <w:pPr>
        <w:spacing w:after="0" w:line="240" w:lineRule="auto"/>
        <w:jc w:val="both"/>
        <w:rPr>
          <w:rFonts w:ascii="Times New Roman" w:hAnsi="Times New Roman" w:cs="Times New Roman"/>
          <w:b/>
          <w:sz w:val="24"/>
          <w:szCs w:val="24"/>
        </w:rPr>
      </w:pPr>
    </w:p>
    <w:p w14:paraId="533EDF3C" w14:textId="77777777" w:rsidR="00917D61" w:rsidRPr="002C36F8" w:rsidRDefault="00917D61" w:rsidP="000443D2">
      <w:pPr>
        <w:spacing w:after="0" w:line="240" w:lineRule="auto"/>
        <w:jc w:val="both"/>
        <w:rPr>
          <w:rFonts w:ascii="Times New Roman" w:hAnsi="Times New Roman" w:cs="Times New Roman"/>
          <w:b/>
          <w:sz w:val="24"/>
          <w:szCs w:val="24"/>
        </w:rPr>
      </w:pPr>
    </w:p>
    <w:p w14:paraId="2E06D817" w14:textId="77777777" w:rsidR="00F17EF7" w:rsidRPr="002C36F8" w:rsidRDefault="00F17EF7" w:rsidP="001A0506">
      <w:pPr>
        <w:pStyle w:val="ListParagraph"/>
        <w:numPr>
          <w:ilvl w:val="0"/>
          <w:numId w:val="9"/>
        </w:numPr>
        <w:spacing w:after="0"/>
        <w:ind w:left="567" w:hanging="567"/>
        <w:jc w:val="both"/>
        <w:rPr>
          <w:rFonts w:ascii="Times New Roman" w:hAnsi="Times New Roman" w:cs="Times New Roman"/>
          <w:b/>
          <w:sz w:val="24"/>
          <w:szCs w:val="24"/>
        </w:rPr>
      </w:pPr>
      <w:r w:rsidRPr="002C36F8">
        <w:rPr>
          <w:rFonts w:ascii="Times New Roman" w:hAnsi="Times New Roman" w:cs="Times New Roman"/>
          <w:b/>
          <w:sz w:val="24"/>
          <w:szCs w:val="24"/>
        </w:rPr>
        <w:t xml:space="preserve">АКТУАЛНО СЪСТОЯНИЕ </w:t>
      </w:r>
      <w:r w:rsidR="00A71ECE" w:rsidRPr="002C36F8">
        <w:rPr>
          <w:rFonts w:ascii="Times New Roman" w:hAnsi="Times New Roman" w:cs="Times New Roman"/>
          <w:b/>
          <w:sz w:val="24"/>
          <w:szCs w:val="24"/>
        </w:rPr>
        <w:t xml:space="preserve">НА </w:t>
      </w:r>
      <w:r w:rsidR="00554C19">
        <w:rPr>
          <w:rFonts w:ascii="Times New Roman" w:hAnsi="Times New Roman" w:cs="Times New Roman"/>
          <w:b/>
          <w:sz w:val="24"/>
          <w:szCs w:val="24"/>
        </w:rPr>
        <w:t>ЕНЕРГИЙНОТО ПОТРЕБЛЕНИЕ</w:t>
      </w:r>
      <w:r w:rsidR="00A71ECE" w:rsidRPr="002C36F8">
        <w:rPr>
          <w:rFonts w:ascii="Times New Roman" w:hAnsi="Times New Roman" w:cs="Times New Roman"/>
          <w:b/>
          <w:sz w:val="24"/>
          <w:szCs w:val="24"/>
        </w:rPr>
        <w:t xml:space="preserve"> В ТРАНСПОРТА</w:t>
      </w:r>
    </w:p>
    <w:p w14:paraId="579CB548" w14:textId="77777777" w:rsidR="00F17EF7" w:rsidRPr="002C36F8" w:rsidRDefault="00F17EF7" w:rsidP="00F17EF7">
      <w:pPr>
        <w:spacing w:after="0"/>
        <w:rPr>
          <w:rFonts w:ascii="Times New Roman" w:hAnsi="Times New Roman" w:cs="Times New Roman"/>
          <w:b/>
          <w:i/>
          <w:sz w:val="24"/>
          <w:szCs w:val="24"/>
        </w:rPr>
      </w:pPr>
    </w:p>
    <w:p w14:paraId="31E37D93" w14:textId="77777777" w:rsidR="000C4F1D" w:rsidRPr="002C36F8" w:rsidRDefault="00570A70" w:rsidP="00F17EF7">
      <w:pPr>
        <w:spacing w:after="0"/>
        <w:rPr>
          <w:rFonts w:ascii="Times New Roman" w:hAnsi="Times New Roman" w:cs="Times New Roman"/>
          <w:b/>
          <w:sz w:val="24"/>
          <w:szCs w:val="24"/>
        </w:rPr>
      </w:pPr>
      <w:r w:rsidRPr="002C36F8">
        <w:rPr>
          <w:rFonts w:ascii="Times New Roman" w:hAnsi="Times New Roman" w:cs="Times New Roman"/>
          <w:b/>
          <w:sz w:val="24"/>
          <w:szCs w:val="24"/>
        </w:rPr>
        <w:t>5</w:t>
      </w:r>
      <w:r w:rsidR="000C4F1D" w:rsidRPr="002C36F8">
        <w:rPr>
          <w:rFonts w:ascii="Times New Roman" w:hAnsi="Times New Roman" w:cs="Times New Roman"/>
          <w:b/>
          <w:sz w:val="24"/>
          <w:szCs w:val="24"/>
        </w:rPr>
        <w:t>.1 Обща информация за потребление на енергия и горива в сектор „Транспорт”</w:t>
      </w:r>
    </w:p>
    <w:p w14:paraId="7F5531E3" w14:textId="77777777" w:rsidR="000C4F1D" w:rsidRPr="002C36F8" w:rsidRDefault="000C4F1D" w:rsidP="000C4F1D">
      <w:pPr>
        <w:spacing w:after="0" w:line="240" w:lineRule="auto"/>
        <w:ind w:right="72" w:firstLine="567"/>
        <w:jc w:val="both"/>
        <w:rPr>
          <w:rFonts w:ascii="Times New Roman" w:eastAsia="Times New Roman" w:hAnsi="Times New Roman" w:cs="Times New Roman"/>
          <w:sz w:val="24"/>
          <w:szCs w:val="24"/>
          <w:lang w:eastAsia="bg-BG"/>
        </w:rPr>
      </w:pPr>
    </w:p>
    <w:p w14:paraId="0267C83B" w14:textId="77777777" w:rsidR="000C4F1D" w:rsidRPr="002C36F8" w:rsidRDefault="000C4F1D" w:rsidP="000C4F1D">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Използването на все по-чисти горива и енергия в транспорта е едно от главните условия за развитието на устойчив транспорт в бъдеще.</w:t>
      </w:r>
    </w:p>
    <w:p w14:paraId="62792F29" w14:textId="77777777" w:rsidR="000C4F1D" w:rsidRPr="002C36F8" w:rsidRDefault="000C4F1D" w:rsidP="00A71ECE">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Потреблението на горива и енергия в транспорта, изчислено като хиляди тона нефтен еквивалент (хил. т н.е., 1000 toe) представя енергийното потребление на транспорта и е основен индикатор за въздействие на транспорта върху околната среда. В периода 2000 – 2014 г. като цяло потреблението на енергия в транспорта непрекъснато нараства. </w:t>
      </w:r>
    </w:p>
    <w:p w14:paraId="5E132CC9" w14:textId="77777777" w:rsidR="00A71ECE" w:rsidRPr="002C36F8" w:rsidRDefault="00A71ECE" w:rsidP="00A71ECE">
      <w:pPr>
        <w:spacing w:after="0" w:line="240" w:lineRule="auto"/>
        <w:ind w:right="72" w:firstLine="567"/>
        <w:jc w:val="both"/>
        <w:rPr>
          <w:rFonts w:ascii="Times New Roman" w:eastAsia="Times New Roman" w:hAnsi="Times New Roman" w:cs="Times New Roman"/>
          <w:sz w:val="24"/>
          <w:szCs w:val="24"/>
          <w:lang w:eastAsia="bg-BG"/>
        </w:rPr>
      </w:pPr>
    </w:p>
    <w:p w14:paraId="20A9F34A" w14:textId="77777777" w:rsidR="000C4F1D" w:rsidRPr="002C36F8" w:rsidRDefault="00B67BC1" w:rsidP="000C4F1D">
      <w:pPr>
        <w:spacing w:after="0" w:line="240" w:lineRule="auto"/>
        <w:ind w:right="72"/>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2</w:t>
      </w:r>
      <w:r w:rsidR="000C4F1D" w:rsidRPr="002C36F8">
        <w:rPr>
          <w:rFonts w:ascii="Times New Roman" w:eastAsia="Times New Roman" w:hAnsi="Times New Roman" w:cs="Times New Roman"/>
          <w:sz w:val="20"/>
          <w:szCs w:val="20"/>
          <w:lang w:eastAsia="bg-BG"/>
        </w:rPr>
        <w:t>. Потребление на енергия и горива в сектор „Транспорт”</w:t>
      </w:r>
    </w:p>
    <w:p w14:paraId="32E71050" w14:textId="77777777" w:rsidR="000C4F1D" w:rsidRPr="002C36F8" w:rsidRDefault="000C4F1D" w:rsidP="000C4F1D">
      <w:pPr>
        <w:spacing w:after="0" w:line="240" w:lineRule="auto"/>
        <w:ind w:right="72"/>
        <w:jc w:val="both"/>
        <w:rPr>
          <w:rFonts w:ascii="Times New Roman" w:eastAsia="Times New Roman" w:hAnsi="Times New Roman" w:cs="Times New Roman"/>
          <w:b/>
          <w:sz w:val="24"/>
          <w:szCs w:val="24"/>
          <w:lang w:eastAsia="bg-BG"/>
        </w:rPr>
      </w:pPr>
    </w:p>
    <w:tbl>
      <w:tblPr>
        <w:tblW w:w="5040" w:type="dxa"/>
        <w:tblInd w:w="-5" w:type="dxa"/>
        <w:tblCellMar>
          <w:left w:w="70" w:type="dxa"/>
          <w:right w:w="70" w:type="dxa"/>
        </w:tblCellMar>
        <w:tblLook w:val="04A0" w:firstRow="1" w:lastRow="0" w:firstColumn="1" w:lastColumn="0" w:noHBand="0" w:noVBand="1"/>
      </w:tblPr>
      <w:tblGrid>
        <w:gridCol w:w="851"/>
        <w:gridCol w:w="1984"/>
        <w:gridCol w:w="2205"/>
      </w:tblGrid>
      <w:tr w:rsidR="000C4F1D" w:rsidRPr="002C36F8" w14:paraId="43A9B7A4" w14:textId="77777777" w:rsidTr="000C4F1D">
        <w:trPr>
          <w:trHeight w:val="180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6989E7" w14:textId="77777777" w:rsidR="000C4F1D" w:rsidRPr="002C36F8" w:rsidRDefault="000C4F1D" w:rsidP="000C4F1D">
            <w:pPr>
              <w:spacing w:after="0" w:line="240" w:lineRule="auto"/>
              <w:jc w:val="center"/>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Година</w:t>
            </w:r>
          </w:p>
        </w:tc>
        <w:tc>
          <w:tcPr>
            <w:tcW w:w="1984" w:type="dxa"/>
            <w:tcBorders>
              <w:top w:val="single" w:sz="4" w:space="0" w:color="auto"/>
              <w:left w:val="nil"/>
              <w:bottom w:val="single" w:sz="4" w:space="0" w:color="auto"/>
              <w:right w:val="single" w:sz="4" w:space="0" w:color="auto"/>
            </w:tcBorders>
            <w:shd w:val="clear" w:color="000000" w:fill="D3D3D3"/>
            <w:hideMark/>
          </w:tcPr>
          <w:p w14:paraId="1CDC4FA4" w14:textId="77777777" w:rsidR="000C4F1D" w:rsidRPr="002C36F8" w:rsidRDefault="000C4F1D" w:rsidP="000C4F1D">
            <w:pPr>
              <w:spacing w:after="0" w:line="240" w:lineRule="auto"/>
              <w:jc w:val="center"/>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Крайно енергийно потребление в транспорта</w:t>
            </w:r>
          </w:p>
        </w:tc>
        <w:tc>
          <w:tcPr>
            <w:tcW w:w="2205" w:type="dxa"/>
            <w:tcBorders>
              <w:top w:val="single" w:sz="4" w:space="0" w:color="auto"/>
              <w:left w:val="nil"/>
              <w:bottom w:val="single" w:sz="4" w:space="0" w:color="auto"/>
              <w:right w:val="single" w:sz="4" w:space="0" w:color="auto"/>
            </w:tcBorders>
            <w:shd w:val="clear" w:color="auto" w:fill="auto"/>
            <w:hideMark/>
          </w:tcPr>
          <w:p w14:paraId="4AE80F8F" w14:textId="77777777" w:rsidR="000C4F1D" w:rsidRPr="002C36F8" w:rsidRDefault="000C4F1D" w:rsidP="000C4F1D">
            <w:pPr>
              <w:spacing w:after="0" w:line="240" w:lineRule="auto"/>
              <w:jc w:val="center"/>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Дял на транспорта в крайното енергийно потребление на страната в %</w:t>
            </w:r>
          </w:p>
        </w:tc>
      </w:tr>
      <w:tr w:rsidR="000C4F1D" w:rsidRPr="002C36F8" w14:paraId="3FE9BE44"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F6EE7C"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2000</w:t>
            </w:r>
          </w:p>
        </w:tc>
        <w:tc>
          <w:tcPr>
            <w:tcW w:w="1984" w:type="dxa"/>
            <w:tcBorders>
              <w:top w:val="nil"/>
              <w:left w:val="nil"/>
              <w:bottom w:val="single" w:sz="4" w:space="0" w:color="auto"/>
              <w:right w:val="single" w:sz="4" w:space="0" w:color="auto"/>
            </w:tcBorders>
            <w:shd w:val="clear" w:color="000000" w:fill="EEF9FE"/>
            <w:noWrap/>
            <w:vAlign w:val="bottom"/>
            <w:hideMark/>
          </w:tcPr>
          <w:p w14:paraId="7C27F810"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1839</w:t>
            </w:r>
          </w:p>
        </w:tc>
        <w:tc>
          <w:tcPr>
            <w:tcW w:w="2205" w:type="dxa"/>
            <w:tcBorders>
              <w:top w:val="nil"/>
              <w:left w:val="nil"/>
              <w:bottom w:val="single" w:sz="4" w:space="0" w:color="auto"/>
              <w:right w:val="single" w:sz="4" w:space="0" w:color="auto"/>
            </w:tcBorders>
            <w:shd w:val="clear" w:color="auto" w:fill="auto"/>
            <w:noWrap/>
            <w:vAlign w:val="bottom"/>
            <w:hideMark/>
          </w:tcPr>
          <w:p w14:paraId="24648908"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21,8</w:t>
            </w:r>
          </w:p>
        </w:tc>
      </w:tr>
      <w:tr w:rsidR="000C4F1D" w:rsidRPr="002C36F8" w14:paraId="25A1A8B2"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534FFB0"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2001</w:t>
            </w:r>
          </w:p>
        </w:tc>
        <w:tc>
          <w:tcPr>
            <w:tcW w:w="1984" w:type="dxa"/>
            <w:tcBorders>
              <w:top w:val="nil"/>
              <w:left w:val="nil"/>
              <w:bottom w:val="single" w:sz="4" w:space="0" w:color="auto"/>
              <w:right w:val="single" w:sz="4" w:space="0" w:color="auto"/>
            </w:tcBorders>
            <w:shd w:val="clear" w:color="000000" w:fill="FBFBFB"/>
            <w:noWrap/>
            <w:vAlign w:val="bottom"/>
            <w:hideMark/>
          </w:tcPr>
          <w:p w14:paraId="5D41B344"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1948</w:t>
            </w:r>
          </w:p>
        </w:tc>
        <w:tc>
          <w:tcPr>
            <w:tcW w:w="2205" w:type="dxa"/>
            <w:tcBorders>
              <w:top w:val="nil"/>
              <w:left w:val="nil"/>
              <w:bottom w:val="single" w:sz="4" w:space="0" w:color="auto"/>
              <w:right w:val="single" w:sz="4" w:space="0" w:color="auto"/>
            </w:tcBorders>
            <w:shd w:val="clear" w:color="auto" w:fill="auto"/>
            <w:noWrap/>
            <w:vAlign w:val="bottom"/>
            <w:hideMark/>
          </w:tcPr>
          <w:p w14:paraId="3C87179D"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23,2</w:t>
            </w:r>
          </w:p>
        </w:tc>
      </w:tr>
      <w:tr w:rsidR="000C4F1D" w:rsidRPr="002C36F8" w14:paraId="371E721C"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D17327"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2002</w:t>
            </w:r>
          </w:p>
        </w:tc>
        <w:tc>
          <w:tcPr>
            <w:tcW w:w="1984" w:type="dxa"/>
            <w:tcBorders>
              <w:top w:val="nil"/>
              <w:left w:val="nil"/>
              <w:bottom w:val="single" w:sz="4" w:space="0" w:color="auto"/>
              <w:right w:val="single" w:sz="4" w:space="0" w:color="auto"/>
            </w:tcBorders>
            <w:shd w:val="clear" w:color="000000" w:fill="EEF9FE"/>
            <w:noWrap/>
            <w:vAlign w:val="bottom"/>
            <w:hideMark/>
          </w:tcPr>
          <w:p w14:paraId="0F3B8BBE"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2055</w:t>
            </w:r>
          </w:p>
        </w:tc>
        <w:tc>
          <w:tcPr>
            <w:tcW w:w="2205" w:type="dxa"/>
            <w:tcBorders>
              <w:top w:val="nil"/>
              <w:left w:val="nil"/>
              <w:bottom w:val="single" w:sz="4" w:space="0" w:color="auto"/>
              <w:right w:val="single" w:sz="4" w:space="0" w:color="auto"/>
            </w:tcBorders>
            <w:shd w:val="clear" w:color="auto" w:fill="auto"/>
            <w:noWrap/>
            <w:vAlign w:val="bottom"/>
            <w:hideMark/>
          </w:tcPr>
          <w:p w14:paraId="7A6CB310"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24,1</w:t>
            </w:r>
          </w:p>
        </w:tc>
      </w:tr>
      <w:tr w:rsidR="000C4F1D" w:rsidRPr="002C36F8" w14:paraId="268D7043"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0C7B68"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2003</w:t>
            </w:r>
          </w:p>
        </w:tc>
        <w:tc>
          <w:tcPr>
            <w:tcW w:w="1984" w:type="dxa"/>
            <w:tcBorders>
              <w:top w:val="nil"/>
              <w:left w:val="nil"/>
              <w:bottom w:val="single" w:sz="4" w:space="0" w:color="auto"/>
              <w:right w:val="single" w:sz="4" w:space="0" w:color="auto"/>
            </w:tcBorders>
            <w:shd w:val="clear" w:color="000000" w:fill="FBFBFB"/>
            <w:noWrap/>
            <w:vAlign w:val="bottom"/>
            <w:hideMark/>
          </w:tcPr>
          <w:p w14:paraId="47E71973"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2319</w:t>
            </w:r>
          </w:p>
        </w:tc>
        <w:tc>
          <w:tcPr>
            <w:tcW w:w="2205" w:type="dxa"/>
            <w:tcBorders>
              <w:top w:val="nil"/>
              <w:left w:val="nil"/>
              <w:bottom w:val="single" w:sz="4" w:space="0" w:color="auto"/>
              <w:right w:val="single" w:sz="4" w:space="0" w:color="auto"/>
            </w:tcBorders>
            <w:shd w:val="clear" w:color="auto" w:fill="auto"/>
            <w:noWrap/>
            <w:vAlign w:val="bottom"/>
            <w:hideMark/>
          </w:tcPr>
          <w:p w14:paraId="07C8345C"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25,3</w:t>
            </w:r>
          </w:p>
        </w:tc>
      </w:tr>
      <w:tr w:rsidR="000C4F1D" w:rsidRPr="002C36F8" w14:paraId="6A496B1D"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186EB8"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2004</w:t>
            </w:r>
          </w:p>
        </w:tc>
        <w:tc>
          <w:tcPr>
            <w:tcW w:w="1984" w:type="dxa"/>
            <w:tcBorders>
              <w:top w:val="nil"/>
              <w:left w:val="nil"/>
              <w:bottom w:val="single" w:sz="4" w:space="0" w:color="auto"/>
              <w:right w:val="single" w:sz="4" w:space="0" w:color="auto"/>
            </w:tcBorders>
            <w:shd w:val="clear" w:color="000000" w:fill="EEF9FE"/>
            <w:noWrap/>
            <w:vAlign w:val="bottom"/>
            <w:hideMark/>
          </w:tcPr>
          <w:p w14:paraId="135C3B0C"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2396</w:t>
            </w:r>
          </w:p>
        </w:tc>
        <w:tc>
          <w:tcPr>
            <w:tcW w:w="2205" w:type="dxa"/>
            <w:tcBorders>
              <w:top w:val="nil"/>
              <w:left w:val="nil"/>
              <w:bottom w:val="single" w:sz="4" w:space="0" w:color="auto"/>
              <w:right w:val="single" w:sz="4" w:space="0" w:color="auto"/>
            </w:tcBorders>
            <w:shd w:val="clear" w:color="auto" w:fill="auto"/>
            <w:noWrap/>
            <w:vAlign w:val="bottom"/>
            <w:hideMark/>
          </w:tcPr>
          <w:p w14:paraId="545209A9"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26,9</w:t>
            </w:r>
          </w:p>
        </w:tc>
      </w:tr>
      <w:tr w:rsidR="000C4F1D" w:rsidRPr="002C36F8" w14:paraId="0310C9B5"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9F25C2"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2005</w:t>
            </w:r>
          </w:p>
        </w:tc>
        <w:tc>
          <w:tcPr>
            <w:tcW w:w="1984" w:type="dxa"/>
            <w:tcBorders>
              <w:top w:val="nil"/>
              <w:left w:val="nil"/>
              <w:bottom w:val="single" w:sz="4" w:space="0" w:color="auto"/>
              <w:right w:val="single" w:sz="4" w:space="0" w:color="auto"/>
            </w:tcBorders>
            <w:shd w:val="clear" w:color="000000" w:fill="FBFBFB"/>
            <w:noWrap/>
            <w:vAlign w:val="bottom"/>
            <w:hideMark/>
          </w:tcPr>
          <w:p w14:paraId="7D783E5E"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2642</w:t>
            </w:r>
          </w:p>
        </w:tc>
        <w:tc>
          <w:tcPr>
            <w:tcW w:w="2205" w:type="dxa"/>
            <w:tcBorders>
              <w:top w:val="nil"/>
              <w:left w:val="nil"/>
              <w:bottom w:val="single" w:sz="4" w:space="0" w:color="auto"/>
              <w:right w:val="single" w:sz="4" w:space="0" w:color="auto"/>
            </w:tcBorders>
            <w:shd w:val="clear" w:color="auto" w:fill="auto"/>
            <w:noWrap/>
            <w:vAlign w:val="bottom"/>
            <w:hideMark/>
          </w:tcPr>
          <w:p w14:paraId="08FD9383"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28,5</w:t>
            </w:r>
          </w:p>
        </w:tc>
      </w:tr>
      <w:tr w:rsidR="000C4F1D" w:rsidRPr="002C36F8" w14:paraId="39144508"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16D250"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2006</w:t>
            </w:r>
          </w:p>
        </w:tc>
        <w:tc>
          <w:tcPr>
            <w:tcW w:w="1984" w:type="dxa"/>
            <w:tcBorders>
              <w:top w:val="nil"/>
              <w:left w:val="nil"/>
              <w:bottom w:val="single" w:sz="4" w:space="0" w:color="auto"/>
              <w:right w:val="single" w:sz="4" w:space="0" w:color="auto"/>
            </w:tcBorders>
            <w:shd w:val="clear" w:color="000000" w:fill="EEF9FE"/>
            <w:noWrap/>
            <w:vAlign w:val="bottom"/>
            <w:hideMark/>
          </w:tcPr>
          <w:p w14:paraId="248F0B54"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2801</w:t>
            </w:r>
          </w:p>
        </w:tc>
        <w:tc>
          <w:tcPr>
            <w:tcW w:w="2205" w:type="dxa"/>
            <w:tcBorders>
              <w:top w:val="nil"/>
              <w:left w:val="nil"/>
              <w:bottom w:val="single" w:sz="4" w:space="0" w:color="auto"/>
              <w:right w:val="single" w:sz="4" w:space="0" w:color="auto"/>
            </w:tcBorders>
            <w:shd w:val="clear" w:color="auto" w:fill="auto"/>
            <w:noWrap/>
            <w:vAlign w:val="bottom"/>
            <w:hideMark/>
          </w:tcPr>
          <w:p w14:paraId="1EB24BD7"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28,8</w:t>
            </w:r>
          </w:p>
        </w:tc>
      </w:tr>
      <w:tr w:rsidR="000C4F1D" w:rsidRPr="002C36F8" w14:paraId="0FD5FE9A"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A91A26"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2007</w:t>
            </w:r>
          </w:p>
        </w:tc>
        <w:tc>
          <w:tcPr>
            <w:tcW w:w="1984" w:type="dxa"/>
            <w:tcBorders>
              <w:top w:val="nil"/>
              <w:left w:val="nil"/>
              <w:bottom w:val="single" w:sz="4" w:space="0" w:color="auto"/>
              <w:right w:val="single" w:sz="4" w:space="0" w:color="auto"/>
            </w:tcBorders>
            <w:shd w:val="clear" w:color="000000" w:fill="FBFBFB"/>
            <w:noWrap/>
            <w:vAlign w:val="bottom"/>
            <w:hideMark/>
          </w:tcPr>
          <w:p w14:paraId="475D0044"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2678</w:t>
            </w:r>
          </w:p>
        </w:tc>
        <w:tc>
          <w:tcPr>
            <w:tcW w:w="2205" w:type="dxa"/>
            <w:tcBorders>
              <w:top w:val="nil"/>
              <w:left w:val="nil"/>
              <w:bottom w:val="single" w:sz="4" w:space="0" w:color="auto"/>
              <w:right w:val="single" w:sz="4" w:space="0" w:color="auto"/>
            </w:tcBorders>
            <w:shd w:val="clear" w:color="auto" w:fill="auto"/>
            <w:noWrap/>
            <w:vAlign w:val="bottom"/>
            <w:hideMark/>
          </w:tcPr>
          <w:p w14:paraId="55E01016"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28,1</w:t>
            </w:r>
          </w:p>
        </w:tc>
      </w:tr>
      <w:tr w:rsidR="000C4F1D" w:rsidRPr="002C36F8" w14:paraId="488D22C4"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950EEC"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2008</w:t>
            </w:r>
          </w:p>
        </w:tc>
        <w:tc>
          <w:tcPr>
            <w:tcW w:w="1984" w:type="dxa"/>
            <w:tcBorders>
              <w:top w:val="nil"/>
              <w:left w:val="nil"/>
              <w:bottom w:val="single" w:sz="4" w:space="0" w:color="auto"/>
              <w:right w:val="single" w:sz="4" w:space="0" w:color="auto"/>
            </w:tcBorders>
            <w:shd w:val="clear" w:color="000000" w:fill="EEF9FE"/>
            <w:noWrap/>
            <w:vAlign w:val="bottom"/>
            <w:hideMark/>
          </w:tcPr>
          <w:p w14:paraId="346A3752"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2832</w:t>
            </w:r>
          </w:p>
        </w:tc>
        <w:tc>
          <w:tcPr>
            <w:tcW w:w="2205" w:type="dxa"/>
            <w:tcBorders>
              <w:top w:val="nil"/>
              <w:left w:val="nil"/>
              <w:bottom w:val="single" w:sz="4" w:space="0" w:color="auto"/>
              <w:right w:val="single" w:sz="4" w:space="0" w:color="auto"/>
            </w:tcBorders>
            <w:shd w:val="clear" w:color="auto" w:fill="auto"/>
            <w:noWrap/>
            <w:vAlign w:val="bottom"/>
            <w:hideMark/>
          </w:tcPr>
          <w:p w14:paraId="69D9187B"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30,1</w:t>
            </w:r>
          </w:p>
        </w:tc>
      </w:tr>
      <w:tr w:rsidR="000C4F1D" w:rsidRPr="002C36F8" w14:paraId="4F881DBA"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7B8B3F"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2009</w:t>
            </w:r>
          </w:p>
        </w:tc>
        <w:tc>
          <w:tcPr>
            <w:tcW w:w="1984" w:type="dxa"/>
            <w:tcBorders>
              <w:top w:val="nil"/>
              <w:left w:val="nil"/>
              <w:bottom w:val="single" w:sz="4" w:space="0" w:color="auto"/>
              <w:right w:val="single" w:sz="4" w:space="0" w:color="auto"/>
            </w:tcBorders>
            <w:shd w:val="clear" w:color="000000" w:fill="FBFBFB"/>
            <w:noWrap/>
            <w:vAlign w:val="bottom"/>
            <w:hideMark/>
          </w:tcPr>
          <w:p w14:paraId="4399EC1E"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2772</w:t>
            </w:r>
          </w:p>
        </w:tc>
        <w:tc>
          <w:tcPr>
            <w:tcW w:w="2205" w:type="dxa"/>
            <w:tcBorders>
              <w:top w:val="nil"/>
              <w:left w:val="nil"/>
              <w:bottom w:val="single" w:sz="4" w:space="0" w:color="auto"/>
              <w:right w:val="single" w:sz="4" w:space="0" w:color="auto"/>
            </w:tcBorders>
            <w:shd w:val="clear" w:color="auto" w:fill="auto"/>
            <w:noWrap/>
            <w:vAlign w:val="bottom"/>
            <w:hideMark/>
          </w:tcPr>
          <w:p w14:paraId="03041AE3"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32,7</w:t>
            </w:r>
          </w:p>
        </w:tc>
      </w:tr>
      <w:tr w:rsidR="000C4F1D" w:rsidRPr="002C36F8" w14:paraId="2C065EBE"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E9494E"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2010</w:t>
            </w:r>
          </w:p>
        </w:tc>
        <w:tc>
          <w:tcPr>
            <w:tcW w:w="1984" w:type="dxa"/>
            <w:tcBorders>
              <w:top w:val="nil"/>
              <w:left w:val="nil"/>
              <w:bottom w:val="single" w:sz="4" w:space="0" w:color="auto"/>
              <w:right w:val="single" w:sz="4" w:space="0" w:color="auto"/>
            </w:tcBorders>
            <w:shd w:val="clear" w:color="000000" w:fill="EEF9FE"/>
            <w:noWrap/>
            <w:vAlign w:val="bottom"/>
            <w:hideMark/>
          </w:tcPr>
          <w:p w14:paraId="17AE12ED"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2738</w:t>
            </w:r>
          </w:p>
        </w:tc>
        <w:tc>
          <w:tcPr>
            <w:tcW w:w="2205" w:type="dxa"/>
            <w:tcBorders>
              <w:top w:val="nil"/>
              <w:left w:val="nil"/>
              <w:bottom w:val="single" w:sz="4" w:space="0" w:color="auto"/>
              <w:right w:val="single" w:sz="4" w:space="0" w:color="auto"/>
            </w:tcBorders>
            <w:shd w:val="clear" w:color="auto" w:fill="auto"/>
            <w:noWrap/>
            <w:vAlign w:val="bottom"/>
            <w:hideMark/>
          </w:tcPr>
          <w:p w14:paraId="0C18BC8F"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31,4</w:t>
            </w:r>
          </w:p>
        </w:tc>
      </w:tr>
      <w:tr w:rsidR="000C4F1D" w:rsidRPr="002C36F8" w14:paraId="30959B5D"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6D599F"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2011</w:t>
            </w:r>
          </w:p>
        </w:tc>
        <w:tc>
          <w:tcPr>
            <w:tcW w:w="1984" w:type="dxa"/>
            <w:tcBorders>
              <w:top w:val="nil"/>
              <w:left w:val="nil"/>
              <w:bottom w:val="single" w:sz="4" w:space="0" w:color="auto"/>
              <w:right w:val="single" w:sz="4" w:space="0" w:color="auto"/>
            </w:tcBorders>
            <w:shd w:val="clear" w:color="000000" w:fill="FBFBFB"/>
            <w:noWrap/>
            <w:vAlign w:val="bottom"/>
            <w:hideMark/>
          </w:tcPr>
          <w:p w14:paraId="7D13DDE2"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2722</w:t>
            </w:r>
          </w:p>
        </w:tc>
        <w:tc>
          <w:tcPr>
            <w:tcW w:w="2205" w:type="dxa"/>
            <w:tcBorders>
              <w:top w:val="nil"/>
              <w:left w:val="nil"/>
              <w:bottom w:val="single" w:sz="4" w:space="0" w:color="auto"/>
              <w:right w:val="single" w:sz="4" w:space="0" w:color="auto"/>
            </w:tcBorders>
            <w:shd w:val="clear" w:color="auto" w:fill="auto"/>
            <w:noWrap/>
            <w:vAlign w:val="bottom"/>
            <w:hideMark/>
          </w:tcPr>
          <w:p w14:paraId="7E341EFC"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30,1</w:t>
            </w:r>
          </w:p>
        </w:tc>
      </w:tr>
      <w:tr w:rsidR="000C4F1D" w:rsidRPr="002C36F8" w14:paraId="2480AD8C"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761553"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2012</w:t>
            </w:r>
          </w:p>
        </w:tc>
        <w:tc>
          <w:tcPr>
            <w:tcW w:w="1984" w:type="dxa"/>
            <w:tcBorders>
              <w:top w:val="nil"/>
              <w:left w:val="nil"/>
              <w:bottom w:val="single" w:sz="4" w:space="0" w:color="auto"/>
              <w:right w:val="single" w:sz="4" w:space="0" w:color="auto"/>
            </w:tcBorders>
            <w:shd w:val="clear" w:color="000000" w:fill="EEF9FE"/>
            <w:noWrap/>
            <w:vAlign w:val="bottom"/>
            <w:hideMark/>
          </w:tcPr>
          <w:p w14:paraId="2B1D097D"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2871</w:t>
            </w:r>
          </w:p>
        </w:tc>
        <w:tc>
          <w:tcPr>
            <w:tcW w:w="2205" w:type="dxa"/>
            <w:tcBorders>
              <w:top w:val="nil"/>
              <w:left w:val="nil"/>
              <w:bottom w:val="single" w:sz="4" w:space="0" w:color="auto"/>
              <w:right w:val="single" w:sz="4" w:space="0" w:color="auto"/>
            </w:tcBorders>
            <w:shd w:val="clear" w:color="auto" w:fill="auto"/>
            <w:noWrap/>
            <w:vAlign w:val="bottom"/>
            <w:hideMark/>
          </w:tcPr>
          <w:p w14:paraId="1401CF76"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31,7</w:t>
            </w:r>
          </w:p>
        </w:tc>
      </w:tr>
      <w:tr w:rsidR="000C4F1D" w:rsidRPr="002C36F8" w14:paraId="1D545FBB"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78E98DE"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2013</w:t>
            </w:r>
          </w:p>
        </w:tc>
        <w:tc>
          <w:tcPr>
            <w:tcW w:w="1984" w:type="dxa"/>
            <w:tcBorders>
              <w:top w:val="nil"/>
              <w:left w:val="nil"/>
              <w:bottom w:val="single" w:sz="4" w:space="0" w:color="auto"/>
              <w:right w:val="single" w:sz="4" w:space="0" w:color="auto"/>
            </w:tcBorders>
            <w:shd w:val="clear" w:color="000000" w:fill="FBFBFB"/>
            <w:noWrap/>
            <w:vAlign w:val="bottom"/>
            <w:hideMark/>
          </w:tcPr>
          <w:p w14:paraId="348B61A7"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2604</w:t>
            </w:r>
          </w:p>
        </w:tc>
        <w:tc>
          <w:tcPr>
            <w:tcW w:w="2205" w:type="dxa"/>
            <w:tcBorders>
              <w:top w:val="nil"/>
              <w:left w:val="nil"/>
              <w:bottom w:val="single" w:sz="4" w:space="0" w:color="auto"/>
              <w:right w:val="single" w:sz="4" w:space="0" w:color="auto"/>
            </w:tcBorders>
            <w:shd w:val="clear" w:color="auto" w:fill="auto"/>
            <w:noWrap/>
            <w:vAlign w:val="bottom"/>
            <w:hideMark/>
          </w:tcPr>
          <w:p w14:paraId="622E17D0"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30,3</w:t>
            </w:r>
          </w:p>
        </w:tc>
      </w:tr>
      <w:tr w:rsidR="000C4F1D" w:rsidRPr="002C36F8" w14:paraId="31B8E178" w14:textId="77777777" w:rsidTr="000C4F1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E94241" w14:textId="77777777" w:rsidR="000C4F1D" w:rsidRPr="002C36F8" w:rsidRDefault="000C4F1D" w:rsidP="000C4F1D">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2014</w:t>
            </w:r>
          </w:p>
        </w:tc>
        <w:tc>
          <w:tcPr>
            <w:tcW w:w="1984" w:type="dxa"/>
            <w:tcBorders>
              <w:top w:val="nil"/>
              <w:left w:val="nil"/>
              <w:bottom w:val="single" w:sz="4" w:space="0" w:color="auto"/>
              <w:right w:val="single" w:sz="4" w:space="0" w:color="auto"/>
            </w:tcBorders>
            <w:shd w:val="clear" w:color="000000" w:fill="EEF9FE"/>
            <w:noWrap/>
            <w:vAlign w:val="bottom"/>
            <w:hideMark/>
          </w:tcPr>
          <w:p w14:paraId="379F8FBB"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2937</w:t>
            </w:r>
          </w:p>
        </w:tc>
        <w:tc>
          <w:tcPr>
            <w:tcW w:w="2205" w:type="dxa"/>
            <w:tcBorders>
              <w:top w:val="nil"/>
              <w:left w:val="nil"/>
              <w:bottom w:val="single" w:sz="4" w:space="0" w:color="auto"/>
              <w:right w:val="single" w:sz="4" w:space="0" w:color="auto"/>
            </w:tcBorders>
            <w:shd w:val="clear" w:color="auto" w:fill="auto"/>
            <w:noWrap/>
            <w:vAlign w:val="bottom"/>
            <w:hideMark/>
          </w:tcPr>
          <w:p w14:paraId="7F59C3C9" w14:textId="77777777" w:rsidR="000C4F1D" w:rsidRPr="002C36F8" w:rsidRDefault="000C4F1D" w:rsidP="000C4F1D">
            <w:pPr>
              <w:spacing w:after="0" w:line="240" w:lineRule="auto"/>
              <w:jc w:val="right"/>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33,2</w:t>
            </w:r>
          </w:p>
        </w:tc>
      </w:tr>
    </w:tbl>
    <w:p w14:paraId="1CAE7E5B" w14:textId="77777777" w:rsidR="000C4F1D" w:rsidRPr="002C36F8" w:rsidRDefault="000C4F1D" w:rsidP="000C4F1D">
      <w:pPr>
        <w:spacing w:after="0" w:line="240" w:lineRule="auto"/>
        <w:ind w:right="72"/>
        <w:jc w:val="both"/>
        <w:rPr>
          <w:rFonts w:ascii="Times New Roman" w:eastAsia="Times New Roman" w:hAnsi="Times New Roman" w:cs="Times New Roman"/>
          <w:i/>
          <w:sz w:val="20"/>
          <w:szCs w:val="20"/>
          <w:lang w:eastAsia="bg-BG"/>
        </w:rPr>
      </w:pPr>
      <w:r w:rsidRPr="002C36F8">
        <w:rPr>
          <w:rFonts w:ascii="Times New Roman" w:eastAsia="Times New Roman" w:hAnsi="Times New Roman" w:cs="Times New Roman"/>
          <w:i/>
          <w:sz w:val="20"/>
          <w:szCs w:val="20"/>
          <w:lang w:eastAsia="bg-BG"/>
        </w:rPr>
        <w:t>Източник: НСИ</w:t>
      </w:r>
    </w:p>
    <w:p w14:paraId="6D3220A7" w14:textId="77777777" w:rsidR="000C4F1D" w:rsidRPr="002C36F8" w:rsidRDefault="000C4F1D" w:rsidP="000C4F1D">
      <w:pPr>
        <w:spacing w:after="0" w:line="240" w:lineRule="auto"/>
        <w:ind w:right="72"/>
        <w:jc w:val="both"/>
        <w:rPr>
          <w:rFonts w:ascii="Times New Roman" w:eastAsia="Times New Roman" w:hAnsi="Times New Roman" w:cs="Times New Roman"/>
          <w:i/>
          <w:sz w:val="18"/>
          <w:szCs w:val="18"/>
          <w:lang w:eastAsia="bg-BG"/>
        </w:rPr>
      </w:pPr>
    </w:p>
    <w:p w14:paraId="371B9E54" w14:textId="77777777" w:rsidR="00E84B1F" w:rsidRPr="002C36F8" w:rsidRDefault="001B1979" w:rsidP="00E84B1F">
      <w:pPr>
        <w:spacing w:after="0" w:line="240" w:lineRule="auto"/>
        <w:ind w:right="7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Видно е от данните в таблицата по-горе</w:t>
      </w:r>
      <w:r w:rsidR="000C4F1D" w:rsidRPr="002C36F8">
        <w:rPr>
          <w:rFonts w:ascii="Times New Roman" w:eastAsia="Times New Roman" w:hAnsi="Times New Roman" w:cs="Times New Roman"/>
          <w:sz w:val="24"/>
          <w:szCs w:val="24"/>
          <w:lang w:eastAsia="bg-BG"/>
        </w:rPr>
        <w:t xml:space="preserve">, е и нарастването на дела на транспорта в общото енергийно потребление на страната, като от 21,8 % през </w:t>
      </w:r>
      <w:smartTag w:uri="urn:schemas-microsoft-com:office:smarttags" w:element="metricconverter">
        <w:smartTagPr>
          <w:attr w:name="ProductID" w:val="2000 г"/>
        </w:smartTagPr>
        <w:r w:rsidR="000C4F1D" w:rsidRPr="002C36F8">
          <w:rPr>
            <w:rFonts w:ascii="Times New Roman" w:eastAsia="Times New Roman" w:hAnsi="Times New Roman" w:cs="Times New Roman"/>
            <w:sz w:val="24"/>
            <w:szCs w:val="24"/>
            <w:lang w:eastAsia="bg-BG"/>
          </w:rPr>
          <w:t>2000 г</w:t>
        </w:r>
      </w:smartTag>
      <w:r w:rsidR="000C4F1D" w:rsidRPr="002C36F8">
        <w:rPr>
          <w:rFonts w:ascii="Times New Roman" w:eastAsia="Times New Roman" w:hAnsi="Times New Roman" w:cs="Times New Roman"/>
          <w:sz w:val="24"/>
          <w:szCs w:val="24"/>
          <w:lang w:eastAsia="bg-BG"/>
        </w:rPr>
        <w:t xml:space="preserve">., през 2014 г. вече е достигнал до 33,2 %. </w:t>
      </w:r>
    </w:p>
    <w:p w14:paraId="3995D981" w14:textId="77777777" w:rsidR="00E84B1F" w:rsidRPr="002C36F8" w:rsidRDefault="00E84B1F" w:rsidP="00E84B1F">
      <w:pPr>
        <w:spacing w:after="0" w:line="240" w:lineRule="auto"/>
        <w:ind w:right="72" w:firstLine="567"/>
        <w:jc w:val="both"/>
        <w:rPr>
          <w:rFonts w:ascii="Times New Roman" w:eastAsia="Times New Roman" w:hAnsi="Times New Roman" w:cs="Times New Roman"/>
          <w:sz w:val="24"/>
          <w:szCs w:val="24"/>
          <w:lang w:eastAsia="bg-BG"/>
        </w:rPr>
      </w:pPr>
    </w:p>
    <w:p w14:paraId="44C5ED4C" w14:textId="77777777" w:rsidR="00E84B1F" w:rsidRPr="002C36F8" w:rsidRDefault="00E84B1F" w:rsidP="00E84B1F">
      <w:pPr>
        <w:spacing w:after="0" w:line="240" w:lineRule="auto"/>
        <w:ind w:right="72" w:firstLine="567"/>
        <w:jc w:val="both"/>
        <w:rPr>
          <w:rFonts w:ascii="Times New Roman" w:eastAsia="Times New Roman" w:hAnsi="Times New Roman" w:cs="Times New Roman"/>
          <w:sz w:val="24"/>
          <w:szCs w:val="24"/>
          <w:lang w:eastAsia="bg-BG"/>
        </w:rPr>
      </w:pPr>
    </w:p>
    <w:p w14:paraId="782D68BA" w14:textId="77777777" w:rsidR="00E84B1F" w:rsidRPr="002C36F8" w:rsidRDefault="00E84B1F" w:rsidP="001B1979">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В крайното енергийно потребление на транспорта, основен е приносът на автомобилния транспорт, който през 2014 г. потребява 92,9% от общо употребеното количество горива в сектора. </w:t>
      </w:r>
    </w:p>
    <w:p w14:paraId="0117ABE6" w14:textId="77777777" w:rsidR="00A71ECE" w:rsidRPr="002C36F8" w:rsidRDefault="00A71ECE" w:rsidP="000C4F1D">
      <w:pPr>
        <w:spacing w:after="0" w:line="240" w:lineRule="auto"/>
        <w:jc w:val="center"/>
        <w:rPr>
          <w:rFonts w:ascii="Times New Roman" w:eastAsia="Times New Roman" w:hAnsi="Times New Roman" w:cs="Times New Roman"/>
          <w:b/>
          <w:bCs/>
          <w:sz w:val="24"/>
          <w:szCs w:val="24"/>
          <w:lang w:eastAsia="bg-BG"/>
        </w:rPr>
      </w:pPr>
    </w:p>
    <w:p w14:paraId="042A41A4" w14:textId="77777777" w:rsidR="000C4F1D" w:rsidRPr="002C36F8" w:rsidRDefault="00B67BC1" w:rsidP="000C4F1D">
      <w:pPr>
        <w:spacing w:after="0" w:line="240" w:lineRule="auto"/>
        <w:jc w:val="center"/>
        <w:rPr>
          <w:rFonts w:ascii="Times New Roman" w:eastAsia="Times New Roman" w:hAnsi="Times New Roman" w:cs="Times New Roman"/>
          <w:bCs/>
          <w:sz w:val="20"/>
          <w:szCs w:val="20"/>
          <w:lang w:eastAsia="bg-BG"/>
        </w:rPr>
      </w:pPr>
      <w:r>
        <w:rPr>
          <w:rFonts w:ascii="Times New Roman" w:eastAsia="Times New Roman" w:hAnsi="Times New Roman" w:cs="Times New Roman"/>
          <w:bCs/>
          <w:sz w:val="20"/>
          <w:szCs w:val="20"/>
          <w:lang w:eastAsia="bg-BG"/>
        </w:rPr>
        <w:t>Фиг.1</w:t>
      </w:r>
      <w:r w:rsidR="000C4F1D" w:rsidRPr="002C36F8">
        <w:rPr>
          <w:rFonts w:ascii="Times New Roman" w:eastAsia="Times New Roman" w:hAnsi="Times New Roman" w:cs="Times New Roman"/>
          <w:bCs/>
          <w:sz w:val="20"/>
          <w:szCs w:val="20"/>
          <w:lang w:eastAsia="bg-BG"/>
        </w:rPr>
        <w:t>. Крайно енергийно потребление общо* и по видове транспорт** в периода 2000 – 2014 г. (1000 toe)</w:t>
      </w:r>
    </w:p>
    <w:p w14:paraId="6424F510" w14:textId="77777777" w:rsidR="00E84B1F" w:rsidRPr="002C36F8" w:rsidRDefault="00E84B1F" w:rsidP="000C4F1D">
      <w:pPr>
        <w:spacing w:after="0" w:line="240" w:lineRule="auto"/>
        <w:jc w:val="center"/>
        <w:rPr>
          <w:rFonts w:ascii="Times New Roman" w:eastAsia="Times New Roman" w:hAnsi="Times New Roman" w:cs="Times New Roman"/>
          <w:sz w:val="20"/>
          <w:szCs w:val="20"/>
          <w:lang w:eastAsia="bg-BG"/>
        </w:rPr>
      </w:pPr>
    </w:p>
    <w:p w14:paraId="78DA4CE5" w14:textId="343DC215" w:rsidR="000C4F1D" w:rsidRPr="002C36F8" w:rsidRDefault="000C4F1D" w:rsidP="000C4F1D">
      <w:pPr>
        <w:spacing w:after="0" w:line="240" w:lineRule="auto"/>
        <w:jc w:val="center"/>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noProof/>
          <w:sz w:val="24"/>
          <w:szCs w:val="24"/>
          <w:lang w:eastAsia="bg-BG"/>
        </w:rPr>
        <w:lastRenderedPageBreak/>
        <w:drawing>
          <wp:inline distT="0" distB="0" distL="0" distR="0" wp14:anchorId="5BA190EF" wp14:editId="60421051">
            <wp:extent cx="4210050" cy="2076450"/>
            <wp:effectExtent l="0" t="0" r="0" b="0"/>
            <wp:docPr id="4" name="Picture 4" descr="http://eea.government.bg/bg/soer/2014/transpo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a.government.bg/bg/soer/2014/transport/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076450"/>
                    </a:xfrm>
                    <a:prstGeom prst="rect">
                      <a:avLst/>
                    </a:prstGeom>
                    <a:noFill/>
                    <a:ln>
                      <a:noFill/>
                    </a:ln>
                  </pic:spPr>
                </pic:pic>
              </a:graphicData>
            </a:graphic>
          </wp:inline>
        </w:drawing>
      </w:r>
    </w:p>
    <w:p w14:paraId="69C4E539" w14:textId="77777777" w:rsidR="000C4F1D" w:rsidRPr="002C36F8" w:rsidRDefault="000C4F1D" w:rsidP="000C4F1D">
      <w:pPr>
        <w:spacing w:after="0" w:line="240" w:lineRule="auto"/>
        <w:rPr>
          <w:rFonts w:ascii="Times New Roman" w:eastAsia="Times New Roman" w:hAnsi="Times New Roman" w:cs="Times New Roman"/>
          <w:sz w:val="20"/>
          <w:szCs w:val="20"/>
          <w:lang w:eastAsia="bg-BG"/>
        </w:rPr>
      </w:pPr>
      <w:r w:rsidRPr="002C36F8">
        <w:rPr>
          <w:rFonts w:ascii="Times New Roman" w:eastAsia="Times New Roman" w:hAnsi="Times New Roman" w:cs="Times New Roman"/>
          <w:i/>
          <w:iCs/>
          <w:sz w:val="20"/>
          <w:szCs w:val="20"/>
          <w:lang w:eastAsia="bg-BG"/>
        </w:rPr>
        <w:t>Източник: НСИ</w:t>
      </w:r>
    </w:p>
    <w:p w14:paraId="419ABB9C" w14:textId="77777777" w:rsidR="000C4F1D" w:rsidRPr="002C36F8" w:rsidRDefault="000C4F1D" w:rsidP="000C4F1D">
      <w:pPr>
        <w:spacing w:after="0" w:line="240" w:lineRule="auto"/>
        <w:rPr>
          <w:rFonts w:ascii="Times New Roman" w:eastAsia="Times New Roman" w:hAnsi="Times New Roman" w:cs="Times New Roman"/>
          <w:sz w:val="20"/>
          <w:szCs w:val="20"/>
          <w:lang w:eastAsia="bg-BG"/>
        </w:rPr>
      </w:pPr>
      <w:r w:rsidRPr="002C36F8">
        <w:rPr>
          <w:rFonts w:ascii="Times New Roman" w:eastAsia="Times New Roman" w:hAnsi="Times New Roman" w:cs="Times New Roman"/>
          <w:i/>
          <w:iCs/>
          <w:sz w:val="20"/>
          <w:szCs w:val="20"/>
          <w:lang w:eastAsia="bg-BG"/>
        </w:rPr>
        <w:t>* общото крайно потребление в транспорта включва освен нефтените горива и електроенергията за БДЖ/градски транспорт и природния газ за автомобилите</w:t>
      </w:r>
    </w:p>
    <w:p w14:paraId="681C2BD5" w14:textId="77777777" w:rsidR="000C4F1D" w:rsidRPr="002C36F8" w:rsidRDefault="000C4F1D" w:rsidP="000C4F1D">
      <w:pPr>
        <w:spacing w:after="0" w:line="240" w:lineRule="auto"/>
        <w:rPr>
          <w:rFonts w:ascii="Times New Roman" w:eastAsia="Times New Roman" w:hAnsi="Times New Roman" w:cs="Times New Roman"/>
          <w:sz w:val="20"/>
          <w:szCs w:val="20"/>
          <w:lang w:eastAsia="bg-BG"/>
        </w:rPr>
      </w:pPr>
      <w:r w:rsidRPr="002C36F8">
        <w:rPr>
          <w:rFonts w:ascii="Times New Roman" w:eastAsia="Times New Roman" w:hAnsi="Times New Roman" w:cs="Times New Roman"/>
          <w:i/>
          <w:iCs/>
          <w:sz w:val="20"/>
          <w:szCs w:val="20"/>
          <w:lang w:eastAsia="bg-BG"/>
        </w:rPr>
        <w:t>** с изключение на морския и тръбопроводния транспорт</w:t>
      </w:r>
    </w:p>
    <w:p w14:paraId="1BCA7441" w14:textId="77777777" w:rsidR="00A71ECE" w:rsidRPr="002C36F8" w:rsidRDefault="00A71ECE" w:rsidP="00A71ECE">
      <w:pPr>
        <w:spacing w:after="0" w:line="240" w:lineRule="auto"/>
        <w:ind w:right="72" w:firstLine="567"/>
        <w:jc w:val="both"/>
        <w:rPr>
          <w:rFonts w:ascii="Times New Roman" w:eastAsia="Times New Roman" w:hAnsi="Times New Roman" w:cs="Times New Roman"/>
          <w:sz w:val="24"/>
          <w:szCs w:val="24"/>
          <w:lang w:eastAsia="bg-BG"/>
        </w:rPr>
      </w:pPr>
    </w:p>
    <w:p w14:paraId="40DAAE57" w14:textId="77777777" w:rsidR="00E84B1F" w:rsidRPr="002C36F8" w:rsidRDefault="00E84B1F" w:rsidP="00E84B1F">
      <w:pPr>
        <w:spacing w:after="0" w:line="240" w:lineRule="auto"/>
        <w:ind w:right="72"/>
        <w:jc w:val="both"/>
        <w:rPr>
          <w:rFonts w:ascii="Times New Roman" w:eastAsia="Times New Roman" w:hAnsi="Times New Roman" w:cs="Times New Roman"/>
          <w:sz w:val="24"/>
          <w:szCs w:val="24"/>
          <w:lang w:eastAsia="bg-BG"/>
        </w:rPr>
      </w:pPr>
    </w:p>
    <w:p w14:paraId="205F1972" w14:textId="77777777" w:rsidR="000C4F1D" w:rsidRPr="002C36F8" w:rsidRDefault="001B1979" w:rsidP="000C4F1D">
      <w:pPr>
        <w:spacing w:after="0" w:line="240" w:lineRule="auto"/>
        <w:ind w:right="72"/>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5.1.1</w:t>
      </w:r>
      <w:r w:rsidR="00E84B1F" w:rsidRPr="002C36F8">
        <w:rPr>
          <w:rFonts w:ascii="Times New Roman" w:eastAsia="Times New Roman" w:hAnsi="Times New Roman" w:cs="Times New Roman"/>
          <w:b/>
          <w:i/>
          <w:sz w:val="24"/>
          <w:szCs w:val="24"/>
          <w:lang w:eastAsia="bg-BG"/>
        </w:rPr>
        <w:t xml:space="preserve"> Потребление на безоловен бензин/дизелово гориво</w:t>
      </w:r>
    </w:p>
    <w:p w14:paraId="7B5FFC15" w14:textId="77777777" w:rsidR="000C4F1D" w:rsidRPr="002C36F8" w:rsidRDefault="000C4F1D" w:rsidP="000C4F1D">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В периода 2000 – 2014 г. се наблюдава тенденция на нарастване на потреблението на безоловен бензин, дизелово гориво и сравнително постоянно потребление на енергия от пропан-бутанови смеси в автомобилния транспорт. </w:t>
      </w:r>
    </w:p>
    <w:p w14:paraId="2C56B162"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p>
    <w:p w14:paraId="14DFCAE8" w14:textId="77777777" w:rsidR="00E66958" w:rsidRDefault="00E66958" w:rsidP="000C4F1D">
      <w:pPr>
        <w:spacing w:after="0" w:line="240" w:lineRule="auto"/>
        <w:ind w:right="72"/>
        <w:jc w:val="both"/>
        <w:rPr>
          <w:rFonts w:ascii="Times New Roman" w:eastAsia="Times New Roman" w:hAnsi="Times New Roman" w:cs="Times New Roman"/>
          <w:bCs/>
          <w:sz w:val="20"/>
          <w:szCs w:val="20"/>
          <w:lang w:eastAsia="bg-BG"/>
        </w:rPr>
      </w:pPr>
    </w:p>
    <w:p w14:paraId="6877D2A3" w14:textId="77777777" w:rsidR="00E66958" w:rsidRDefault="00E66958" w:rsidP="000C4F1D">
      <w:pPr>
        <w:spacing w:after="0" w:line="240" w:lineRule="auto"/>
        <w:ind w:right="72"/>
        <w:jc w:val="both"/>
        <w:rPr>
          <w:rFonts w:ascii="Times New Roman" w:eastAsia="Times New Roman" w:hAnsi="Times New Roman" w:cs="Times New Roman"/>
          <w:bCs/>
          <w:sz w:val="20"/>
          <w:szCs w:val="20"/>
          <w:lang w:eastAsia="bg-BG"/>
        </w:rPr>
      </w:pPr>
    </w:p>
    <w:p w14:paraId="57D8A56F" w14:textId="77777777" w:rsidR="000C4F1D" w:rsidRPr="002C36F8" w:rsidRDefault="00B67BC1" w:rsidP="000C4F1D">
      <w:pPr>
        <w:spacing w:after="0" w:line="240" w:lineRule="auto"/>
        <w:ind w:right="72"/>
        <w:jc w:val="both"/>
        <w:rPr>
          <w:rFonts w:ascii="Times New Roman" w:eastAsia="Times New Roman" w:hAnsi="Times New Roman" w:cs="Times New Roman"/>
          <w:bCs/>
          <w:sz w:val="20"/>
          <w:szCs w:val="20"/>
          <w:lang w:eastAsia="bg-BG"/>
        </w:rPr>
      </w:pPr>
      <w:r>
        <w:rPr>
          <w:rFonts w:ascii="Times New Roman" w:eastAsia="Times New Roman" w:hAnsi="Times New Roman" w:cs="Times New Roman"/>
          <w:bCs/>
          <w:sz w:val="20"/>
          <w:szCs w:val="20"/>
          <w:lang w:eastAsia="bg-BG"/>
        </w:rPr>
        <w:t>Фиг. 2</w:t>
      </w:r>
      <w:r w:rsidR="000C4F1D" w:rsidRPr="002C36F8">
        <w:rPr>
          <w:rFonts w:ascii="Times New Roman" w:eastAsia="Times New Roman" w:hAnsi="Times New Roman" w:cs="Times New Roman"/>
          <w:bCs/>
          <w:sz w:val="20"/>
          <w:szCs w:val="20"/>
          <w:lang w:eastAsia="bg-BG"/>
        </w:rPr>
        <w:t>. Потребление на горива от автомобилния транспорт, в периода</w:t>
      </w:r>
      <w:r w:rsidR="00E84B1F" w:rsidRPr="002C36F8">
        <w:rPr>
          <w:rFonts w:ascii="Times New Roman" w:eastAsia="Times New Roman" w:hAnsi="Times New Roman" w:cs="Times New Roman"/>
          <w:sz w:val="20"/>
          <w:szCs w:val="20"/>
          <w:lang w:eastAsia="bg-BG"/>
        </w:rPr>
        <w:t xml:space="preserve"> </w:t>
      </w:r>
      <w:r w:rsidR="000C4F1D" w:rsidRPr="002C36F8">
        <w:rPr>
          <w:rFonts w:ascii="Times New Roman" w:eastAsia="Times New Roman" w:hAnsi="Times New Roman" w:cs="Times New Roman"/>
          <w:bCs/>
          <w:sz w:val="20"/>
          <w:szCs w:val="20"/>
          <w:lang w:eastAsia="bg-BG"/>
        </w:rPr>
        <w:t>2000 – 2014 г., 1000 toe</w:t>
      </w:r>
    </w:p>
    <w:p w14:paraId="2D4F7495" w14:textId="77777777" w:rsidR="00E84B1F" w:rsidRPr="002C36F8" w:rsidRDefault="00E84B1F" w:rsidP="000C4F1D">
      <w:pPr>
        <w:spacing w:after="0" w:line="240" w:lineRule="auto"/>
        <w:ind w:right="72"/>
        <w:jc w:val="both"/>
        <w:rPr>
          <w:rFonts w:ascii="Times New Roman" w:eastAsia="Times New Roman" w:hAnsi="Times New Roman" w:cs="Times New Roman"/>
          <w:sz w:val="20"/>
          <w:szCs w:val="20"/>
          <w:lang w:eastAsia="bg-BG"/>
        </w:rPr>
      </w:pPr>
    </w:p>
    <w:p w14:paraId="5C384920" w14:textId="4ED4E058"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noProof/>
          <w:sz w:val="24"/>
          <w:szCs w:val="24"/>
          <w:lang w:eastAsia="bg-BG"/>
        </w:rPr>
        <w:drawing>
          <wp:inline distT="0" distB="0" distL="0" distR="0" wp14:anchorId="6178D80E" wp14:editId="740568C0">
            <wp:extent cx="4448175" cy="2209800"/>
            <wp:effectExtent l="0" t="0" r="9525" b="0"/>
            <wp:docPr id="5" name="Picture 5" descr="http://eea.government.bg/bg/soer/2014/transpo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ea.government.bg/bg/soer/2014/transport/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209800"/>
                    </a:xfrm>
                    <a:prstGeom prst="rect">
                      <a:avLst/>
                    </a:prstGeom>
                    <a:noFill/>
                    <a:ln>
                      <a:noFill/>
                    </a:ln>
                  </pic:spPr>
                </pic:pic>
              </a:graphicData>
            </a:graphic>
          </wp:inline>
        </w:drawing>
      </w:r>
    </w:p>
    <w:p w14:paraId="765A3806" w14:textId="77777777" w:rsidR="000C4F1D" w:rsidRPr="002C36F8" w:rsidRDefault="000C4F1D" w:rsidP="000C4F1D">
      <w:pPr>
        <w:spacing w:after="0" w:line="240" w:lineRule="auto"/>
        <w:ind w:right="72"/>
        <w:jc w:val="both"/>
        <w:rPr>
          <w:rFonts w:ascii="Times New Roman" w:eastAsia="Times New Roman" w:hAnsi="Times New Roman" w:cs="Times New Roman"/>
          <w:sz w:val="20"/>
          <w:szCs w:val="20"/>
          <w:lang w:eastAsia="bg-BG"/>
        </w:rPr>
      </w:pPr>
      <w:r w:rsidRPr="002C36F8">
        <w:rPr>
          <w:rFonts w:ascii="Times New Roman" w:eastAsia="Times New Roman" w:hAnsi="Times New Roman" w:cs="Times New Roman"/>
          <w:i/>
          <w:iCs/>
          <w:sz w:val="20"/>
          <w:szCs w:val="20"/>
          <w:lang w:eastAsia="bg-BG"/>
        </w:rPr>
        <w:t>Източник : НСИ</w:t>
      </w:r>
    </w:p>
    <w:p w14:paraId="7E24317E"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p>
    <w:p w14:paraId="4D8B9D98" w14:textId="77777777" w:rsidR="000C4F1D" w:rsidRPr="002C36F8" w:rsidRDefault="000C4F1D" w:rsidP="008E69E6">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По данни на НСИ употребата на дизелови горива в автомобилния транспорт нараства от  721 хиляди тона нефтен еквивалент през 2000 г. до  1572 хиляди тона нефтен еквивалент през 2014 г. – над 2 пъти. </w:t>
      </w:r>
    </w:p>
    <w:p w14:paraId="00299C93" w14:textId="77777777" w:rsidR="000C4F1D" w:rsidRPr="002C36F8" w:rsidRDefault="000C4F1D" w:rsidP="008E69E6">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Употребата на бензини за периода запазва нива около 593 хиляди тона нефтен еквивалент средногодишно (употребата на оловен бензин е преустановена от 2004 г.), а употребата на горива за реактивни двигатели е почти удвоена (спрямо 2000 г.), като през 2014 г. достига 178 хиляди тона нефтен еквивалент. </w:t>
      </w:r>
    </w:p>
    <w:p w14:paraId="57686A66" w14:textId="77777777" w:rsidR="00A71ECE" w:rsidRPr="002C36F8" w:rsidRDefault="00A71ECE" w:rsidP="008E69E6">
      <w:pPr>
        <w:spacing w:after="0" w:line="240" w:lineRule="auto"/>
        <w:ind w:right="72" w:firstLine="567"/>
        <w:jc w:val="both"/>
        <w:rPr>
          <w:rFonts w:ascii="Times New Roman" w:eastAsia="Times New Roman" w:hAnsi="Times New Roman" w:cs="Times New Roman"/>
          <w:sz w:val="24"/>
          <w:szCs w:val="24"/>
          <w:lang w:eastAsia="bg-BG"/>
        </w:rPr>
      </w:pPr>
    </w:p>
    <w:p w14:paraId="5BC6B155" w14:textId="77777777" w:rsidR="00A71ECE" w:rsidRPr="002C36F8" w:rsidRDefault="00A71ECE" w:rsidP="008E69E6">
      <w:pPr>
        <w:spacing w:after="0" w:line="240" w:lineRule="auto"/>
        <w:ind w:right="72" w:firstLine="567"/>
        <w:jc w:val="both"/>
        <w:rPr>
          <w:rFonts w:ascii="Times New Roman" w:eastAsia="Times New Roman" w:hAnsi="Times New Roman" w:cs="Times New Roman"/>
          <w:sz w:val="24"/>
          <w:szCs w:val="24"/>
          <w:lang w:eastAsia="bg-BG"/>
        </w:rPr>
      </w:pPr>
    </w:p>
    <w:p w14:paraId="708DEFC7" w14:textId="77777777" w:rsidR="00A71ECE" w:rsidRPr="002C36F8" w:rsidRDefault="001B1979" w:rsidP="00DD4C17">
      <w:pPr>
        <w:spacing w:after="0" w:line="240" w:lineRule="auto"/>
        <w:ind w:right="72"/>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5.1.2</w:t>
      </w:r>
      <w:r w:rsidR="00E84B1F" w:rsidRPr="002C36F8">
        <w:rPr>
          <w:rFonts w:ascii="Times New Roman" w:eastAsia="Times New Roman" w:hAnsi="Times New Roman" w:cs="Times New Roman"/>
          <w:b/>
          <w:i/>
          <w:sz w:val="24"/>
          <w:szCs w:val="24"/>
          <w:lang w:eastAsia="bg-BG"/>
        </w:rPr>
        <w:t xml:space="preserve"> Потребление на пропан-б</w:t>
      </w:r>
      <w:r w:rsidR="00A71ECE" w:rsidRPr="002C36F8">
        <w:rPr>
          <w:rFonts w:ascii="Times New Roman" w:eastAsia="Times New Roman" w:hAnsi="Times New Roman" w:cs="Times New Roman"/>
          <w:b/>
          <w:i/>
          <w:sz w:val="24"/>
          <w:szCs w:val="24"/>
          <w:lang w:eastAsia="bg-BG"/>
        </w:rPr>
        <w:t xml:space="preserve">утан/природен газ </w:t>
      </w:r>
    </w:p>
    <w:p w14:paraId="1034A6B3" w14:textId="77777777" w:rsidR="000C4F1D" w:rsidRPr="002C36F8" w:rsidRDefault="000C4F1D" w:rsidP="00DD4C17">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lastRenderedPageBreak/>
        <w:t>През 2014 г. количеството на потребените за транспорт пропан-бутанови смеси е 433 хиляди тона нефтен еквивалент и в сравнение с 2000 г. н</w:t>
      </w:r>
      <w:r w:rsidR="008E69E6" w:rsidRPr="002C36F8">
        <w:rPr>
          <w:rFonts w:ascii="Times New Roman" w:eastAsia="Times New Roman" w:hAnsi="Times New Roman" w:cs="Times New Roman"/>
          <w:sz w:val="24"/>
          <w:szCs w:val="24"/>
          <w:lang w:eastAsia="bg-BG"/>
        </w:rPr>
        <w:t>араства приблизително 1,8 пъти.</w:t>
      </w:r>
      <w:r w:rsidR="00DD4C17" w:rsidRPr="002C36F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През 2014 г. потреблението на природен газ в транспорта възлиза на 100 хиляди тона нефтен еквивалент. Тоест в сравнение с 2005 г. то е нараснало 5,3 пъти и е достигнало 3,4% -ен дял в крайното енергийно потребление на</w:t>
      </w:r>
      <w:r w:rsidR="00B67BC1">
        <w:rPr>
          <w:rFonts w:ascii="Times New Roman" w:eastAsia="Times New Roman" w:hAnsi="Times New Roman" w:cs="Times New Roman"/>
          <w:sz w:val="24"/>
          <w:szCs w:val="24"/>
          <w:lang w:eastAsia="bg-BG"/>
        </w:rPr>
        <w:t xml:space="preserve"> транспорта, видно от таблица 3</w:t>
      </w:r>
    </w:p>
    <w:p w14:paraId="4EEBC8D0"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p>
    <w:p w14:paraId="4683BEB6" w14:textId="77777777" w:rsidR="00E84B1F" w:rsidRDefault="00B67BC1" w:rsidP="000C4F1D">
      <w:pPr>
        <w:spacing w:after="0" w:line="240" w:lineRule="auto"/>
        <w:ind w:right="72"/>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3 Крайно</w:t>
      </w:r>
      <w:r w:rsidR="000C4F1D" w:rsidRPr="002C36F8">
        <w:rPr>
          <w:rFonts w:ascii="Times New Roman" w:eastAsia="Times New Roman" w:hAnsi="Times New Roman" w:cs="Times New Roman"/>
          <w:sz w:val="20"/>
          <w:szCs w:val="20"/>
          <w:lang w:eastAsia="bg-BG"/>
        </w:rPr>
        <w:t xml:space="preserve"> енергийно потребление на транспорта по видове енергийни продукти за периода 2005 – 2014 г.</w:t>
      </w:r>
    </w:p>
    <w:p w14:paraId="4E9F4A7D" w14:textId="3ACC7221" w:rsidR="00C912EA" w:rsidRPr="00C912EA" w:rsidRDefault="000C4F1D" w:rsidP="000C4F1D">
      <w:pPr>
        <w:spacing w:after="0" w:line="240" w:lineRule="auto"/>
        <w:ind w:right="72"/>
        <w:jc w:val="both"/>
        <w:rPr>
          <w:rFonts w:ascii="Times New Roman" w:eastAsia="Times New Roman" w:hAnsi="Times New Roman" w:cs="Times New Roman"/>
          <w:sz w:val="20"/>
          <w:szCs w:val="20"/>
          <w:lang w:eastAsia="bg-BG"/>
        </w:rPr>
      </w:pPr>
      <w:r w:rsidRPr="002C36F8">
        <w:rPr>
          <w:rFonts w:ascii="Times New Roman" w:eastAsia="Times New Roman" w:hAnsi="Times New Roman" w:cs="Times New Roman"/>
          <w:sz w:val="24"/>
          <w:szCs w:val="24"/>
          <w:lang w:eastAsia="bg-BG"/>
        </w:rPr>
        <w:fldChar w:fldCharType="begin"/>
      </w:r>
      <w:r w:rsidRPr="002C36F8">
        <w:rPr>
          <w:rFonts w:ascii="Times New Roman" w:eastAsia="Times New Roman" w:hAnsi="Times New Roman" w:cs="Times New Roman"/>
          <w:sz w:val="24"/>
          <w:szCs w:val="24"/>
          <w:lang w:eastAsia="bg-BG"/>
        </w:rPr>
        <w:instrText xml:space="preserve"> LINK </w:instrText>
      </w:r>
      <w:r w:rsidR="00C912EA">
        <w:rPr>
          <w:rFonts w:ascii="Times New Roman" w:eastAsia="Times New Roman" w:hAnsi="Times New Roman" w:cs="Times New Roman"/>
          <w:sz w:val="24"/>
          <w:szCs w:val="24"/>
          <w:lang w:eastAsia="bg-BG"/>
        </w:rPr>
        <w:instrText xml:space="preserve">Excel.Sheet.12 C:\\Users\\BKoleva\\Desktop\\NSI_fuels\\Book1_411.xlsx Sheet1!R4C1:R9C12 </w:instrText>
      </w:r>
      <w:r w:rsidRPr="002C36F8">
        <w:rPr>
          <w:rFonts w:ascii="Times New Roman" w:eastAsia="Times New Roman" w:hAnsi="Times New Roman" w:cs="Times New Roman"/>
          <w:sz w:val="24"/>
          <w:szCs w:val="24"/>
          <w:lang w:eastAsia="bg-BG"/>
        </w:rPr>
        <w:instrText xml:space="preserve">\a \f 5 \h  \* MERGEFORMAT </w:instrText>
      </w:r>
      <w:r w:rsidRPr="002C36F8">
        <w:rPr>
          <w:rFonts w:ascii="Times New Roman" w:eastAsia="Times New Roman" w:hAnsi="Times New Roman" w:cs="Times New Roman"/>
          <w:sz w:val="24"/>
          <w:szCs w:val="24"/>
          <w:lang w:eastAsia="bg-BG"/>
        </w:rPr>
        <w:fldChar w:fldCharType="separate"/>
      </w:r>
    </w:p>
    <w:tbl>
      <w:tblPr>
        <w:tblStyle w:val="TableGrid1"/>
        <w:tblW w:w="8784" w:type="dxa"/>
        <w:tblLook w:val="04A0" w:firstRow="1" w:lastRow="0" w:firstColumn="1" w:lastColumn="0" w:noHBand="0" w:noVBand="1"/>
      </w:tblPr>
      <w:tblGrid>
        <w:gridCol w:w="1555"/>
        <w:gridCol w:w="662"/>
        <w:gridCol w:w="662"/>
        <w:gridCol w:w="662"/>
        <w:gridCol w:w="644"/>
        <w:gridCol w:w="679"/>
        <w:gridCol w:w="662"/>
        <w:gridCol w:w="644"/>
        <w:gridCol w:w="679"/>
        <w:gridCol w:w="662"/>
        <w:gridCol w:w="662"/>
        <w:gridCol w:w="889"/>
      </w:tblGrid>
      <w:tr w:rsidR="00C912EA" w:rsidRPr="00C912EA" w14:paraId="30A92FFD" w14:textId="77777777" w:rsidTr="00C912EA">
        <w:trPr>
          <w:gridAfter w:val="1"/>
          <w:divId w:val="1453288553"/>
          <w:wAfter w:w="960" w:type="dxa"/>
          <w:trHeight w:val="300"/>
        </w:trPr>
        <w:tc>
          <w:tcPr>
            <w:tcW w:w="1696" w:type="dxa"/>
            <w:noWrap/>
            <w:hideMark/>
          </w:tcPr>
          <w:p w14:paraId="4FF97573" w14:textId="77777777" w:rsidR="00C912EA" w:rsidRPr="00C912EA" w:rsidRDefault="00C912EA" w:rsidP="00C912EA">
            <w:pPr>
              <w:ind w:right="72"/>
              <w:jc w:val="both"/>
              <w:rPr>
                <w:b/>
                <w:bCs/>
              </w:rPr>
            </w:pPr>
            <w:r w:rsidRPr="00C912EA">
              <w:rPr>
                <w:b/>
                <w:bCs/>
              </w:rPr>
              <w:t>Година</w:t>
            </w:r>
          </w:p>
        </w:tc>
        <w:tc>
          <w:tcPr>
            <w:tcW w:w="709" w:type="dxa"/>
            <w:noWrap/>
            <w:hideMark/>
          </w:tcPr>
          <w:p w14:paraId="301BA707" w14:textId="77777777" w:rsidR="00C912EA" w:rsidRPr="00C912EA" w:rsidRDefault="00C912EA" w:rsidP="00C912EA">
            <w:pPr>
              <w:ind w:right="72"/>
              <w:jc w:val="both"/>
              <w:rPr>
                <w:b/>
                <w:bCs/>
              </w:rPr>
            </w:pPr>
            <w:r w:rsidRPr="00C912EA">
              <w:rPr>
                <w:b/>
                <w:bCs/>
              </w:rPr>
              <w:t>2005</w:t>
            </w:r>
          </w:p>
        </w:tc>
        <w:tc>
          <w:tcPr>
            <w:tcW w:w="709" w:type="dxa"/>
            <w:noWrap/>
            <w:hideMark/>
          </w:tcPr>
          <w:p w14:paraId="2FE380C0" w14:textId="77777777" w:rsidR="00C912EA" w:rsidRPr="00C912EA" w:rsidRDefault="00C912EA" w:rsidP="00C912EA">
            <w:pPr>
              <w:ind w:right="72"/>
              <w:jc w:val="both"/>
              <w:rPr>
                <w:b/>
                <w:bCs/>
              </w:rPr>
            </w:pPr>
            <w:r w:rsidRPr="00C912EA">
              <w:rPr>
                <w:b/>
                <w:bCs/>
              </w:rPr>
              <w:t>2006</w:t>
            </w:r>
          </w:p>
        </w:tc>
        <w:tc>
          <w:tcPr>
            <w:tcW w:w="709" w:type="dxa"/>
            <w:noWrap/>
            <w:hideMark/>
          </w:tcPr>
          <w:p w14:paraId="45CF0AFC" w14:textId="77777777" w:rsidR="00C912EA" w:rsidRPr="00C912EA" w:rsidRDefault="00C912EA" w:rsidP="00C912EA">
            <w:pPr>
              <w:ind w:right="72"/>
              <w:jc w:val="both"/>
              <w:rPr>
                <w:b/>
                <w:bCs/>
              </w:rPr>
            </w:pPr>
            <w:r w:rsidRPr="00C912EA">
              <w:rPr>
                <w:b/>
                <w:bCs/>
              </w:rPr>
              <w:t>2007</w:t>
            </w:r>
          </w:p>
        </w:tc>
        <w:tc>
          <w:tcPr>
            <w:tcW w:w="689" w:type="dxa"/>
            <w:noWrap/>
            <w:hideMark/>
          </w:tcPr>
          <w:p w14:paraId="32E53918" w14:textId="77777777" w:rsidR="00C912EA" w:rsidRPr="00C912EA" w:rsidRDefault="00C912EA" w:rsidP="00C912EA">
            <w:pPr>
              <w:ind w:right="72"/>
              <w:jc w:val="both"/>
              <w:rPr>
                <w:b/>
                <w:bCs/>
              </w:rPr>
            </w:pPr>
            <w:r w:rsidRPr="00C912EA">
              <w:rPr>
                <w:b/>
                <w:bCs/>
              </w:rPr>
              <w:t>2008</w:t>
            </w:r>
          </w:p>
        </w:tc>
        <w:tc>
          <w:tcPr>
            <w:tcW w:w="728" w:type="dxa"/>
            <w:noWrap/>
            <w:hideMark/>
          </w:tcPr>
          <w:p w14:paraId="1ECC1581" w14:textId="77777777" w:rsidR="00C912EA" w:rsidRPr="00C912EA" w:rsidRDefault="00C912EA" w:rsidP="00C912EA">
            <w:pPr>
              <w:ind w:right="72"/>
              <w:jc w:val="both"/>
              <w:rPr>
                <w:b/>
                <w:bCs/>
              </w:rPr>
            </w:pPr>
            <w:r w:rsidRPr="00C912EA">
              <w:rPr>
                <w:b/>
                <w:bCs/>
              </w:rPr>
              <w:t>2009</w:t>
            </w:r>
          </w:p>
        </w:tc>
        <w:tc>
          <w:tcPr>
            <w:tcW w:w="709" w:type="dxa"/>
            <w:noWrap/>
            <w:hideMark/>
          </w:tcPr>
          <w:p w14:paraId="1661A9CB" w14:textId="77777777" w:rsidR="00C912EA" w:rsidRPr="00C912EA" w:rsidRDefault="00C912EA" w:rsidP="00C912EA">
            <w:pPr>
              <w:ind w:right="72"/>
              <w:jc w:val="both"/>
              <w:rPr>
                <w:b/>
                <w:bCs/>
              </w:rPr>
            </w:pPr>
            <w:r w:rsidRPr="00C912EA">
              <w:rPr>
                <w:b/>
                <w:bCs/>
              </w:rPr>
              <w:t>2010</w:t>
            </w:r>
          </w:p>
        </w:tc>
        <w:tc>
          <w:tcPr>
            <w:tcW w:w="689" w:type="dxa"/>
            <w:noWrap/>
            <w:hideMark/>
          </w:tcPr>
          <w:p w14:paraId="3BBB7F80" w14:textId="77777777" w:rsidR="00C912EA" w:rsidRPr="00C912EA" w:rsidRDefault="00C912EA" w:rsidP="00C912EA">
            <w:pPr>
              <w:ind w:right="72"/>
              <w:jc w:val="both"/>
              <w:rPr>
                <w:b/>
                <w:bCs/>
              </w:rPr>
            </w:pPr>
            <w:r w:rsidRPr="00C912EA">
              <w:rPr>
                <w:b/>
                <w:bCs/>
              </w:rPr>
              <w:t>2011</w:t>
            </w:r>
          </w:p>
        </w:tc>
        <w:tc>
          <w:tcPr>
            <w:tcW w:w="728" w:type="dxa"/>
            <w:noWrap/>
            <w:hideMark/>
          </w:tcPr>
          <w:p w14:paraId="23173887" w14:textId="77777777" w:rsidR="00C912EA" w:rsidRPr="00C912EA" w:rsidRDefault="00C912EA" w:rsidP="00C912EA">
            <w:pPr>
              <w:ind w:right="72"/>
              <w:jc w:val="both"/>
              <w:rPr>
                <w:b/>
                <w:bCs/>
              </w:rPr>
            </w:pPr>
            <w:r w:rsidRPr="00C912EA">
              <w:rPr>
                <w:b/>
                <w:bCs/>
              </w:rPr>
              <w:t>2012</w:t>
            </w:r>
          </w:p>
        </w:tc>
        <w:tc>
          <w:tcPr>
            <w:tcW w:w="709" w:type="dxa"/>
            <w:noWrap/>
            <w:hideMark/>
          </w:tcPr>
          <w:p w14:paraId="4CE06384" w14:textId="77777777" w:rsidR="00C912EA" w:rsidRPr="00C912EA" w:rsidRDefault="00C912EA" w:rsidP="00C912EA">
            <w:pPr>
              <w:ind w:right="72"/>
              <w:jc w:val="both"/>
              <w:rPr>
                <w:b/>
                <w:bCs/>
              </w:rPr>
            </w:pPr>
            <w:r w:rsidRPr="00C912EA">
              <w:rPr>
                <w:b/>
                <w:bCs/>
              </w:rPr>
              <w:t>2013</w:t>
            </w:r>
          </w:p>
        </w:tc>
        <w:tc>
          <w:tcPr>
            <w:tcW w:w="709" w:type="dxa"/>
            <w:noWrap/>
            <w:hideMark/>
          </w:tcPr>
          <w:p w14:paraId="57569BF0" w14:textId="77777777" w:rsidR="00C912EA" w:rsidRPr="00C912EA" w:rsidRDefault="00C912EA" w:rsidP="00C912EA">
            <w:pPr>
              <w:ind w:right="72"/>
              <w:jc w:val="both"/>
              <w:rPr>
                <w:b/>
                <w:bCs/>
              </w:rPr>
            </w:pPr>
            <w:r w:rsidRPr="00C912EA">
              <w:rPr>
                <w:b/>
                <w:bCs/>
              </w:rPr>
              <w:t>2014</w:t>
            </w:r>
          </w:p>
        </w:tc>
      </w:tr>
      <w:tr w:rsidR="00C912EA" w:rsidRPr="00C912EA" w14:paraId="38B4D398" w14:textId="77777777" w:rsidTr="00C912EA">
        <w:trPr>
          <w:gridAfter w:val="1"/>
          <w:divId w:val="1453288553"/>
          <w:wAfter w:w="960" w:type="dxa"/>
          <w:trHeight w:val="300"/>
        </w:trPr>
        <w:tc>
          <w:tcPr>
            <w:tcW w:w="1696" w:type="dxa"/>
            <w:noWrap/>
            <w:hideMark/>
          </w:tcPr>
          <w:p w14:paraId="65A2C2AB" w14:textId="77777777" w:rsidR="00C912EA" w:rsidRPr="00C912EA" w:rsidRDefault="00C912EA" w:rsidP="00C912EA">
            <w:pPr>
              <w:ind w:right="72"/>
              <w:jc w:val="both"/>
            </w:pPr>
            <w:r w:rsidRPr="00C912EA">
              <w:rPr>
                <w:b/>
                <w:bCs/>
              </w:rPr>
              <w:t xml:space="preserve">Общо  </w:t>
            </w:r>
          </w:p>
        </w:tc>
        <w:tc>
          <w:tcPr>
            <w:tcW w:w="709" w:type="dxa"/>
            <w:noWrap/>
            <w:hideMark/>
          </w:tcPr>
          <w:p w14:paraId="3012F815" w14:textId="77777777" w:rsidR="00C912EA" w:rsidRPr="00C912EA" w:rsidRDefault="00C912EA" w:rsidP="00C912EA">
            <w:pPr>
              <w:ind w:right="72"/>
              <w:jc w:val="both"/>
            </w:pPr>
            <w:r w:rsidRPr="00C912EA">
              <w:t>2642</w:t>
            </w:r>
          </w:p>
        </w:tc>
        <w:tc>
          <w:tcPr>
            <w:tcW w:w="709" w:type="dxa"/>
            <w:noWrap/>
            <w:hideMark/>
          </w:tcPr>
          <w:p w14:paraId="62C40EED" w14:textId="77777777" w:rsidR="00C912EA" w:rsidRPr="00C912EA" w:rsidRDefault="00C912EA" w:rsidP="00C912EA">
            <w:pPr>
              <w:ind w:right="72"/>
              <w:jc w:val="both"/>
            </w:pPr>
            <w:r w:rsidRPr="00C912EA">
              <w:t>2801</w:t>
            </w:r>
          </w:p>
        </w:tc>
        <w:tc>
          <w:tcPr>
            <w:tcW w:w="709" w:type="dxa"/>
            <w:noWrap/>
            <w:hideMark/>
          </w:tcPr>
          <w:p w14:paraId="167D7703" w14:textId="77777777" w:rsidR="00C912EA" w:rsidRPr="00C912EA" w:rsidRDefault="00C912EA" w:rsidP="00C912EA">
            <w:pPr>
              <w:ind w:right="72"/>
              <w:jc w:val="both"/>
            </w:pPr>
            <w:r w:rsidRPr="00C912EA">
              <w:t>2678</w:t>
            </w:r>
          </w:p>
        </w:tc>
        <w:tc>
          <w:tcPr>
            <w:tcW w:w="689" w:type="dxa"/>
            <w:noWrap/>
            <w:hideMark/>
          </w:tcPr>
          <w:p w14:paraId="664B6A8E" w14:textId="77777777" w:rsidR="00C912EA" w:rsidRPr="00C912EA" w:rsidRDefault="00C912EA" w:rsidP="00C912EA">
            <w:pPr>
              <w:ind w:right="72"/>
              <w:jc w:val="both"/>
            </w:pPr>
            <w:r w:rsidRPr="00C912EA">
              <w:t>2832</w:t>
            </w:r>
          </w:p>
        </w:tc>
        <w:tc>
          <w:tcPr>
            <w:tcW w:w="728" w:type="dxa"/>
            <w:noWrap/>
            <w:hideMark/>
          </w:tcPr>
          <w:p w14:paraId="7643B9D3" w14:textId="77777777" w:rsidR="00C912EA" w:rsidRPr="00C912EA" w:rsidRDefault="00C912EA" w:rsidP="00C912EA">
            <w:pPr>
              <w:ind w:right="72"/>
              <w:jc w:val="both"/>
            </w:pPr>
            <w:r w:rsidRPr="00C912EA">
              <w:t>2778</w:t>
            </w:r>
          </w:p>
        </w:tc>
        <w:tc>
          <w:tcPr>
            <w:tcW w:w="709" w:type="dxa"/>
            <w:noWrap/>
            <w:hideMark/>
          </w:tcPr>
          <w:p w14:paraId="1F3CD79A" w14:textId="77777777" w:rsidR="00C912EA" w:rsidRPr="00C912EA" w:rsidRDefault="00C912EA" w:rsidP="00C912EA">
            <w:pPr>
              <w:ind w:right="72"/>
              <w:jc w:val="both"/>
            </w:pPr>
            <w:r w:rsidRPr="00C912EA">
              <w:t>2738</w:t>
            </w:r>
          </w:p>
        </w:tc>
        <w:tc>
          <w:tcPr>
            <w:tcW w:w="689" w:type="dxa"/>
            <w:noWrap/>
            <w:hideMark/>
          </w:tcPr>
          <w:p w14:paraId="7C2803D6" w14:textId="77777777" w:rsidR="00C912EA" w:rsidRPr="00C912EA" w:rsidRDefault="00C912EA" w:rsidP="00C912EA">
            <w:pPr>
              <w:ind w:right="72"/>
              <w:jc w:val="both"/>
            </w:pPr>
            <w:r w:rsidRPr="00C912EA">
              <w:t>2722</w:t>
            </w:r>
          </w:p>
        </w:tc>
        <w:tc>
          <w:tcPr>
            <w:tcW w:w="728" w:type="dxa"/>
            <w:noWrap/>
            <w:hideMark/>
          </w:tcPr>
          <w:p w14:paraId="2628213B" w14:textId="77777777" w:rsidR="00C912EA" w:rsidRPr="00C912EA" w:rsidRDefault="00C912EA" w:rsidP="00C912EA">
            <w:pPr>
              <w:ind w:right="72"/>
              <w:jc w:val="both"/>
            </w:pPr>
            <w:r w:rsidRPr="00C912EA">
              <w:t>2871</w:t>
            </w:r>
          </w:p>
        </w:tc>
        <w:tc>
          <w:tcPr>
            <w:tcW w:w="709" w:type="dxa"/>
            <w:noWrap/>
            <w:hideMark/>
          </w:tcPr>
          <w:p w14:paraId="6C8F8AE7" w14:textId="77777777" w:rsidR="00C912EA" w:rsidRPr="00C912EA" w:rsidRDefault="00C912EA" w:rsidP="00C912EA">
            <w:pPr>
              <w:ind w:right="72"/>
              <w:jc w:val="both"/>
            </w:pPr>
            <w:r w:rsidRPr="00C912EA">
              <w:t>2604</w:t>
            </w:r>
          </w:p>
        </w:tc>
        <w:tc>
          <w:tcPr>
            <w:tcW w:w="709" w:type="dxa"/>
            <w:noWrap/>
            <w:hideMark/>
          </w:tcPr>
          <w:p w14:paraId="59D0C224" w14:textId="77777777" w:rsidR="00C912EA" w:rsidRPr="00C912EA" w:rsidRDefault="00C912EA" w:rsidP="00C912EA">
            <w:pPr>
              <w:ind w:right="72"/>
              <w:jc w:val="both"/>
            </w:pPr>
            <w:r w:rsidRPr="00C912EA">
              <w:t>2937</w:t>
            </w:r>
          </w:p>
        </w:tc>
      </w:tr>
      <w:tr w:rsidR="00C912EA" w:rsidRPr="00C912EA" w14:paraId="28428878" w14:textId="77777777" w:rsidTr="00C912EA">
        <w:trPr>
          <w:divId w:val="1453288553"/>
          <w:trHeight w:val="300"/>
        </w:trPr>
        <w:tc>
          <w:tcPr>
            <w:tcW w:w="1696" w:type="dxa"/>
            <w:noWrap/>
            <w:hideMark/>
          </w:tcPr>
          <w:p w14:paraId="0C263302" w14:textId="77777777" w:rsidR="00C912EA" w:rsidRPr="00C912EA" w:rsidRDefault="00C912EA" w:rsidP="00C912EA">
            <w:pPr>
              <w:ind w:right="72"/>
              <w:jc w:val="both"/>
              <w:rPr>
                <w:b/>
                <w:bCs/>
              </w:rPr>
            </w:pPr>
            <w:r w:rsidRPr="00C912EA">
              <w:rPr>
                <w:b/>
                <w:bCs/>
              </w:rPr>
              <w:t>Нефт и нефтопродукти</w:t>
            </w:r>
          </w:p>
        </w:tc>
        <w:tc>
          <w:tcPr>
            <w:tcW w:w="709" w:type="dxa"/>
            <w:noWrap/>
            <w:hideMark/>
          </w:tcPr>
          <w:p w14:paraId="307F7D77" w14:textId="77777777" w:rsidR="00C912EA" w:rsidRPr="00C912EA" w:rsidRDefault="00C912EA" w:rsidP="00C912EA">
            <w:pPr>
              <w:ind w:right="72"/>
              <w:jc w:val="both"/>
            </w:pPr>
            <w:r w:rsidRPr="00C912EA">
              <w:t> </w:t>
            </w:r>
          </w:p>
        </w:tc>
        <w:tc>
          <w:tcPr>
            <w:tcW w:w="709" w:type="dxa"/>
            <w:noWrap/>
            <w:hideMark/>
          </w:tcPr>
          <w:p w14:paraId="25FCF860" w14:textId="77777777" w:rsidR="00C912EA" w:rsidRPr="00C912EA" w:rsidRDefault="00C912EA" w:rsidP="00C912EA">
            <w:pPr>
              <w:ind w:right="72"/>
              <w:jc w:val="both"/>
            </w:pPr>
            <w:r w:rsidRPr="00C912EA">
              <w:t>2588</w:t>
            </w:r>
          </w:p>
        </w:tc>
        <w:tc>
          <w:tcPr>
            <w:tcW w:w="709" w:type="dxa"/>
            <w:noWrap/>
            <w:hideMark/>
          </w:tcPr>
          <w:p w14:paraId="74D152EA" w14:textId="77777777" w:rsidR="00C912EA" w:rsidRPr="00C912EA" w:rsidRDefault="00C912EA" w:rsidP="00C912EA">
            <w:pPr>
              <w:ind w:right="72"/>
              <w:jc w:val="both"/>
            </w:pPr>
            <w:r w:rsidRPr="00C912EA">
              <w:t>2737</w:t>
            </w:r>
          </w:p>
        </w:tc>
        <w:tc>
          <w:tcPr>
            <w:tcW w:w="689" w:type="dxa"/>
            <w:noWrap/>
            <w:hideMark/>
          </w:tcPr>
          <w:p w14:paraId="1D66C542" w14:textId="77777777" w:rsidR="00C912EA" w:rsidRPr="00C912EA" w:rsidRDefault="00C912EA" w:rsidP="00C912EA">
            <w:pPr>
              <w:ind w:right="72"/>
              <w:jc w:val="both"/>
            </w:pPr>
            <w:r w:rsidRPr="00C912EA">
              <w:t>2607</w:t>
            </w:r>
          </w:p>
        </w:tc>
        <w:tc>
          <w:tcPr>
            <w:tcW w:w="728" w:type="dxa"/>
            <w:noWrap/>
            <w:hideMark/>
          </w:tcPr>
          <w:p w14:paraId="0AAA3E56" w14:textId="77777777" w:rsidR="00C912EA" w:rsidRPr="00C912EA" w:rsidRDefault="00C912EA" w:rsidP="00C912EA">
            <w:pPr>
              <w:ind w:right="72"/>
              <w:jc w:val="both"/>
            </w:pPr>
            <w:r w:rsidRPr="00C912EA">
              <w:t>2763</w:t>
            </w:r>
          </w:p>
        </w:tc>
        <w:tc>
          <w:tcPr>
            <w:tcW w:w="709" w:type="dxa"/>
            <w:noWrap/>
            <w:hideMark/>
          </w:tcPr>
          <w:p w14:paraId="4026160D" w14:textId="77777777" w:rsidR="00C912EA" w:rsidRPr="00C912EA" w:rsidRDefault="00C912EA" w:rsidP="00C912EA">
            <w:pPr>
              <w:ind w:right="72"/>
              <w:jc w:val="both"/>
            </w:pPr>
            <w:r w:rsidRPr="00C912EA">
              <w:t>2687</w:t>
            </w:r>
          </w:p>
        </w:tc>
        <w:tc>
          <w:tcPr>
            <w:tcW w:w="689" w:type="dxa"/>
            <w:noWrap/>
            <w:hideMark/>
          </w:tcPr>
          <w:p w14:paraId="1028BC07" w14:textId="77777777" w:rsidR="00C912EA" w:rsidRPr="00C912EA" w:rsidRDefault="00C912EA" w:rsidP="00C912EA">
            <w:pPr>
              <w:ind w:right="72"/>
              <w:jc w:val="both"/>
            </w:pPr>
            <w:r w:rsidRPr="00C912EA">
              <w:t>2626</w:t>
            </w:r>
          </w:p>
        </w:tc>
        <w:tc>
          <w:tcPr>
            <w:tcW w:w="728" w:type="dxa"/>
            <w:noWrap/>
            <w:hideMark/>
          </w:tcPr>
          <w:p w14:paraId="05C22114" w14:textId="77777777" w:rsidR="00C912EA" w:rsidRPr="00C912EA" w:rsidRDefault="00C912EA" w:rsidP="00C912EA">
            <w:pPr>
              <w:ind w:right="72"/>
              <w:jc w:val="both"/>
            </w:pPr>
            <w:r w:rsidRPr="00C912EA">
              <w:t>2615</w:t>
            </w:r>
          </w:p>
        </w:tc>
        <w:tc>
          <w:tcPr>
            <w:tcW w:w="709" w:type="dxa"/>
            <w:noWrap/>
            <w:hideMark/>
          </w:tcPr>
          <w:p w14:paraId="037BA927" w14:textId="77777777" w:rsidR="00C912EA" w:rsidRPr="00C912EA" w:rsidRDefault="00C912EA" w:rsidP="00C912EA">
            <w:pPr>
              <w:ind w:right="72"/>
              <w:jc w:val="both"/>
            </w:pPr>
            <w:r w:rsidRPr="00C912EA">
              <w:t>2697</w:t>
            </w:r>
          </w:p>
        </w:tc>
        <w:tc>
          <w:tcPr>
            <w:tcW w:w="709" w:type="dxa"/>
            <w:noWrap/>
            <w:hideMark/>
          </w:tcPr>
          <w:p w14:paraId="3A14E914" w14:textId="77777777" w:rsidR="00C912EA" w:rsidRPr="00C912EA" w:rsidRDefault="00C912EA" w:rsidP="00C912EA">
            <w:pPr>
              <w:ind w:right="72"/>
              <w:jc w:val="both"/>
            </w:pPr>
            <w:r w:rsidRPr="00C912EA">
              <w:t>2399</w:t>
            </w:r>
          </w:p>
        </w:tc>
        <w:tc>
          <w:tcPr>
            <w:tcW w:w="960" w:type="dxa"/>
            <w:noWrap/>
            <w:hideMark/>
          </w:tcPr>
          <w:p w14:paraId="4F3E68AD" w14:textId="77777777" w:rsidR="00C912EA" w:rsidRPr="00C912EA" w:rsidRDefault="00C912EA" w:rsidP="00C912EA">
            <w:r w:rsidRPr="00C912EA">
              <w:t>2702</w:t>
            </w:r>
          </w:p>
        </w:tc>
      </w:tr>
      <w:tr w:rsidR="00C912EA" w:rsidRPr="00C912EA" w14:paraId="59C13CED" w14:textId="77777777" w:rsidTr="00C912EA">
        <w:trPr>
          <w:divId w:val="1453288553"/>
          <w:trHeight w:val="300"/>
        </w:trPr>
        <w:tc>
          <w:tcPr>
            <w:tcW w:w="1696" w:type="dxa"/>
            <w:noWrap/>
            <w:hideMark/>
          </w:tcPr>
          <w:p w14:paraId="1B7A3259" w14:textId="77777777" w:rsidR="00C912EA" w:rsidRPr="00C912EA" w:rsidRDefault="00C912EA" w:rsidP="00C912EA">
            <w:pPr>
              <w:ind w:right="72"/>
              <w:jc w:val="both"/>
              <w:rPr>
                <w:b/>
                <w:bCs/>
              </w:rPr>
            </w:pPr>
            <w:r w:rsidRPr="00C912EA">
              <w:rPr>
                <w:b/>
                <w:bCs/>
              </w:rPr>
              <w:t>Природен газ</w:t>
            </w:r>
          </w:p>
        </w:tc>
        <w:tc>
          <w:tcPr>
            <w:tcW w:w="709" w:type="dxa"/>
            <w:noWrap/>
            <w:hideMark/>
          </w:tcPr>
          <w:p w14:paraId="39EA3023" w14:textId="77777777" w:rsidR="00C912EA" w:rsidRPr="00C912EA" w:rsidRDefault="00C912EA" w:rsidP="00C912EA">
            <w:pPr>
              <w:ind w:right="72"/>
              <w:jc w:val="both"/>
            </w:pPr>
            <w:r w:rsidRPr="00C912EA">
              <w:t> </w:t>
            </w:r>
          </w:p>
        </w:tc>
        <w:tc>
          <w:tcPr>
            <w:tcW w:w="709" w:type="dxa"/>
            <w:noWrap/>
            <w:hideMark/>
          </w:tcPr>
          <w:p w14:paraId="68458435" w14:textId="77777777" w:rsidR="00C912EA" w:rsidRPr="00C912EA" w:rsidRDefault="00C912EA" w:rsidP="00C912EA">
            <w:pPr>
              <w:ind w:right="72"/>
              <w:jc w:val="both"/>
            </w:pPr>
            <w:r w:rsidRPr="00C912EA">
              <w:t>19</w:t>
            </w:r>
          </w:p>
        </w:tc>
        <w:tc>
          <w:tcPr>
            <w:tcW w:w="709" w:type="dxa"/>
            <w:noWrap/>
            <w:hideMark/>
          </w:tcPr>
          <w:p w14:paraId="4DEDC8C2" w14:textId="77777777" w:rsidR="00C912EA" w:rsidRPr="00C912EA" w:rsidRDefault="00C912EA" w:rsidP="00C912EA">
            <w:pPr>
              <w:ind w:right="72"/>
              <w:jc w:val="both"/>
            </w:pPr>
            <w:r w:rsidRPr="00C912EA">
              <w:t>25</w:t>
            </w:r>
          </w:p>
        </w:tc>
        <w:tc>
          <w:tcPr>
            <w:tcW w:w="689" w:type="dxa"/>
            <w:noWrap/>
            <w:hideMark/>
          </w:tcPr>
          <w:p w14:paraId="363B9CB5" w14:textId="77777777" w:rsidR="00C912EA" w:rsidRPr="00C912EA" w:rsidRDefault="00C912EA" w:rsidP="00C912EA">
            <w:pPr>
              <w:ind w:right="72"/>
              <w:jc w:val="both"/>
            </w:pPr>
            <w:r w:rsidRPr="00C912EA">
              <w:t>37</w:t>
            </w:r>
          </w:p>
        </w:tc>
        <w:tc>
          <w:tcPr>
            <w:tcW w:w="728" w:type="dxa"/>
            <w:noWrap/>
            <w:hideMark/>
          </w:tcPr>
          <w:p w14:paraId="27F7AA9D" w14:textId="77777777" w:rsidR="00C912EA" w:rsidRPr="00C912EA" w:rsidRDefault="00C912EA" w:rsidP="00C912EA">
            <w:pPr>
              <w:ind w:right="72"/>
              <w:jc w:val="both"/>
            </w:pPr>
            <w:r w:rsidRPr="00C912EA">
              <w:t>35</w:t>
            </w:r>
          </w:p>
        </w:tc>
        <w:tc>
          <w:tcPr>
            <w:tcW w:w="709" w:type="dxa"/>
            <w:noWrap/>
            <w:hideMark/>
          </w:tcPr>
          <w:p w14:paraId="63592139" w14:textId="77777777" w:rsidR="00C912EA" w:rsidRPr="00C912EA" w:rsidRDefault="00C912EA" w:rsidP="00C912EA">
            <w:pPr>
              <w:ind w:right="72"/>
              <w:jc w:val="both"/>
            </w:pPr>
            <w:r w:rsidRPr="00C912EA">
              <w:t>49</w:t>
            </w:r>
          </w:p>
        </w:tc>
        <w:tc>
          <w:tcPr>
            <w:tcW w:w="689" w:type="dxa"/>
            <w:noWrap/>
            <w:hideMark/>
          </w:tcPr>
          <w:p w14:paraId="6D5C7FE4" w14:textId="77777777" w:rsidR="00C912EA" w:rsidRPr="00C912EA" w:rsidRDefault="00C912EA" w:rsidP="00C912EA">
            <w:pPr>
              <w:ind w:right="72"/>
              <w:jc w:val="both"/>
            </w:pPr>
            <w:r w:rsidRPr="00C912EA">
              <w:t>66</w:t>
            </w:r>
          </w:p>
        </w:tc>
        <w:tc>
          <w:tcPr>
            <w:tcW w:w="728" w:type="dxa"/>
            <w:noWrap/>
            <w:hideMark/>
          </w:tcPr>
          <w:p w14:paraId="10A33528" w14:textId="77777777" w:rsidR="00C912EA" w:rsidRPr="00C912EA" w:rsidRDefault="00C912EA" w:rsidP="00C912EA">
            <w:pPr>
              <w:ind w:right="72"/>
              <w:jc w:val="both"/>
            </w:pPr>
            <w:r w:rsidRPr="00C912EA">
              <w:t>61</w:t>
            </w:r>
          </w:p>
        </w:tc>
        <w:tc>
          <w:tcPr>
            <w:tcW w:w="709" w:type="dxa"/>
            <w:noWrap/>
            <w:hideMark/>
          </w:tcPr>
          <w:p w14:paraId="603B0596" w14:textId="77777777" w:rsidR="00C912EA" w:rsidRPr="00C912EA" w:rsidRDefault="00C912EA" w:rsidP="00C912EA">
            <w:pPr>
              <w:ind w:right="72"/>
              <w:jc w:val="both"/>
            </w:pPr>
            <w:r w:rsidRPr="00C912EA">
              <w:t>65</w:t>
            </w:r>
          </w:p>
        </w:tc>
        <w:tc>
          <w:tcPr>
            <w:tcW w:w="709" w:type="dxa"/>
            <w:noWrap/>
            <w:hideMark/>
          </w:tcPr>
          <w:p w14:paraId="53524553" w14:textId="77777777" w:rsidR="00C912EA" w:rsidRPr="00C912EA" w:rsidRDefault="00C912EA" w:rsidP="00C912EA">
            <w:pPr>
              <w:ind w:right="72"/>
              <w:jc w:val="both"/>
            </w:pPr>
            <w:r w:rsidRPr="00C912EA">
              <w:t>79</w:t>
            </w:r>
          </w:p>
        </w:tc>
        <w:tc>
          <w:tcPr>
            <w:tcW w:w="960" w:type="dxa"/>
            <w:noWrap/>
            <w:hideMark/>
          </w:tcPr>
          <w:p w14:paraId="163A6855" w14:textId="77777777" w:rsidR="00C912EA" w:rsidRPr="00C912EA" w:rsidRDefault="00C912EA" w:rsidP="00C912EA">
            <w:r w:rsidRPr="00C912EA">
              <w:t>100</w:t>
            </w:r>
          </w:p>
        </w:tc>
      </w:tr>
      <w:tr w:rsidR="00C912EA" w:rsidRPr="00C912EA" w14:paraId="1C201F3E" w14:textId="77777777" w:rsidTr="00C912EA">
        <w:trPr>
          <w:divId w:val="1453288553"/>
          <w:trHeight w:val="300"/>
        </w:trPr>
        <w:tc>
          <w:tcPr>
            <w:tcW w:w="1696" w:type="dxa"/>
            <w:noWrap/>
            <w:hideMark/>
          </w:tcPr>
          <w:p w14:paraId="654B24D7" w14:textId="77777777" w:rsidR="00C912EA" w:rsidRPr="00C912EA" w:rsidRDefault="00C912EA" w:rsidP="00C912EA">
            <w:pPr>
              <w:ind w:right="72"/>
              <w:jc w:val="both"/>
              <w:rPr>
                <w:b/>
                <w:bCs/>
              </w:rPr>
            </w:pPr>
            <w:r w:rsidRPr="00C912EA">
              <w:rPr>
                <w:b/>
                <w:bCs/>
              </w:rPr>
              <w:t>Електрическа енергия</w:t>
            </w:r>
          </w:p>
        </w:tc>
        <w:tc>
          <w:tcPr>
            <w:tcW w:w="709" w:type="dxa"/>
            <w:noWrap/>
            <w:hideMark/>
          </w:tcPr>
          <w:p w14:paraId="0ED136A8" w14:textId="77777777" w:rsidR="00C912EA" w:rsidRPr="00C912EA" w:rsidRDefault="00C912EA" w:rsidP="00C912EA">
            <w:pPr>
              <w:ind w:right="72"/>
              <w:jc w:val="both"/>
            </w:pPr>
            <w:r w:rsidRPr="00C912EA">
              <w:t> </w:t>
            </w:r>
          </w:p>
        </w:tc>
        <w:tc>
          <w:tcPr>
            <w:tcW w:w="709" w:type="dxa"/>
            <w:noWrap/>
            <w:hideMark/>
          </w:tcPr>
          <w:p w14:paraId="0B2A89C0" w14:textId="77777777" w:rsidR="00C912EA" w:rsidRPr="00C912EA" w:rsidRDefault="00C912EA" w:rsidP="00C912EA">
            <w:pPr>
              <w:ind w:right="72"/>
              <w:jc w:val="both"/>
            </w:pPr>
            <w:r w:rsidRPr="00C912EA">
              <w:t>35</w:t>
            </w:r>
          </w:p>
        </w:tc>
        <w:tc>
          <w:tcPr>
            <w:tcW w:w="709" w:type="dxa"/>
            <w:noWrap/>
            <w:hideMark/>
          </w:tcPr>
          <w:p w14:paraId="79F33F7F" w14:textId="77777777" w:rsidR="00C912EA" w:rsidRPr="00C912EA" w:rsidRDefault="00C912EA" w:rsidP="00C912EA">
            <w:pPr>
              <w:ind w:right="72"/>
              <w:jc w:val="both"/>
            </w:pPr>
            <w:r w:rsidRPr="00C912EA">
              <w:t>34</w:t>
            </w:r>
          </w:p>
        </w:tc>
        <w:tc>
          <w:tcPr>
            <w:tcW w:w="689" w:type="dxa"/>
            <w:noWrap/>
            <w:hideMark/>
          </w:tcPr>
          <w:p w14:paraId="03D7E68C" w14:textId="77777777" w:rsidR="00C912EA" w:rsidRPr="00C912EA" w:rsidRDefault="00C912EA" w:rsidP="00C912EA">
            <w:pPr>
              <w:ind w:right="72"/>
              <w:jc w:val="both"/>
            </w:pPr>
            <w:r w:rsidRPr="00C912EA">
              <w:t>32</w:t>
            </w:r>
          </w:p>
        </w:tc>
        <w:tc>
          <w:tcPr>
            <w:tcW w:w="728" w:type="dxa"/>
            <w:noWrap/>
            <w:hideMark/>
          </w:tcPr>
          <w:p w14:paraId="0CB442A2" w14:textId="77777777" w:rsidR="00C912EA" w:rsidRPr="00C912EA" w:rsidRDefault="00C912EA" w:rsidP="00C912EA">
            <w:pPr>
              <w:ind w:right="72"/>
              <w:jc w:val="both"/>
            </w:pPr>
            <w:r w:rsidRPr="00C912EA">
              <w:t>30</w:t>
            </w:r>
          </w:p>
        </w:tc>
        <w:tc>
          <w:tcPr>
            <w:tcW w:w="709" w:type="dxa"/>
            <w:noWrap/>
            <w:hideMark/>
          </w:tcPr>
          <w:p w14:paraId="7A6CF60C" w14:textId="77777777" w:rsidR="00C912EA" w:rsidRPr="00C912EA" w:rsidRDefault="00C912EA" w:rsidP="00C912EA">
            <w:pPr>
              <w:ind w:right="72"/>
              <w:jc w:val="both"/>
            </w:pPr>
            <w:r w:rsidRPr="00C912EA">
              <w:t>38</w:t>
            </w:r>
          </w:p>
        </w:tc>
        <w:tc>
          <w:tcPr>
            <w:tcW w:w="689" w:type="dxa"/>
            <w:noWrap/>
            <w:hideMark/>
          </w:tcPr>
          <w:p w14:paraId="41282937" w14:textId="77777777" w:rsidR="00C912EA" w:rsidRPr="00C912EA" w:rsidRDefault="00C912EA" w:rsidP="00C912EA">
            <w:pPr>
              <w:ind w:right="72"/>
              <w:jc w:val="both"/>
            </w:pPr>
            <w:r w:rsidRPr="00C912EA">
              <w:t>32</w:t>
            </w:r>
          </w:p>
        </w:tc>
        <w:tc>
          <w:tcPr>
            <w:tcW w:w="728" w:type="dxa"/>
            <w:noWrap/>
            <w:hideMark/>
          </w:tcPr>
          <w:p w14:paraId="3CC1EA63" w14:textId="77777777" w:rsidR="00C912EA" w:rsidRPr="00C912EA" w:rsidRDefault="00C912EA" w:rsidP="00C912EA">
            <w:pPr>
              <w:ind w:right="72"/>
              <w:jc w:val="both"/>
            </w:pPr>
            <w:r w:rsidRPr="00C912EA">
              <w:t>29</w:t>
            </w:r>
          </w:p>
        </w:tc>
        <w:tc>
          <w:tcPr>
            <w:tcW w:w="709" w:type="dxa"/>
            <w:noWrap/>
            <w:hideMark/>
          </w:tcPr>
          <w:p w14:paraId="7649B5C6" w14:textId="77777777" w:rsidR="00C912EA" w:rsidRPr="00C912EA" w:rsidRDefault="00C912EA" w:rsidP="00C912EA">
            <w:pPr>
              <w:ind w:right="72"/>
              <w:jc w:val="both"/>
            </w:pPr>
            <w:r w:rsidRPr="00C912EA">
              <w:t>23</w:t>
            </w:r>
          </w:p>
        </w:tc>
        <w:tc>
          <w:tcPr>
            <w:tcW w:w="709" w:type="dxa"/>
            <w:noWrap/>
            <w:hideMark/>
          </w:tcPr>
          <w:p w14:paraId="04CF56A8" w14:textId="77777777" w:rsidR="00C912EA" w:rsidRPr="00C912EA" w:rsidRDefault="00C912EA" w:rsidP="00C912EA">
            <w:pPr>
              <w:ind w:right="72"/>
              <w:jc w:val="both"/>
            </w:pPr>
            <w:r w:rsidRPr="00C912EA">
              <w:t>22</w:t>
            </w:r>
          </w:p>
        </w:tc>
        <w:tc>
          <w:tcPr>
            <w:tcW w:w="960" w:type="dxa"/>
            <w:noWrap/>
            <w:hideMark/>
          </w:tcPr>
          <w:p w14:paraId="213C29E6" w14:textId="77777777" w:rsidR="00C912EA" w:rsidRPr="00C912EA" w:rsidRDefault="00C912EA" w:rsidP="00C912EA">
            <w:r w:rsidRPr="00C912EA">
              <w:t>24</w:t>
            </w:r>
          </w:p>
        </w:tc>
      </w:tr>
      <w:tr w:rsidR="00C912EA" w:rsidRPr="00C912EA" w14:paraId="3FF81596" w14:textId="77777777" w:rsidTr="00C912EA">
        <w:trPr>
          <w:gridAfter w:val="1"/>
          <w:divId w:val="1453288553"/>
          <w:wAfter w:w="960" w:type="dxa"/>
          <w:trHeight w:val="795"/>
        </w:trPr>
        <w:tc>
          <w:tcPr>
            <w:tcW w:w="1696" w:type="dxa"/>
            <w:hideMark/>
          </w:tcPr>
          <w:p w14:paraId="175B5A54" w14:textId="77777777" w:rsidR="00C912EA" w:rsidRPr="00C912EA" w:rsidRDefault="00C912EA" w:rsidP="00C912EA">
            <w:pPr>
              <w:ind w:right="72"/>
              <w:jc w:val="both"/>
              <w:rPr>
                <w:b/>
                <w:bCs/>
              </w:rPr>
            </w:pPr>
            <w:r w:rsidRPr="00C912EA">
              <w:rPr>
                <w:b/>
                <w:bCs/>
              </w:rPr>
              <w:t>Биомаси и промишлени отпадъци и други ВЕИ</w:t>
            </w:r>
          </w:p>
        </w:tc>
        <w:tc>
          <w:tcPr>
            <w:tcW w:w="709" w:type="dxa"/>
            <w:noWrap/>
            <w:hideMark/>
          </w:tcPr>
          <w:p w14:paraId="26A502F6" w14:textId="77777777" w:rsidR="00C912EA" w:rsidRPr="00C912EA" w:rsidRDefault="00C912EA" w:rsidP="00C912EA">
            <w:pPr>
              <w:ind w:right="72"/>
              <w:jc w:val="both"/>
            </w:pPr>
            <w:r w:rsidRPr="00C912EA">
              <w:t>-</w:t>
            </w:r>
          </w:p>
        </w:tc>
        <w:tc>
          <w:tcPr>
            <w:tcW w:w="709" w:type="dxa"/>
            <w:noWrap/>
            <w:hideMark/>
          </w:tcPr>
          <w:p w14:paraId="236F64EC" w14:textId="77777777" w:rsidR="00C912EA" w:rsidRPr="00C912EA" w:rsidRDefault="00C912EA" w:rsidP="00C912EA">
            <w:pPr>
              <w:ind w:right="72"/>
              <w:jc w:val="both"/>
            </w:pPr>
            <w:r w:rsidRPr="00C912EA">
              <w:t>5</w:t>
            </w:r>
          </w:p>
        </w:tc>
        <w:tc>
          <w:tcPr>
            <w:tcW w:w="709" w:type="dxa"/>
            <w:noWrap/>
            <w:hideMark/>
          </w:tcPr>
          <w:p w14:paraId="037F6524" w14:textId="77777777" w:rsidR="00C912EA" w:rsidRPr="00C912EA" w:rsidRDefault="00C912EA" w:rsidP="00C912EA">
            <w:pPr>
              <w:ind w:right="72"/>
              <w:jc w:val="both"/>
            </w:pPr>
            <w:r w:rsidRPr="00C912EA">
              <w:t>2</w:t>
            </w:r>
          </w:p>
        </w:tc>
        <w:tc>
          <w:tcPr>
            <w:tcW w:w="689" w:type="dxa"/>
            <w:noWrap/>
            <w:hideMark/>
          </w:tcPr>
          <w:p w14:paraId="4957BA6B" w14:textId="77777777" w:rsidR="00C912EA" w:rsidRPr="00C912EA" w:rsidRDefault="00C912EA" w:rsidP="00C912EA">
            <w:pPr>
              <w:ind w:right="72"/>
              <w:jc w:val="both"/>
            </w:pPr>
            <w:r w:rsidRPr="00C912EA">
              <w:t>4</w:t>
            </w:r>
          </w:p>
        </w:tc>
        <w:tc>
          <w:tcPr>
            <w:tcW w:w="728" w:type="dxa"/>
            <w:noWrap/>
            <w:hideMark/>
          </w:tcPr>
          <w:p w14:paraId="45977862" w14:textId="77777777" w:rsidR="00C912EA" w:rsidRPr="00C912EA" w:rsidRDefault="00C912EA" w:rsidP="00C912EA">
            <w:pPr>
              <w:ind w:right="72"/>
              <w:jc w:val="both"/>
            </w:pPr>
            <w:r w:rsidRPr="00C912EA">
              <w:t>4</w:t>
            </w:r>
          </w:p>
        </w:tc>
        <w:tc>
          <w:tcPr>
            <w:tcW w:w="709" w:type="dxa"/>
            <w:noWrap/>
            <w:hideMark/>
          </w:tcPr>
          <w:p w14:paraId="5EF21573" w14:textId="77777777" w:rsidR="00C912EA" w:rsidRPr="00C912EA" w:rsidRDefault="00C912EA" w:rsidP="00C912EA">
            <w:pPr>
              <w:ind w:right="72"/>
              <w:jc w:val="both"/>
            </w:pPr>
            <w:r w:rsidRPr="00C912EA">
              <w:t>14</w:t>
            </w:r>
          </w:p>
        </w:tc>
        <w:tc>
          <w:tcPr>
            <w:tcW w:w="689" w:type="dxa"/>
            <w:noWrap/>
            <w:hideMark/>
          </w:tcPr>
          <w:p w14:paraId="082DD26B" w14:textId="77777777" w:rsidR="00C912EA" w:rsidRPr="00C912EA" w:rsidRDefault="00C912EA" w:rsidP="00C912EA">
            <w:pPr>
              <w:ind w:right="72"/>
              <w:jc w:val="both"/>
            </w:pPr>
            <w:r w:rsidRPr="00C912EA">
              <w:t>17</w:t>
            </w:r>
          </w:p>
        </w:tc>
        <w:tc>
          <w:tcPr>
            <w:tcW w:w="728" w:type="dxa"/>
            <w:noWrap/>
            <w:hideMark/>
          </w:tcPr>
          <w:p w14:paraId="60EE0D17" w14:textId="77777777" w:rsidR="00C912EA" w:rsidRPr="00C912EA" w:rsidRDefault="00C912EA" w:rsidP="00C912EA">
            <w:pPr>
              <w:ind w:right="72"/>
              <w:jc w:val="both"/>
            </w:pPr>
            <w:r w:rsidRPr="00C912EA">
              <w:t>86</w:t>
            </w:r>
          </w:p>
        </w:tc>
        <w:tc>
          <w:tcPr>
            <w:tcW w:w="709" w:type="dxa"/>
            <w:noWrap/>
            <w:hideMark/>
          </w:tcPr>
          <w:p w14:paraId="27790A5E" w14:textId="77777777" w:rsidR="00C912EA" w:rsidRPr="00C912EA" w:rsidRDefault="00C912EA" w:rsidP="00C912EA">
            <w:pPr>
              <w:ind w:right="72"/>
              <w:jc w:val="both"/>
            </w:pPr>
            <w:r w:rsidRPr="00C912EA">
              <w:t>104</w:t>
            </w:r>
          </w:p>
        </w:tc>
        <w:tc>
          <w:tcPr>
            <w:tcW w:w="709" w:type="dxa"/>
            <w:noWrap/>
            <w:hideMark/>
          </w:tcPr>
          <w:p w14:paraId="698F77E9" w14:textId="77777777" w:rsidR="00C912EA" w:rsidRPr="00C912EA" w:rsidRDefault="00C912EA" w:rsidP="00C912EA">
            <w:pPr>
              <w:ind w:right="72"/>
              <w:jc w:val="both"/>
            </w:pPr>
            <w:r w:rsidRPr="00C912EA">
              <w:t>111</w:t>
            </w:r>
          </w:p>
        </w:tc>
      </w:tr>
    </w:tbl>
    <w:p w14:paraId="2B610392" w14:textId="77777777" w:rsidR="00DE0D68" w:rsidRDefault="000C4F1D" w:rsidP="000C4F1D">
      <w:pPr>
        <w:spacing w:after="0" w:line="240" w:lineRule="auto"/>
        <w:ind w:right="72"/>
        <w:jc w:val="both"/>
        <w:rPr>
          <w:rFonts w:ascii="Times New Roman" w:eastAsia="Times New Roman" w:hAnsi="Times New Roman" w:cs="Times New Roman"/>
          <w:sz w:val="20"/>
          <w:szCs w:val="20"/>
          <w:lang w:eastAsia="bg-BG"/>
        </w:rPr>
      </w:pPr>
      <w:r w:rsidRPr="002C36F8">
        <w:rPr>
          <w:rFonts w:ascii="Times New Roman" w:eastAsia="Times New Roman" w:hAnsi="Times New Roman" w:cs="Times New Roman"/>
          <w:sz w:val="24"/>
          <w:szCs w:val="24"/>
          <w:lang w:eastAsia="bg-BG"/>
        </w:rPr>
        <w:fldChar w:fldCharType="end"/>
      </w:r>
      <w:r w:rsidRPr="002C36F8">
        <w:rPr>
          <w:rFonts w:ascii="Times New Roman" w:eastAsia="Times New Roman" w:hAnsi="Times New Roman" w:cs="Times New Roman"/>
          <w:i/>
          <w:iCs/>
          <w:sz w:val="20"/>
          <w:szCs w:val="20"/>
          <w:lang w:eastAsia="bg-BG"/>
        </w:rPr>
        <w:t>Източник : Енергийни баланси, НСИ</w:t>
      </w:r>
    </w:p>
    <w:p w14:paraId="43D2B6FB" w14:textId="77777777" w:rsidR="003E4292" w:rsidRPr="003E4292" w:rsidRDefault="003E4292" w:rsidP="000C4F1D">
      <w:pPr>
        <w:spacing w:after="0" w:line="240" w:lineRule="auto"/>
        <w:ind w:right="72"/>
        <w:jc w:val="both"/>
        <w:rPr>
          <w:rFonts w:ascii="Times New Roman" w:eastAsia="Times New Roman" w:hAnsi="Times New Roman" w:cs="Times New Roman"/>
          <w:sz w:val="20"/>
          <w:szCs w:val="20"/>
          <w:lang w:eastAsia="bg-BG"/>
        </w:rPr>
      </w:pPr>
    </w:p>
    <w:p w14:paraId="05C284D8" w14:textId="77777777" w:rsidR="00A71ECE" w:rsidRPr="002C36F8" w:rsidRDefault="001B1979" w:rsidP="00DD4C17">
      <w:pPr>
        <w:spacing w:after="0" w:line="240" w:lineRule="auto"/>
        <w:ind w:right="72"/>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5.1.3</w:t>
      </w:r>
      <w:r w:rsidR="00DE0D68" w:rsidRPr="002C36F8">
        <w:rPr>
          <w:rFonts w:ascii="Times New Roman" w:eastAsia="Times New Roman" w:hAnsi="Times New Roman" w:cs="Times New Roman"/>
          <w:b/>
          <w:i/>
          <w:sz w:val="24"/>
          <w:szCs w:val="24"/>
          <w:lang w:eastAsia="bg-BG"/>
        </w:rPr>
        <w:t xml:space="preserve"> </w:t>
      </w:r>
      <w:r w:rsidR="00A71ECE" w:rsidRPr="002C36F8">
        <w:rPr>
          <w:rFonts w:ascii="Times New Roman" w:eastAsia="Times New Roman" w:hAnsi="Times New Roman" w:cs="Times New Roman"/>
          <w:b/>
          <w:i/>
          <w:sz w:val="24"/>
          <w:szCs w:val="24"/>
          <w:lang w:eastAsia="bg-BG"/>
        </w:rPr>
        <w:t xml:space="preserve">Потребление на биогорива </w:t>
      </w:r>
    </w:p>
    <w:p w14:paraId="126EF4CA" w14:textId="77777777" w:rsidR="00A71ECE" w:rsidRPr="002C36F8" w:rsidRDefault="00A71ECE" w:rsidP="00A71ECE">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През 2014 г. потреблението на биогорива (биодизел и биоетанол) в автомобилния транспорт чувствително нараства в сравнение с 2010 г. и възлиза на 111 хиляди тона нефтен еквивалент. През същата година са потребени 96 хиляди тона нефтен еквивалент биодизел. За сравнение, през 2010 г. са потребени 11 хиляди тона нефтен еквивалент биодизел. За периода 2010 – 2014 г. потреблението на биодизел нараства 8,7 пъти. През 2013 г. за първи път е отчетено потребление на биоетанол, което възлиза на 8 хиляди тона нефтен еквивалент. През 2014 г. са потребени 15 хиляди тона нефтен еквивалент биоетанол, като нарастването е двойно спрямо предходната година. </w:t>
      </w:r>
    </w:p>
    <w:p w14:paraId="45B1A434" w14:textId="77777777" w:rsidR="00A71ECE" w:rsidRPr="002C36F8" w:rsidRDefault="00A71ECE" w:rsidP="000C4F1D">
      <w:pPr>
        <w:spacing w:after="0" w:line="240" w:lineRule="auto"/>
        <w:ind w:right="72"/>
        <w:jc w:val="both"/>
        <w:rPr>
          <w:rFonts w:ascii="Times New Roman" w:eastAsia="Times New Roman" w:hAnsi="Times New Roman" w:cs="Times New Roman"/>
          <w:b/>
          <w:sz w:val="24"/>
          <w:szCs w:val="24"/>
          <w:lang w:eastAsia="bg-BG"/>
        </w:rPr>
      </w:pPr>
    </w:p>
    <w:p w14:paraId="4AF528EB" w14:textId="77777777" w:rsidR="000C4F1D" w:rsidRPr="002C36F8" w:rsidRDefault="00B67BC1" w:rsidP="000C4F1D">
      <w:pPr>
        <w:spacing w:after="0" w:line="240" w:lineRule="auto"/>
        <w:ind w:right="72"/>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4</w:t>
      </w:r>
      <w:r w:rsidR="000C4F1D" w:rsidRPr="002C36F8">
        <w:rPr>
          <w:rFonts w:ascii="Times New Roman" w:eastAsia="Times New Roman" w:hAnsi="Times New Roman" w:cs="Times New Roman"/>
          <w:sz w:val="20"/>
          <w:szCs w:val="20"/>
          <w:lang w:eastAsia="bg-BG"/>
        </w:rPr>
        <w:t xml:space="preserve"> Потребление на биогорива в транспорта в хил. тона нефтен еквивалент</w:t>
      </w:r>
    </w:p>
    <w:p w14:paraId="3A2FAAE5" w14:textId="77777777" w:rsidR="00E84B1F" w:rsidRPr="002C36F8" w:rsidRDefault="00E84B1F" w:rsidP="000C4F1D">
      <w:pPr>
        <w:spacing w:after="0" w:line="240" w:lineRule="auto"/>
        <w:ind w:right="72"/>
        <w:jc w:val="both"/>
        <w:rPr>
          <w:rFonts w:ascii="Times New Roman" w:eastAsia="Times New Roman" w:hAnsi="Times New Roman" w:cs="Times New Roman"/>
          <w:sz w:val="20"/>
          <w:szCs w:val="20"/>
          <w:lang w:eastAsia="bg-BG"/>
        </w:rPr>
      </w:pPr>
    </w:p>
    <w:tbl>
      <w:tblPr>
        <w:tblStyle w:val="TableGrid1"/>
        <w:tblW w:w="0" w:type="auto"/>
        <w:tblLook w:val="04A0" w:firstRow="1" w:lastRow="0" w:firstColumn="1" w:lastColumn="0" w:noHBand="0" w:noVBand="1"/>
      </w:tblPr>
      <w:tblGrid>
        <w:gridCol w:w="1510"/>
        <w:gridCol w:w="769"/>
        <w:gridCol w:w="769"/>
        <w:gridCol w:w="775"/>
        <w:gridCol w:w="769"/>
        <w:gridCol w:w="790"/>
      </w:tblGrid>
      <w:tr w:rsidR="000C4F1D" w:rsidRPr="002C36F8" w14:paraId="47054AFC" w14:textId="77777777" w:rsidTr="000C4F1D">
        <w:tc>
          <w:tcPr>
            <w:tcW w:w="1510" w:type="dxa"/>
          </w:tcPr>
          <w:p w14:paraId="51BBDFC4" w14:textId="77777777" w:rsidR="000C4F1D" w:rsidRPr="002C36F8" w:rsidRDefault="000C4F1D" w:rsidP="000C4F1D">
            <w:pPr>
              <w:ind w:right="72"/>
              <w:jc w:val="both"/>
            </w:pPr>
            <w:r w:rsidRPr="002C36F8">
              <w:t xml:space="preserve">Година </w:t>
            </w:r>
          </w:p>
        </w:tc>
        <w:tc>
          <w:tcPr>
            <w:tcW w:w="769" w:type="dxa"/>
          </w:tcPr>
          <w:p w14:paraId="2F845478" w14:textId="77777777" w:rsidR="000C4F1D" w:rsidRPr="002C36F8" w:rsidRDefault="000C4F1D" w:rsidP="000C4F1D">
            <w:pPr>
              <w:ind w:right="72"/>
              <w:jc w:val="both"/>
            </w:pPr>
            <w:r w:rsidRPr="002C36F8">
              <w:t>2010</w:t>
            </w:r>
          </w:p>
        </w:tc>
        <w:tc>
          <w:tcPr>
            <w:tcW w:w="769" w:type="dxa"/>
          </w:tcPr>
          <w:p w14:paraId="02A95983" w14:textId="77777777" w:rsidR="000C4F1D" w:rsidRPr="002C36F8" w:rsidRDefault="000C4F1D" w:rsidP="000C4F1D">
            <w:pPr>
              <w:ind w:right="72"/>
              <w:jc w:val="both"/>
            </w:pPr>
            <w:r w:rsidRPr="002C36F8">
              <w:t>2011</w:t>
            </w:r>
          </w:p>
        </w:tc>
        <w:tc>
          <w:tcPr>
            <w:tcW w:w="775" w:type="dxa"/>
          </w:tcPr>
          <w:p w14:paraId="35DBA8DE" w14:textId="77777777" w:rsidR="000C4F1D" w:rsidRPr="002C36F8" w:rsidRDefault="000C4F1D" w:rsidP="000C4F1D">
            <w:pPr>
              <w:ind w:right="72"/>
              <w:jc w:val="both"/>
            </w:pPr>
            <w:r w:rsidRPr="002C36F8">
              <w:t>2012</w:t>
            </w:r>
          </w:p>
        </w:tc>
        <w:tc>
          <w:tcPr>
            <w:tcW w:w="769" w:type="dxa"/>
          </w:tcPr>
          <w:p w14:paraId="46EA21EB" w14:textId="77777777" w:rsidR="000C4F1D" w:rsidRPr="002C36F8" w:rsidRDefault="000C4F1D" w:rsidP="000C4F1D">
            <w:pPr>
              <w:ind w:right="72"/>
              <w:jc w:val="both"/>
            </w:pPr>
            <w:r w:rsidRPr="002C36F8">
              <w:t>2013</w:t>
            </w:r>
          </w:p>
        </w:tc>
        <w:tc>
          <w:tcPr>
            <w:tcW w:w="790" w:type="dxa"/>
          </w:tcPr>
          <w:p w14:paraId="1F2419FA" w14:textId="77777777" w:rsidR="000C4F1D" w:rsidRPr="002C36F8" w:rsidRDefault="000C4F1D" w:rsidP="000C4F1D">
            <w:pPr>
              <w:ind w:right="72"/>
              <w:jc w:val="both"/>
            </w:pPr>
            <w:r w:rsidRPr="002C36F8">
              <w:t>2014</w:t>
            </w:r>
          </w:p>
        </w:tc>
      </w:tr>
      <w:tr w:rsidR="000C4F1D" w:rsidRPr="002C36F8" w14:paraId="5B79F262" w14:textId="77777777" w:rsidTr="000C4F1D">
        <w:tc>
          <w:tcPr>
            <w:tcW w:w="1510" w:type="dxa"/>
          </w:tcPr>
          <w:p w14:paraId="311A841C" w14:textId="77777777" w:rsidR="000C4F1D" w:rsidRPr="002C36F8" w:rsidRDefault="000C4F1D" w:rsidP="000C4F1D">
            <w:pPr>
              <w:ind w:right="72"/>
              <w:jc w:val="both"/>
            </w:pPr>
            <w:r w:rsidRPr="002C36F8">
              <w:t xml:space="preserve">Биоетанол </w:t>
            </w:r>
          </w:p>
        </w:tc>
        <w:tc>
          <w:tcPr>
            <w:tcW w:w="769" w:type="dxa"/>
          </w:tcPr>
          <w:p w14:paraId="614AE27D" w14:textId="77777777" w:rsidR="000C4F1D" w:rsidRPr="002C36F8" w:rsidRDefault="000C4F1D" w:rsidP="000C4F1D">
            <w:pPr>
              <w:ind w:right="72"/>
              <w:jc w:val="both"/>
            </w:pPr>
            <w:r w:rsidRPr="002C36F8">
              <w:t>-</w:t>
            </w:r>
          </w:p>
        </w:tc>
        <w:tc>
          <w:tcPr>
            <w:tcW w:w="769" w:type="dxa"/>
          </w:tcPr>
          <w:p w14:paraId="10DFB7B8" w14:textId="77777777" w:rsidR="000C4F1D" w:rsidRPr="002C36F8" w:rsidRDefault="000C4F1D" w:rsidP="000C4F1D">
            <w:pPr>
              <w:ind w:right="72"/>
              <w:jc w:val="both"/>
            </w:pPr>
            <w:r w:rsidRPr="002C36F8">
              <w:t>-</w:t>
            </w:r>
          </w:p>
        </w:tc>
        <w:tc>
          <w:tcPr>
            <w:tcW w:w="775" w:type="dxa"/>
          </w:tcPr>
          <w:p w14:paraId="7197CD4E" w14:textId="77777777" w:rsidR="000C4F1D" w:rsidRPr="002C36F8" w:rsidRDefault="000C4F1D" w:rsidP="000C4F1D">
            <w:pPr>
              <w:ind w:right="72"/>
              <w:jc w:val="both"/>
            </w:pPr>
            <w:r w:rsidRPr="002C36F8">
              <w:t>-</w:t>
            </w:r>
          </w:p>
        </w:tc>
        <w:tc>
          <w:tcPr>
            <w:tcW w:w="769" w:type="dxa"/>
          </w:tcPr>
          <w:p w14:paraId="67AC23C4" w14:textId="77777777" w:rsidR="000C4F1D" w:rsidRPr="002C36F8" w:rsidRDefault="000C4F1D" w:rsidP="000C4F1D">
            <w:pPr>
              <w:ind w:right="72"/>
              <w:jc w:val="both"/>
            </w:pPr>
            <w:r w:rsidRPr="002C36F8">
              <w:t>8</w:t>
            </w:r>
          </w:p>
        </w:tc>
        <w:tc>
          <w:tcPr>
            <w:tcW w:w="790" w:type="dxa"/>
          </w:tcPr>
          <w:p w14:paraId="51E50EE9" w14:textId="77777777" w:rsidR="000C4F1D" w:rsidRPr="002C36F8" w:rsidRDefault="000C4F1D" w:rsidP="000C4F1D">
            <w:pPr>
              <w:ind w:right="72"/>
              <w:jc w:val="both"/>
            </w:pPr>
            <w:r w:rsidRPr="002C36F8">
              <w:t>15</w:t>
            </w:r>
          </w:p>
        </w:tc>
      </w:tr>
      <w:tr w:rsidR="000C4F1D" w:rsidRPr="002C36F8" w14:paraId="1B302841" w14:textId="77777777" w:rsidTr="000C4F1D">
        <w:tc>
          <w:tcPr>
            <w:tcW w:w="1510" w:type="dxa"/>
          </w:tcPr>
          <w:p w14:paraId="70548F76" w14:textId="77777777" w:rsidR="000C4F1D" w:rsidRPr="002C36F8" w:rsidRDefault="000C4F1D" w:rsidP="000C4F1D">
            <w:pPr>
              <w:ind w:right="72"/>
              <w:jc w:val="both"/>
            </w:pPr>
            <w:r w:rsidRPr="002C36F8">
              <w:t xml:space="preserve">Биодизел </w:t>
            </w:r>
          </w:p>
        </w:tc>
        <w:tc>
          <w:tcPr>
            <w:tcW w:w="769" w:type="dxa"/>
          </w:tcPr>
          <w:p w14:paraId="7710975A" w14:textId="77777777" w:rsidR="000C4F1D" w:rsidRPr="002C36F8" w:rsidRDefault="000C4F1D" w:rsidP="000C4F1D">
            <w:pPr>
              <w:ind w:right="72"/>
              <w:jc w:val="both"/>
            </w:pPr>
            <w:r w:rsidRPr="002C36F8">
              <w:t>11</w:t>
            </w:r>
          </w:p>
        </w:tc>
        <w:tc>
          <w:tcPr>
            <w:tcW w:w="769" w:type="dxa"/>
          </w:tcPr>
          <w:p w14:paraId="528B50B4" w14:textId="77777777" w:rsidR="000C4F1D" w:rsidRPr="002C36F8" w:rsidRDefault="000C4F1D" w:rsidP="000C4F1D">
            <w:pPr>
              <w:ind w:right="72"/>
              <w:jc w:val="both"/>
            </w:pPr>
            <w:r w:rsidRPr="002C36F8">
              <w:t>17</w:t>
            </w:r>
          </w:p>
        </w:tc>
        <w:tc>
          <w:tcPr>
            <w:tcW w:w="775" w:type="dxa"/>
          </w:tcPr>
          <w:p w14:paraId="45A3F0B7" w14:textId="77777777" w:rsidR="000C4F1D" w:rsidRPr="002C36F8" w:rsidRDefault="000C4F1D" w:rsidP="000C4F1D">
            <w:pPr>
              <w:ind w:right="72"/>
              <w:jc w:val="both"/>
            </w:pPr>
            <w:r w:rsidRPr="002C36F8">
              <w:t>86</w:t>
            </w:r>
          </w:p>
        </w:tc>
        <w:tc>
          <w:tcPr>
            <w:tcW w:w="769" w:type="dxa"/>
          </w:tcPr>
          <w:p w14:paraId="3D5688D4" w14:textId="77777777" w:rsidR="000C4F1D" w:rsidRPr="002C36F8" w:rsidRDefault="000C4F1D" w:rsidP="000C4F1D">
            <w:pPr>
              <w:ind w:right="72"/>
              <w:jc w:val="both"/>
            </w:pPr>
            <w:r w:rsidRPr="002C36F8">
              <w:t>96</w:t>
            </w:r>
          </w:p>
        </w:tc>
        <w:tc>
          <w:tcPr>
            <w:tcW w:w="790" w:type="dxa"/>
          </w:tcPr>
          <w:p w14:paraId="3BCBF985" w14:textId="77777777" w:rsidR="000C4F1D" w:rsidRPr="002C36F8" w:rsidRDefault="000C4F1D" w:rsidP="000C4F1D">
            <w:pPr>
              <w:ind w:right="72"/>
              <w:jc w:val="both"/>
            </w:pPr>
            <w:r w:rsidRPr="002C36F8">
              <w:t>96</w:t>
            </w:r>
          </w:p>
        </w:tc>
      </w:tr>
      <w:tr w:rsidR="000C4F1D" w:rsidRPr="002C36F8" w14:paraId="25B1F404" w14:textId="77777777" w:rsidTr="000C4F1D">
        <w:tc>
          <w:tcPr>
            <w:tcW w:w="1510" w:type="dxa"/>
          </w:tcPr>
          <w:p w14:paraId="2184FD4A" w14:textId="77777777" w:rsidR="000C4F1D" w:rsidRPr="002C36F8" w:rsidRDefault="000C4F1D" w:rsidP="000C4F1D">
            <w:pPr>
              <w:ind w:right="72"/>
              <w:jc w:val="both"/>
            </w:pPr>
            <w:r w:rsidRPr="002C36F8">
              <w:t>Други течни биогорива</w:t>
            </w:r>
          </w:p>
        </w:tc>
        <w:tc>
          <w:tcPr>
            <w:tcW w:w="769" w:type="dxa"/>
          </w:tcPr>
          <w:p w14:paraId="05F5B1CA" w14:textId="77777777" w:rsidR="000C4F1D" w:rsidRPr="002C36F8" w:rsidRDefault="000C4F1D" w:rsidP="000C4F1D">
            <w:pPr>
              <w:ind w:right="72"/>
              <w:jc w:val="both"/>
            </w:pPr>
            <w:r w:rsidRPr="002C36F8">
              <w:t>3</w:t>
            </w:r>
          </w:p>
        </w:tc>
        <w:tc>
          <w:tcPr>
            <w:tcW w:w="769" w:type="dxa"/>
          </w:tcPr>
          <w:p w14:paraId="3DB244CF" w14:textId="77777777" w:rsidR="000C4F1D" w:rsidRPr="002C36F8" w:rsidRDefault="000C4F1D" w:rsidP="000C4F1D">
            <w:pPr>
              <w:ind w:right="72"/>
              <w:jc w:val="both"/>
            </w:pPr>
            <w:r w:rsidRPr="002C36F8">
              <w:t>-</w:t>
            </w:r>
          </w:p>
        </w:tc>
        <w:tc>
          <w:tcPr>
            <w:tcW w:w="775" w:type="dxa"/>
          </w:tcPr>
          <w:p w14:paraId="7B069C67" w14:textId="77777777" w:rsidR="000C4F1D" w:rsidRPr="002C36F8" w:rsidRDefault="000C4F1D" w:rsidP="000C4F1D">
            <w:pPr>
              <w:ind w:right="72"/>
              <w:jc w:val="both"/>
            </w:pPr>
            <w:r w:rsidRPr="002C36F8">
              <w:t>-</w:t>
            </w:r>
          </w:p>
        </w:tc>
        <w:tc>
          <w:tcPr>
            <w:tcW w:w="769" w:type="dxa"/>
          </w:tcPr>
          <w:p w14:paraId="47AB0824" w14:textId="77777777" w:rsidR="000C4F1D" w:rsidRPr="002C36F8" w:rsidRDefault="000C4F1D" w:rsidP="000C4F1D">
            <w:pPr>
              <w:ind w:right="72"/>
              <w:jc w:val="both"/>
            </w:pPr>
            <w:r w:rsidRPr="002C36F8">
              <w:t>-</w:t>
            </w:r>
          </w:p>
        </w:tc>
        <w:tc>
          <w:tcPr>
            <w:tcW w:w="790" w:type="dxa"/>
          </w:tcPr>
          <w:p w14:paraId="07641623" w14:textId="77777777" w:rsidR="000C4F1D" w:rsidRPr="002C36F8" w:rsidRDefault="000C4F1D" w:rsidP="000C4F1D">
            <w:pPr>
              <w:ind w:right="72"/>
              <w:jc w:val="both"/>
            </w:pPr>
            <w:r w:rsidRPr="002C36F8">
              <w:t>-</w:t>
            </w:r>
          </w:p>
        </w:tc>
      </w:tr>
    </w:tbl>
    <w:p w14:paraId="36EAF2E1" w14:textId="77777777" w:rsidR="000C4F1D" w:rsidRPr="002C36F8" w:rsidRDefault="000C4F1D" w:rsidP="000C4F1D">
      <w:pPr>
        <w:spacing w:after="0" w:line="240" w:lineRule="auto"/>
        <w:ind w:right="72"/>
        <w:jc w:val="both"/>
        <w:rPr>
          <w:rFonts w:ascii="Times New Roman" w:eastAsia="Times New Roman" w:hAnsi="Times New Roman" w:cs="Times New Roman"/>
          <w:i/>
          <w:sz w:val="20"/>
          <w:szCs w:val="20"/>
          <w:lang w:eastAsia="bg-BG"/>
        </w:rPr>
      </w:pPr>
      <w:r w:rsidRPr="002C36F8">
        <w:rPr>
          <w:rFonts w:ascii="Times New Roman" w:eastAsia="Times New Roman" w:hAnsi="Times New Roman" w:cs="Times New Roman"/>
          <w:i/>
          <w:sz w:val="20"/>
          <w:szCs w:val="20"/>
          <w:lang w:eastAsia="bg-BG"/>
        </w:rPr>
        <w:t>Източник: НСИ</w:t>
      </w:r>
    </w:p>
    <w:p w14:paraId="6E7468C5"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p>
    <w:p w14:paraId="02E42EE7" w14:textId="77777777" w:rsidR="000C4F1D" w:rsidRPr="002C36F8" w:rsidRDefault="000C4F1D" w:rsidP="00DE0D68">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Делът на биодизела в общото потребление на дизелови горива в автомобилния транспорт през 201</w:t>
      </w:r>
      <w:r w:rsidR="00B67BC1">
        <w:rPr>
          <w:rFonts w:ascii="Times New Roman" w:eastAsia="Times New Roman" w:hAnsi="Times New Roman" w:cs="Times New Roman"/>
          <w:sz w:val="24"/>
          <w:szCs w:val="24"/>
          <w:lang w:eastAsia="bg-BG"/>
        </w:rPr>
        <w:t>4 г. възлиза на 6,38%. В таблица 5</w:t>
      </w:r>
      <w:r w:rsidRPr="002C36F8">
        <w:rPr>
          <w:rFonts w:ascii="Times New Roman" w:eastAsia="Times New Roman" w:hAnsi="Times New Roman" w:cs="Times New Roman"/>
          <w:sz w:val="24"/>
          <w:szCs w:val="24"/>
          <w:lang w:eastAsia="bg-BG"/>
        </w:rPr>
        <w:t xml:space="preserve"> е представен делът на биодизела в потребените дизелови горива в автомобилния транспорт за периода 2006 – 2014 г. </w:t>
      </w:r>
    </w:p>
    <w:p w14:paraId="06E80599" w14:textId="77777777" w:rsidR="00DD4C17" w:rsidRPr="002C36F8" w:rsidRDefault="00DD4C17" w:rsidP="000C4F1D">
      <w:pPr>
        <w:spacing w:after="0" w:line="240" w:lineRule="auto"/>
        <w:ind w:right="72"/>
        <w:jc w:val="both"/>
        <w:rPr>
          <w:rFonts w:ascii="Times New Roman" w:eastAsia="Times New Roman" w:hAnsi="Times New Roman" w:cs="Times New Roman"/>
          <w:sz w:val="24"/>
          <w:szCs w:val="24"/>
          <w:lang w:eastAsia="bg-BG"/>
        </w:rPr>
      </w:pPr>
    </w:p>
    <w:p w14:paraId="0E2B8279" w14:textId="77777777" w:rsidR="000C4F1D" w:rsidRPr="002C36F8" w:rsidRDefault="00B67BC1" w:rsidP="000C4F1D">
      <w:pPr>
        <w:spacing w:after="0" w:line="240" w:lineRule="auto"/>
        <w:ind w:right="72"/>
        <w:jc w:val="both"/>
        <w:rPr>
          <w:rFonts w:ascii="Times New Roman" w:eastAsia="Times New Roman" w:hAnsi="Times New Roman" w:cs="Times New Roman"/>
          <w:bCs/>
          <w:sz w:val="20"/>
          <w:szCs w:val="20"/>
          <w:lang w:eastAsia="bg-BG"/>
        </w:rPr>
      </w:pPr>
      <w:r>
        <w:rPr>
          <w:rFonts w:ascii="Times New Roman" w:eastAsia="Times New Roman" w:hAnsi="Times New Roman" w:cs="Times New Roman"/>
          <w:bCs/>
          <w:sz w:val="20"/>
          <w:szCs w:val="20"/>
          <w:lang w:eastAsia="bg-BG"/>
        </w:rPr>
        <w:t>Таблица 5</w:t>
      </w:r>
      <w:r w:rsidR="000C4F1D" w:rsidRPr="002C36F8">
        <w:rPr>
          <w:rFonts w:ascii="Times New Roman" w:eastAsia="Times New Roman" w:hAnsi="Times New Roman" w:cs="Times New Roman"/>
          <w:bCs/>
          <w:sz w:val="20"/>
          <w:szCs w:val="20"/>
          <w:lang w:eastAsia="bg-BG"/>
        </w:rPr>
        <w:t xml:space="preserve"> Дял на биодизела в общото потребление на дизелови горива (в хил. тона) в автомобилния транспорта за периода 2006 – 2014 г., %</w:t>
      </w:r>
    </w:p>
    <w:p w14:paraId="363915CB" w14:textId="77777777" w:rsidR="00E84B1F" w:rsidRPr="002C36F8" w:rsidRDefault="00E84B1F" w:rsidP="000C4F1D">
      <w:pPr>
        <w:spacing w:after="0" w:line="240" w:lineRule="auto"/>
        <w:ind w:right="72"/>
        <w:jc w:val="both"/>
        <w:rPr>
          <w:rFonts w:ascii="Times New Roman" w:eastAsia="Times New Roman" w:hAnsi="Times New Roman" w:cs="Times New Roman"/>
          <w:bCs/>
          <w:sz w:val="20"/>
          <w:szCs w:val="20"/>
          <w:lang w:eastAsia="bg-BG"/>
        </w:rPr>
      </w:pPr>
    </w:p>
    <w:tbl>
      <w:tblPr>
        <w:tblW w:w="921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993"/>
        <w:gridCol w:w="993"/>
        <w:gridCol w:w="994"/>
        <w:gridCol w:w="900"/>
        <w:gridCol w:w="1008"/>
        <w:gridCol w:w="1008"/>
        <w:gridCol w:w="1008"/>
        <w:gridCol w:w="996"/>
      </w:tblGrid>
      <w:tr w:rsidR="000C4F1D" w:rsidRPr="002C36F8" w14:paraId="0FC53391" w14:textId="77777777" w:rsidTr="000C4F1D">
        <w:trPr>
          <w:tblCellSpacing w:w="15" w:type="dxa"/>
          <w:jc w:val="center"/>
        </w:trPr>
        <w:tc>
          <w:tcPr>
            <w:tcW w:w="1245" w:type="dxa"/>
            <w:vAlign w:val="center"/>
            <w:hideMark/>
          </w:tcPr>
          <w:p w14:paraId="4705E007"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2006 г.</w:t>
            </w:r>
          </w:p>
        </w:tc>
        <w:tc>
          <w:tcPr>
            <w:tcW w:w="1005" w:type="dxa"/>
            <w:vAlign w:val="center"/>
            <w:hideMark/>
          </w:tcPr>
          <w:p w14:paraId="47705571"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2007 г.</w:t>
            </w:r>
          </w:p>
        </w:tc>
        <w:tc>
          <w:tcPr>
            <w:tcW w:w="1005" w:type="dxa"/>
            <w:vAlign w:val="center"/>
            <w:hideMark/>
          </w:tcPr>
          <w:p w14:paraId="3B8AB548"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2008 г.</w:t>
            </w:r>
          </w:p>
        </w:tc>
        <w:tc>
          <w:tcPr>
            <w:tcW w:w="1005" w:type="dxa"/>
            <w:vAlign w:val="center"/>
            <w:hideMark/>
          </w:tcPr>
          <w:p w14:paraId="53594DD7"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2009 г.</w:t>
            </w:r>
          </w:p>
        </w:tc>
        <w:tc>
          <w:tcPr>
            <w:tcW w:w="900" w:type="dxa"/>
            <w:vAlign w:val="center"/>
            <w:hideMark/>
          </w:tcPr>
          <w:p w14:paraId="240C2446"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2010 г.</w:t>
            </w:r>
          </w:p>
        </w:tc>
        <w:tc>
          <w:tcPr>
            <w:tcW w:w="1020" w:type="dxa"/>
            <w:vAlign w:val="center"/>
            <w:hideMark/>
          </w:tcPr>
          <w:p w14:paraId="00D84BE1"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2011 г.</w:t>
            </w:r>
          </w:p>
        </w:tc>
        <w:tc>
          <w:tcPr>
            <w:tcW w:w="1020" w:type="dxa"/>
            <w:vAlign w:val="center"/>
            <w:hideMark/>
          </w:tcPr>
          <w:p w14:paraId="04E39DEE"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2012 г.</w:t>
            </w:r>
          </w:p>
        </w:tc>
        <w:tc>
          <w:tcPr>
            <w:tcW w:w="1020" w:type="dxa"/>
            <w:vAlign w:val="center"/>
            <w:hideMark/>
          </w:tcPr>
          <w:p w14:paraId="2B2E66DD"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2013 г.</w:t>
            </w:r>
          </w:p>
        </w:tc>
        <w:tc>
          <w:tcPr>
            <w:tcW w:w="990" w:type="dxa"/>
            <w:vAlign w:val="center"/>
            <w:hideMark/>
          </w:tcPr>
          <w:p w14:paraId="2E2D027D"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b/>
                <w:bCs/>
                <w:sz w:val="24"/>
                <w:szCs w:val="24"/>
                <w:lang w:eastAsia="bg-BG"/>
              </w:rPr>
              <w:t>2014 г.</w:t>
            </w:r>
          </w:p>
        </w:tc>
      </w:tr>
      <w:tr w:rsidR="000C4F1D" w:rsidRPr="002C36F8" w14:paraId="5B7E0000" w14:textId="77777777" w:rsidTr="000C4F1D">
        <w:trPr>
          <w:tblCellSpacing w:w="15" w:type="dxa"/>
          <w:jc w:val="center"/>
        </w:trPr>
        <w:tc>
          <w:tcPr>
            <w:tcW w:w="1245" w:type="dxa"/>
            <w:noWrap/>
            <w:vAlign w:val="center"/>
            <w:hideMark/>
          </w:tcPr>
          <w:p w14:paraId="1B57FBB6"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0,63</w:t>
            </w:r>
          </w:p>
        </w:tc>
        <w:tc>
          <w:tcPr>
            <w:tcW w:w="1005" w:type="dxa"/>
            <w:vAlign w:val="center"/>
            <w:hideMark/>
          </w:tcPr>
          <w:p w14:paraId="19602F87"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0,30</w:t>
            </w:r>
          </w:p>
        </w:tc>
        <w:tc>
          <w:tcPr>
            <w:tcW w:w="1005" w:type="dxa"/>
            <w:vAlign w:val="center"/>
            <w:hideMark/>
          </w:tcPr>
          <w:p w14:paraId="1A0C04EE"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0,27</w:t>
            </w:r>
          </w:p>
        </w:tc>
        <w:tc>
          <w:tcPr>
            <w:tcW w:w="1005" w:type="dxa"/>
            <w:vAlign w:val="center"/>
            <w:hideMark/>
          </w:tcPr>
          <w:p w14:paraId="5A25E71A"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0,42</w:t>
            </w:r>
          </w:p>
        </w:tc>
        <w:tc>
          <w:tcPr>
            <w:tcW w:w="900" w:type="dxa"/>
            <w:vAlign w:val="center"/>
            <w:hideMark/>
          </w:tcPr>
          <w:p w14:paraId="7B1FC152"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1,59</w:t>
            </w:r>
          </w:p>
        </w:tc>
        <w:tc>
          <w:tcPr>
            <w:tcW w:w="1020" w:type="dxa"/>
            <w:vAlign w:val="center"/>
            <w:hideMark/>
          </w:tcPr>
          <w:p w14:paraId="0C486C77"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1,27</w:t>
            </w:r>
          </w:p>
        </w:tc>
        <w:tc>
          <w:tcPr>
            <w:tcW w:w="1020" w:type="dxa"/>
            <w:vAlign w:val="center"/>
            <w:hideMark/>
          </w:tcPr>
          <w:p w14:paraId="5175C681"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5,69</w:t>
            </w:r>
          </w:p>
        </w:tc>
        <w:tc>
          <w:tcPr>
            <w:tcW w:w="1020" w:type="dxa"/>
            <w:vAlign w:val="center"/>
            <w:hideMark/>
          </w:tcPr>
          <w:p w14:paraId="2E4D2253"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7,17</w:t>
            </w:r>
          </w:p>
        </w:tc>
        <w:tc>
          <w:tcPr>
            <w:tcW w:w="990" w:type="dxa"/>
            <w:vAlign w:val="center"/>
            <w:hideMark/>
          </w:tcPr>
          <w:p w14:paraId="602A8D5D" w14:textId="77777777" w:rsidR="000C4F1D" w:rsidRPr="002C36F8" w:rsidRDefault="000C4F1D" w:rsidP="000C4F1D">
            <w:pPr>
              <w:spacing w:after="0" w:line="240" w:lineRule="auto"/>
              <w:ind w:right="72"/>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6,38</w:t>
            </w:r>
          </w:p>
        </w:tc>
      </w:tr>
    </w:tbl>
    <w:p w14:paraId="0BD2EA54" w14:textId="77777777" w:rsidR="000C4F1D" w:rsidRPr="002C36F8" w:rsidRDefault="000C4F1D" w:rsidP="000C4F1D">
      <w:pPr>
        <w:spacing w:after="0" w:line="240" w:lineRule="auto"/>
        <w:ind w:right="72"/>
        <w:jc w:val="both"/>
        <w:rPr>
          <w:rFonts w:ascii="Times New Roman" w:eastAsia="Times New Roman" w:hAnsi="Times New Roman" w:cs="Times New Roman"/>
          <w:i/>
          <w:iCs/>
          <w:sz w:val="20"/>
          <w:szCs w:val="20"/>
          <w:lang w:eastAsia="bg-BG"/>
        </w:rPr>
      </w:pPr>
      <w:r w:rsidRPr="002C36F8">
        <w:rPr>
          <w:rFonts w:ascii="Times New Roman" w:eastAsia="Times New Roman" w:hAnsi="Times New Roman" w:cs="Times New Roman"/>
          <w:i/>
          <w:iCs/>
          <w:sz w:val="20"/>
          <w:szCs w:val="20"/>
          <w:lang w:eastAsia="bg-BG"/>
        </w:rPr>
        <w:t>Източник: НСИ</w:t>
      </w:r>
    </w:p>
    <w:p w14:paraId="35744254" w14:textId="77777777" w:rsidR="00E84B1F" w:rsidRPr="002C36F8" w:rsidRDefault="00E84B1F" w:rsidP="000C4F1D">
      <w:pPr>
        <w:spacing w:after="0" w:line="240" w:lineRule="auto"/>
        <w:ind w:right="72"/>
        <w:jc w:val="both"/>
        <w:rPr>
          <w:rFonts w:ascii="Times New Roman" w:eastAsia="Times New Roman" w:hAnsi="Times New Roman" w:cs="Times New Roman"/>
          <w:sz w:val="24"/>
          <w:szCs w:val="24"/>
          <w:lang w:eastAsia="bg-BG"/>
        </w:rPr>
      </w:pPr>
    </w:p>
    <w:p w14:paraId="482151A1" w14:textId="77777777" w:rsidR="000C4F1D" w:rsidRDefault="000C4F1D" w:rsidP="000C4F1D">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С влизането в сила в началото на 2013 г. на Наредбата за критериите за устойчивост на биогоривата и течните горива от биомаса, потреблението на енергия от възобновяеми източници в сектор „Транспорт” през 2013 г. и 2014 г. се увеличава значително. През 2013 г. и 2014 г. потребените количества биогорива в сектор „Транспорт”, отговарящи на критериите за устойчивост, са съответно 104 хиляди тона нефтен еквивалент и 111 хиляди тона нефтен еквивалент, от които за 2013 г.: биодизел – 105 435 тона (96 хиляди тона нефтен еквивалент) и биоетанол – 12 568 тона (8 хиляди тона нетен еквивалент) и за 2014 г. биодизел – 106 321 тона (96 хиляди тона нефтен еквивалент) и биоетанол – 22 824 тона (15 хиляди тона нефтен еквивалент).</w:t>
      </w:r>
    </w:p>
    <w:p w14:paraId="41456169" w14:textId="77777777" w:rsidR="00AD6DFA" w:rsidRPr="00AD6DFA" w:rsidRDefault="00AD6DFA" w:rsidP="00AD6DFA">
      <w:pPr>
        <w:spacing w:before="100" w:beforeAutospacing="1" w:after="100" w:afterAutospacing="1" w:line="240" w:lineRule="auto"/>
        <w:ind w:firstLine="720"/>
        <w:jc w:val="both"/>
        <w:rPr>
          <w:rFonts w:ascii="Times New Roman" w:eastAsia="Times New Roman" w:hAnsi="Times New Roman" w:cs="Times New Roman"/>
          <w:sz w:val="24"/>
          <w:szCs w:val="24"/>
        </w:rPr>
      </w:pPr>
      <w:r w:rsidRPr="00AD6DFA">
        <w:rPr>
          <w:rFonts w:ascii="Times New Roman" w:eastAsia="Times New Roman" w:hAnsi="Times New Roman" w:cs="Times New Roman"/>
          <w:sz w:val="24"/>
          <w:szCs w:val="24"/>
        </w:rPr>
        <w:t>За 2016</w:t>
      </w:r>
      <w:r>
        <w:rPr>
          <w:rFonts w:ascii="Times New Roman" w:eastAsia="Times New Roman" w:hAnsi="Times New Roman" w:cs="Times New Roman"/>
          <w:sz w:val="24"/>
          <w:szCs w:val="24"/>
        </w:rPr>
        <w:t xml:space="preserve"> </w:t>
      </w:r>
      <w:r w:rsidRPr="00AD6DFA">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националната цел съгласно Националния план за действие за енергията от възобновяемите източници</w:t>
      </w:r>
      <w:r w:rsidRPr="00AD6DFA">
        <w:rPr>
          <w:rFonts w:ascii="Times New Roman" w:eastAsia="Times New Roman" w:hAnsi="Times New Roman" w:cs="Times New Roman"/>
          <w:sz w:val="24"/>
          <w:szCs w:val="24"/>
        </w:rPr>
        <w:t xml:space="preserve"> </w:t>
      </w:r>
      <w:r w:rsidR="00440A76">
        <w:rPr>
          <w:rFonts w:ascii="Times New Roman" w:eastAsia="Times New Roman" w:hAnsi="Times New Roman" w:cs="Times New Roman"/>
          <w:sz w:val="24"/>
          <w:szCs w:val="24"/>
        </w:rPr>
        <w:t xml:space="preserve">за дял на ВЕИ </w:t>
      </w:r>
      <w:r w:rsidRPr="00AD6DFA">
        <w:rPr>
          <w:rFonts w:ascii="Times New Roman" w:eastAsia="Times New Roman" w:hAnsi="Times New Roman" w:cs="Times New Roman"/>
          <w:sz w:val="24"/>
          <w:szCs w:val="24"/>
        </w:rPr>
        <w:t xml:space="preserve">в транспорта </w:t>
      </w:r>
      <w:r w:rsidR="00440A76">
        <w:rPr>
          <w:rFonts w:ascii="Times New Roman" w:eastAsia="Times New Roman" w:hAnsi="Times New Roman" w:cs="Times New Roman"/>
          <w:sz w:val="24"/>
          <w:szCs w:val="24"/>
        </w:rPr>
        <w:t>е 7,1% (</w:t>
      </w:r>
      <w:r w:rsidRPr="00AD6DFA">
        <w:rPr>
          <w:rFonts w:ascii="Times New Roman" w:eastAsia="Times New Roman" w:hAnsi="Times New Roman" w:cs="Times New Roman"/>
          <w:sz w:val="24"/>
          <w:szCs w:val="24"/>
        </w:rPr>
        <w:t>или 154 000 тона устойчив биодизел</w:t>
      </w:r>
      <w:r w:rsidR="00440A76">
        <w:rPr>
          <w:rFonts w:ascii="Times New Roman" w:eastAsia="Times New Roman" w:hAnsi="Times New Roman" w:cs="Times New Roman"/>
          <w:sz w:val="24"/>
          <w:szCs w:val="24"/>
        </w:rPr>
        <w:t>)</w:t>
      </w:r>
      <w:r w:rsidRPr="00AD6DFA">
        <w:rPr>
          <w:rFonts w:ascii="Times New Roman" w:eastAsia="Times New Roman" w:hAnsi="Times New Roman" w:cs="Times New Roman"/>
          <w:sz w:val="24"/>
          <w:szCs w:val="24"/>
        </w:rPr>
        <w:t>. За първото полугодие на 2016</w:t>
      </w:r>
      <w:r>
        <w:rPr>
          <w:rFonts w:ascii="Times New Roman" w:eastAsia="Times New Roman" w:hAnsi="Times New Roman" w:cs="Times New Roman"/>
          <w:sz w:val="24"/>
          <w:szCs w:val="24"/>
        </w:rPr>
        <w:t xml:space="preserve"> </w:t>
      </w:r>
      <w:r w:rsidRPr="00AD6DFA">
        <w:rPr>
          <w:rFonts w:ascii="Times New Roman" w:eastAsia="Times New Roman" w:hAnsi="Times New Roman" w:cs="Times New Roman"/>
          <w:sz w:val="24"/>
          <w:szCs w:val="24"/>
        </w:rPr>
        <w:t xml:space="preserve">г. на територията на страната </w:t>
      </w:r>
      <w:r>
        <w:rPr>
          <w:rFonts w:ascii="Times New Roman" w:eastAsia="Times New Roman" w:hAnsi="Times New Roman" w:cs="Times New Roman"/>
          <w:sz w:val="24"/>
          <w:szCs w:val="24"/>
        </w:rPr>
        <w:t>са разпространени</w:t>
      </w:r>
      <w:r w:rsidRPr="00AD6DFA">
        <w:rPr>
          <w:rFonts w:ascii="Times New Roman" w:eastAsia="Times New Roman" w:hAnsi="Times New Roman" w:cs="Times New Roman"/>
          <w:sz w:val="24"/>
          <w:szCs w:val="24"/>
        </w:rPr>
        <w:t xml:space="preserve"> 30 000  тона устойчив </w:t>
      </w:r>
      <w:r w:rsidR="00440A76">
        <w:rPr>
          <w:rFonts w:ascii="Times New Roman" w:eastAsia="Times New Roman" w:hAnsi="Times New Roman" w:cs="Times New Roman"/>
          <w:sz w:val="24"/>
          <w:szCs w:val="24"/>
        </w:rPr>
        <w:t xml:space="preserve">биодизел </w:t>
      </w:r>
      <w:r w:rsidRPr="00AD6DFA">
        <w:rPr>
          <w:rFonts w:ascii="Times New Roman" w:eastAsia="Times New Roman" w:hAnsi="Times New Roman" w:cs="Times New Roman"/>
          <w:sz w:val="24"/>
          <w:szCs w:val="24"/>
        </w:rPr>
        <w:t>и 6 000 тона неустойчив биодизел.</w:t>
      </w:r>
      <w:r>
        <w:rPr>
          <w:rStyle w:val="FootnoteReference"/>
          <w:rFonts w:ascii="Times New Roman" w:eastAsia="Times New Roman" w:hAnsi="Times New Roman" w:cs="Times New Roman"/>
          <w:sz w:val="24"/>
          <w:szCs w:val="24"/>
        </w:rPr>
        <w:footnoteReference w:id="10"/>
      </w:r>
    </w:p>
    <w:p w14:paraId="1DB6BD68" w14:textId="77777777" w:rsidR="00AD6DFA" w:rsidRPr="00AD6DFA" w:rsidRDefault="00AD6DFA" w:rsidP="00AD6DFA">
      <w:pPr>
        <w:spacing w:before="100" w:beforeAutospacing="1" w:after="100" w:afterAutospacing="1" w:line="240" w:lineRule="auto"/>
        <w:ind w:firstLine="720"/>
        <w:jc w:val="both"/>
        <w:rPr>
          <w:rFonts w:ascii="Times New Roman" w:eastAsia="Times New Roman" w:hAnsi="Times New Roman" w:cs="Times New Roman"/>
          <w:sz w:val="24"/>
          <w:szCs w:val="24"/>
        </w:rPr>
      </w:pPr>
      <w:r w:rsidRPr="00AD6DFA">
        <w:rPr>
          <w:rFonts w:ascii="Times New Roman" w:eastAsia="Times New Roman" w:hAnsi="Times New Roman" w:cs="Times New Roman"/>
          <w:sz w:val="24"/>
          <w:szCs w:val="24"/>
        </w:rPr>
        <w:t>За 2</w:t>
      </w:r>
      <w:r>
        <w:rPr>
          <w:rFonts w:ascii="Times New Roman" w:eastAsia="Times New Roman" w:hAnsi="Times New Roman" w:cs="Times New Roman"/>
          <w:sz w:val="24"/>
          <w:szCs w:val="24"/>
        </w:rPr>
        <w:t>015 г. и 2016 г. само една компания</w:t>
      </w:r>
      <w:r w:rsidRPr="00AD6DFA">
        <w:rPr>
          <w:rFonts w:ascii="Times New Roman" w:eastAsia="Times New Roman" w:hAnsi="Times New Roman" w:cs="Times New Roman"/>
          <w:sz w:val="24"/>
          <w:szCs w:val="24"/>
        </w:rPr>
        <w:t xml:space="preserve"> задоволява над 90% от пазара за биодизел в страната и данните за разпространения от фирм</w:t>
      </w:r>
      <w:r>
        <w:rPr>
          <w:rFonts w:ascii="Times New Roman" w:eastAsia="Times New Roman" w:hAnsi="Times New Roman" w:cs="Times New Roman"/>
          <w:sz w:val="24"/>
          <w:szCs w:val="24"/>
        </w:rPr>
        <w:t>ата биодизел могат да се смятат</w:t>
      </w:r>
      <w:r w:rsidRPr="00AD6DFA">
        <w:rPr>
          <w:rFonts w:ascii="Times New Roman" w:eastAsia="Times New Roman" w:hAnsi="Times New Roman" w:cs="Times New Roman"/>
          <w:sz w:val="24"/>
          <w:szCs w:val="24"/>
        </w:rPr>
        <w:t xml:space="preserve"> за представителни за цялата страна.</w:t>
      </w:r>
    </w:p>
    <w:p w14:paraId="068D0478" w14:textId="77777777" w:rsidR="00DE0D68" w:rsidRPr="002C36F8" w:rsidRDefault="00DE0D68" w:rsidP="00DE0D68">
      <w:pPr>
        <w:spacing w:after="0" w:line="240" w:lineRule="auto"/>
        <w:ind w:right="72"/>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b/>
          <w:i/>
          <w:sz w:val="24"/>
          <w:szCs w:val="24"/>
          <w:lang w:eastAsia="bg-BG"/>
        </w:rPr>
        <w:t>Изводи</w:t>
      </w:r>
    </w:p>
    <w:p w14:paraId="6AF12038" w14:textId="77777777" w:rsidR="000C4F1D" w:rsidRPr="002C36F8" w:rsidRDefault="000C4F1D" w:rsidP="000C4F1D">
      <w:pPr>
        <w:spacing w:after="0" w:line="240" w:lineRule="auto"/>
        <w:ind w:right="72"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Изложеното по-горе, дава възможност и за идентифициране на проблемите, свързани с употребяваните горива и енергия в транспортния процес. Те могат да бъдат сведени до следните:</w:t>
      </w:r>
    </w:p>
    <w:p w14:paraId="3F6E0020"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Недобра структура на енергийния баланс в транспорта, оставяща само </w:t>
      </w:r>
      <w:r w:rsidRPr="008045CD">
        <w:rPr>
          <w:rFonts w:ascii="Times New Roman" w:eastAsia="Times New Roman" w:hAnsi="Times New Roman" w:cs="Times New Roman"/>
          <w:sz w:val="24"/>
          <w:szCs w:val="24"/>
          <w:lang w:eastAsia="bg-BG"/>
        </w:rPr>
        <w:t>3,4%</w:t>
      </w:r>
      <w:r w:rsidRPr="002C36F8">
        <w:rPr>
          <w:rFonts w:ascii="Times New Roman" w:eastAsia="Times New Roman" w:hAnsi="Times New Roman" w:cs="Times New Roman"/>
          <w:sz w:val="24"/>
          <w:szCs w:val="24"/>
          <w:lang w:eastAsia="bg-BG"/>
        </w:rPr>
        <w:t xml:space="preserve">  дял на газообразни горива и </w:t>
      </w:r>
      <w:r w:rsidRPr="008045CD">
        <w:rPr>
          <w:rFonts w:ascii="Times New Roman" w:eastAsia="Times New Roman" w:hAnsi="Times New Roman" w:cs="Times New Roman"/>
          <w:sz w:val="24"/>
          <w:szCs w:val="24"/>
          <w:lang w:eastAsia="bg-BG"/>
        </w:rPr>
        <w:t xml:space="preserve">0,8% </w:t>
      </w:r>
      <w:r w:rsidRPr="002C36F8">
        <w:rPr>
          <w:rFonts w:ascii="Times New Roman" w:eastAsia="Times New Roman" w:hAnsi="Times New Roman" w:cs="Times New Roman"/>
          <w:sz w:val="24"/>
          <w:szCs w:val="24"/>
          <w:lang w:eastAsia="bg-BG"/>
        </w:rPr>
        <w:t>дял на електроенергия, които, са екологично чисти;</w:t>
      </w:r>
    </w:p>
    <w:p w14:paraId="7A07A829"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92 % от потребената енергия в транспорта е от петролни продукти, които са и най-големите замърсители на въздуха</w:t>
      </w:r>
      <w:r w:rsidR="009A55BC">
        <w:rPr>
          <w:rFonts w:ascii="Times New Roman" w:eastAsia="Times New Roman" w:hAnsi="Times New Roman" w:cs="Times New Roman"/>
          <w:sz w:val="24"/>
          <w:szCs w:val="24"/>
          <w:lang w:eastAsia="bg-BG"/>
        </w:rPr>
        <w:t>;</w:t>
      </w:r>
    </w:p>
    <w:p w14:paraId="12CB1340"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Негативни тенденции в развитието на структурата на горивния баланс, даващи предимство в темповете на нарастване на употребата на дизелово гориво след 2000 – та година, спрямо темповете на нарастване на употребата на безоловни бензини.</w:t>
      </w:r>
    </w:p>
    <w:p w14:paraId="13AE3686" w14:textId="77777777" w:rsidR="000C4F1D" w:rsidRPr="002C36F8" w:rsidRDefault="000C4F1D" w:rsidP="000C4F1D">
      <w:pPr>
        <w:spacing w:after="0" w:line="240" w:lineRule="auto"/>
        <w:ind w:right="72"/>
        <w:jc w:val="both"/>
        <w:rPr>
          <w:rFonts w:ascii="Times New Roman" w:eastAsia="Times New Roman" w:hAnsi="Times New Roman" w:cs="Times New Roman"/>
          <w:b/>
          <w:i/>
          <w:sz w:val="24"/>
          <w:szCs w:val="24"/>
          <w:lang w:eastAsia="bg-BG"/>
        </w:rPr>
      </w:pPr>
    </w:p>
    <w:p w14:paraId="1D6E75F8" w14:textId="77777777" w:rsidR="000C4F1D" w:rsidRPr="002C36F8" w:rsidRDefault="000C4F1D" w:rsidP="000C4F1D">
      <w:pPr>
        <w:spacing w:after="0" w:line="240" w:lineRule="auto"/>
        <w:ind w:right="72"/>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b/>
          <w:i/>
          <w:sz w:val="24"/>
          <w:szCs w:val="24"/>
          <w:lang w:eastAsia="bg-BG"/>
        </w:rPr>
        <w:t>Оперативни цели и задачи</w:t>
      </w:r>
    </w:p>
    <w:p w14:paraId="31B062EB"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Разширяване използването на по-чисти горива; </w:t>
      </w:r>
    </w:p>
    <w:p w14:paraId="56CF9135"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Поощряване използването на обществен транспорт в градовете и градските агломерации, за сметка на използването на лични моторни превозни средства;</w:t>
      </w:r>
    </w:p>
    <w:p w14:paraId="7402952A" w14:textId="77777777" w:rsidR="000C4F1D"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Разширяване използването на вътрешноградски електротранспорт.</w:t>
      </w:r>
    </w:p>
    <w:p w14:paraId="22215037" w14:textId="77777777" w:rsidR="000C4F1D" w:rsidRPr="002C36F8" w:rsidRDefault="000C4F1D" w:rsidP="000C4F1D">
      <w:pPr>
        <w:spacing w:after="0" w:line="240" w:lineRule="auto"/>
        <w:jc w:val="both"/>
        <w:rPr>
          <w:rFonts w:ascii="Times New Roman" w:eastAsia="Times New Roman" w:hAnsi="Times New Roman" w:cs="Times New Roman"/>
          <w:sz w:val="24"/>
          <w:szCs w:val="24"/>
          <w:lang w:eastAsia="bg-BG"/>
        </w:rPr>
      </w:pPr>
    </w:p>
    <w:p w14:paraId="730F0D71" w14:textId="77777777" w:rsidR="000C4F1D" w:rsidRPr="002C36F8" w:rsidRDefault="000C4F1D" w:rsidP="000C4F1D">
      <w:pPr>
        <w:spacing w:after="0" w:line="240" w:lineRule="auto"/>
        <w:ind w:right="72"/>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b/>
          <w:i/>
          <w:sz w:val="24"/>
          <w:szCs w:val="24"/>
          <w:lang w:eastAsia="bg-BG"/>
        </w:rPr>
        <w:t>Дейности за достигане на оперативните цели и задачи</w:t>
      </w:r>
    </w:p>
    <w:p w14:paraId="2383A27C" w14:textId="77777777" w:rsidR="000C4F1D" w:rsidRPr="002C36F8" w:rsidRDefault="000C4F1D" w:rsidP="001A0506">
      <w:pPr>
        <w:numPr>
          <w:ilvl w:val="0"/>
          <w:numId w:val="8"/>
        </w:numPr>
        <w:tabs>
          <w:tab w:val="clear" w:pos="720"/>
          <w:tab w:val="num" w:pos="36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Разширяване на електрификацията на вътрешноградския транспорт;</w:t>
      </w:r>
    </w:p>
    <w:p w14:paraId="0BFD4166" w14:textId="77777777" w:rsidR="000C4F1D" w:rsidRPr="002C36F8" w:rsidRDefault="000C4F1D" w:rsidP="001A0506">
      <w:pPr>
        <w:numPr>
          <w:ilvl w:val="0"/>
          <w:numId w:val="8"/>
        </w:numPr>
        <w:tabs>
          <w:tab w:val="clear" w:pos="720"/>
          <w:tab w:val="num" w:pos="36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Продължаване на строителството на метрополитена в София;</w:t>
      </w:r>
    </w:p>
    <w:p w14:paraId="0DC28B13" w14:textId="77777777" w:rsidR="000C4F1D" w:rsidRPr="002C36F8" w:rsidRDefault="001B1979"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Поддържане на да</w:t>
      </w:r>
      <w:r w:rsidR="000C4F1D" w:rsidRPr="002C36F8">
        <w:rPr>
          <w:rFonts w:ascii="Times New Roman" w:eastAsia="Times New Roman" w:hAnsi="Times New Roman" w:cs="Times New Roman"/>
          <w:sz w:val="24"/>
          <w:szCs w:val="24"/>
          <w:lang w:eastAsia="bg-BG"/>
        </w:rPr>
        <w:t>нъчната политика, поощряваща производството и разпространението на биогорива за транспорта, с цел достигане на 10% пазарен дял на биогоривата в България към 2020 г.;</w:t>
      </w:r>
    </w:p>
    <w:p w14:paraId="7B5E0109" w14:textId="77777777" w:rsidR="00E84B1F" w:rsidRPr="002C36F8" w:rsidRDefault="000C4F1D" w:rsidP="001A0506">
      <w:pPr>
        <w:numPr>
          <w:ilvl w:val="0"/>
          <w:numId w:val="8"/>
        </w:numPr>
        <w:tabs>
          <w:tab w:val="clear" w:pos="720"/>
          <w:tab w:val="num" w:pos="567"/>
        </w:tabs>
        <w:spacing w:after="0" w:line="240" w:lineRule="auto"/>
        <w:ind w:left="567" w:right="72" w:hanging="283"/>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Осигуряване на финансово обезпечаване на горните дейности от страна на специалните европейски фондове.</w:t>
      </w:r>
    </w:p>
    <w:p w14:paraId="605AABC1" w14:textId="77777777" w:rsidR="005278D2" w:rsidRDefault="005278D2" w:rsidP="00854C9D">
      <w:pPr>
        <w:spacing w:after="0" w:line="240" w:lineRule="auto"/>
        <w:jc w:val="both"/>
        <w:rPr>
          <w:rFonts w:ascii="Times New Roman" w:eastAsia="Times New Roman" w:hAnsi="Times New Roman" w:cs="Times New Roman"/>
          <w:b/>
          <w:noProof/>
          <w:sz w:val="24"/>
          <w:szCs w:val="24"/>
          <w:lang w:eastAsia="en-GB"/>
        </w:rPr>
      </w:pPr>
    </w:p>
    <w:p w14:paraId="117C0420" w14:textId="77777777" w:rsidR="00DD4C17" w:rsidRPr="001B1979" w:rsidRDefault="008A6C57" w:rsidP="001A0506">
      <w:pPr>
        <w:pStyle w:val="ListParagraph"/>
        <w:numPr>
          <w:ilvl w:val="0"/>
          <w:numId w:val="9"/>
        </w:numPr>
        <w:spacing w:after="0" w:line="240" w:lineRule="auto"/>
        <w:jc w:val="both"/>
        <w:rPr>
          <w:rFonts w:ascii="Times New Roman" w:eastAsia="Times New Roman" w:hAnsi="Times New Roman" w:cs="Times New Roman"/>
          <w:b/>
          <w:noProof/>
          <w:sz w:val="24"/>
          <w:szCs w:val="24"/>
          <w:lang w:eastAsia="en-GB"/>
        </w:rPr>
      </w:pPr>
      <w:r w:rsidRPr="001B1979">
        <w:rPr>
          <w:rFonts w:ascii="Times New Roman" w:eastAsia="Times New Roman" w:hAnsi="Times New Roman" w:cs="Times New Roman"/>
          <w:b/>
          <w:noProof/>
          <w:sz w:val="24"/>
          <w:szCs w:val="24"/>
          <w:lang w:eastAsia="en-GB"/>
        </w:rPr>
        <w:t>Разпределение на автомобилния парк по вида на използваното гориво</w:t>
      </w:r>
    </w:p>
    <w:p w14:paraId="5DB70083"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lastRenderedPageBreak/>
        <w:t>Разпределението на пътните превозни средства по вид и гориво през 2015 г. е представено в отделно</w:t>
      </w:r>
      <w:r w:rsidRPr="008045CD">
        <w:rPr>
          <w:rFonts w:ascii="Times New Roman" w:eastAsia="Times New Roman" w:hAnsi="Times New Roman" w:cs="Times New Roman"/>
          <w:noProof/>
          <w:sz w:val="24"/>
          <w:szCs w:val="24"/>
          <w:lang w:eastAsia="en-GB"/>
        </w:rPr>
        <w:t xml:space="preserve"> </w:t>
      </w:r>
      <w:r w:rsidRPr="002C36F8">
        <w:rPr>
          <w:rFonts w:ascii="Times New Roman" w:eastAsia="Times New Roman" w:hAnsi="Times New Roman" w:cs="Times New Roman"/>
          <w:noProof/>
          <w:sz w:val="24"/>
          <w:szCs w:val="24"/>
          <w:lang w:eastAsia="en-GB"/>
        </w:rPr>
        <w:t>Приложение. С най-голям дял са превозните средства с бензинов двигател, следвани от тези с дизелов двигател.</w:t>
      </w:r>
    </w:p>
    <w:p w14:paraId="509B86F8" w14:textId="77777777" w:rsidR="00DD4C17" w:rsidRPr="002C36F8" w:rsidRDefault="00DD4C17" w:rsidP="00854C9D">
      <w:pPr>
        <w:spacing w:after="0"/>
        <w:ind w:firstLine="567"/>
        <w:jc w:val="both"/>
        <w:rPr>
          <w:rFonts w:ascii="Times New Roman" w:hAnsi="Times New Roman" w:cs="Times New Roman"/>
          <w:noProof/>
          <w:sz w:val="24"/>
          <w:szCs w:val="24"/>
          <w:lang w:eastAsia="en-GB"/>
        </w:rPr>
      </w:pPr>
      <w:r w:rsidRPr="002C36F8">
        <w:rPr>
          <w:rFonts w:ascii="Times New Roman" w:hAnsi="Times New Roman" w:cs="Times New Roman"/>
          <w:noProof/>
          <w:sz w:val="24"/>
          <w:szCs w:val="24"/>
          <w:lang w:eastAsia="en-GB"/>
        </w:rPr>
        <w:t>Общият брой на регистрираните в страната леки автомобили към 31 декември 2015 г., е 3 162 115 бр. От тях с електрически двигатели са 147 автомобили, а с биогориво - само четири.</w:t>
      </w:r>
    </w:p>
    <w:p w14:paraId="7995A8B7" w14:textId="77777777" w:rsidR="00DD4C17" w:rsidRPr="002C36F8" w:rsidRDefault="00B67BC1" w:rsidP="00854C9D">
      <w:pPr>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На таблица 6</w:t>
      </w:r>
      <w:r w:rsidR="00DD4C17" w:rsidRPr="002C36F8">
        <w:rPr>
          <w:rFonts w:ascii="Times New Roman" w:eastAsia="Times New Roman" w:hAnsi="Times New Roman" w:cs="Times New Roman"/>
          <w:noProof/>
          <w:sz w:val="24"/>
          <w:szCs w:val="24"/>
          <w:lang w:eastAsia="en-GB"/>
        </w:rPr>
        <w:t xml:space="preserve"> </w:t>
      </w:r>
      <w:r w:rsidR="00DD4C17" w:rsidRPr="002C36F8">
        <w:rPr>
          <w:rFonts w:ascii="Times New Roman" w:eastAsia="Times New Roman" w:hAnsi="Times New Roman" w:cs="Times New Roman"/>
          <w:noProof/>
          <w:sz w:val="24"/>
          <w:szCs w:val="24"/>
          <w:lang w:val="en-US" w:eastAsia="en-GB"/>
        </w:rPr>
        <w:t>e</w:t>
      </w:r>
      <w:r w:rsidR="00DD4C17" w:rsidRPr="002C36F8">
        <w:rPr>
          <w:rFonts w:ascii="Times New Roman" w:eastAsia="Times New Roman" w:hAnsi="Times New Roman" w:cs="Times New Roman"/>
          <w:noProof/>
          <w:sz w:val="24"/>
          <w:szCs w:val="24"/>
          <w:lang w:eastAsia="en-GB"/>
        </w:rPr>
        <w:t xml:space="preserve"> представен броя на леките автомобили и автобуси по вид използвано гориво.</w:t>
      </w:r>
    </w:p>
    <w:p w14:paraId="7D765F66" w14:textId="77777777" w:rsidR="00DD4C17" w:rsidRPr="002C36F8" w:rsidRDefault="00DD4C17" w:rsidP="00854C9D">
      <w:pPr>
        <w:spacing w:after="0" w:line="240" w:lineRule="auto"/>
        <w:jc w:val="both"/>
        <w:rPr>
          <w:rFonts w:ascii="Times New Roman" w:eastAsia="Times New Roman" w:hAnsi="Times New Roman" w:cs="Times New Roman"/>
          <w:noProof/>
          <w:sz w:val="24"/>
          <w:szCs w:val="24"/>
          <w:lang w:eastAsia="en-GB"/>
        </w:rPr>
      </w:pPr>
    </w:p>
    <w:p w14:paraId="4136D40D" w14:textId="77777777" w:rsidR="00DD4C17" w:rsidRPr="002C36F8" w:rsidRDefault="00B67BC1" w:rsidP="00DD4C17">
      <w:pPr>
        <w:spacing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Таблица 6</w:t>
      </w:r>
      <w:r w:rsidR="00DD4C17" w:rsidRPr="002C36F8">
        <w:rPr>
          <w:rFonts w:ascii="Times New Roman" w:eastAsia="Times New Roman" w:hAnsi="Times New Roman" w:cs="Times New Roman"/>
          <w:noProof/>
          <w:sz w:val="20"/>
          <w:szCs w:val="20"/>
          <w:lang w:eastAsia="en-GB"/>
        </w:rPr>
        <w:t xml:space="preserve"> Брой леки автомобили и автобуси по вид гориво към 31.12.2015 г.</w:t>
      </w:r>
    </w:p>
    <w:p w14:paraId="6F71C445" w14:textId="77777777" w:rsidR="00DD4C17" w:rsidRPr="002C36F8" w:rsidRDefault="00DD4C17" w:rsidP="00DD4C17">
      <w:pPr>
        <w:spacing w:after="0" w:line="240" w:lineRule="auto"/>
        <w:jc w:val="both"/>
        <w:rPr>
          <w:rFonts w:ascii="Times New Roman" w:eastAsia="Times New Roman" w:hAnsi="Times New Roman" w:cs="Times New Roman"/>
          <w:noProof/>
          <w:sz w:val="24"/>
          <w:szCs w:val="24"/>
          <w:lang w:eastAsia="en-GB"/>
        </w:rPr>
      </w:pPr>
    </w:p>
    <w:tbl>
      <w:tblPr>
        <w:tblStyle w:val="TableGrid2"/>
        <w:tblW w:w="0" w:type="auto"/>
        <w:tblLook w:val="04A0" w:firstRow="1" w:lastRow="0" w:firstColumn="1" w:lastColumn="0" w:noHBand="0" w:noVBand="1"/>
      </w:tblPr>
      <w:tblGrid>
        <w:gridCol w:w="3020"/>
        <w:gridCol w:w="1937"/>
        <w:gridCol w:w="1275"/>
      </w:tblGrid>
      <w:tr w:rsidR="00DD4C17" w:rsidRPr="002C36F8" w14:paraId="5EAF3F65" w14:textId="77777777" w:rsidTr="00DD4C17">
        <w:tc>
          <w:tcPr>
            <w:tcW w:w="3020" w:type="dxa"/>
          </w:tcPr>
          <w:p w14:paraId="7A838B3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Вид гориво</w:t>
            </w:r>
          </w:p>
        </w:tc>
        <w:tc>
          <w:tcPr>
            <w:tcW w:w="1937" w:type="dxa"/>
          </w:tcPr>
          <w:p w14:paraId="237FC80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Леки автомобили </w:t>
            </w:r>
          </w:p>
        </w:tc>
        <w:tc>
          <w:tcPr>
            <w:tcW w:w="1275" w:type="dxa"/>
          </w:tcPr>
          <w:p w14:paraId="78292CF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Автобуси </w:t>
            </w:r>
          </w:p>
        </w:tc>
      </w:tr>
      <w:tr w:rsidR="00DD4C17" w:rsidRPr="002C36F8" w14:paraId="284D9BC4" w14:textId="77777777" w:rsidTr="00DD4C17">
        <w:tc>
          <w:tcPr>
            <w:tcW w:w="3020" w:type="dxa"/>
          </w:tcPr>
          <w:p w14:paraId="041FF81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Неизвестен </w:t>
            </w:r>
          </w:p>
        </w:tc>
        <w:tc>
          <w:tcPr>
            <w:tcW w:w="1937" w:type="dxa"/>
          </w:tcPr>
          <w:p w14:paraId="597E0BA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49 711</w:t>
            </w:r>
          </w:p>
        </w:tc>
        <w:tc>
          <w:tcPr>
            <w:tcW w:w="1275" w:type="dxa"/>
          </w:tcPr>
          <w:p w14:paraId="539222C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129</w:t>
            </w:r>
          </w:p>
        </w:tc>
      </w:tr>
      <w:tr w:rsidR="00DD4C17" w:rsidRPr="002C36F8" w14:paraId="3E9E0A57" w14:textId="77777777" w:rsidTr="00DD4C17">
        <w:tc>
          <w:tcPr>
            <w:tcW w:w="3020" w:type="dxa"/>
          </w:tcPr>
          <w:p w14:paraId="445D75C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Водород </w:t>
            </w:r>
          </w:p>
        </w:tc>
        <w:tc>
          <w:tcPr>
            <w:tcW w:w="1937" w:type="dxa"/>
          </w:tcPr>
          <w:p w14:paraId="507B7F3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c>
          <w:tcPr>
            <w:tcW w:w="1275" w:type="dxa"/>
          </w:tcPr>
          <w:p w14:paraId="2CCC8F3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1026EA13" w14:textId="77777777" w:rsidTr="00DD4C17">
        <w:tc>
          <w:tcPr>
            <w:tcW w:w="3020" w:type="dxa"/>
          </w:tcPr>
          <w:p w14:paraId="4FFF86A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Бензин/Природен газ</w:t>
            </w:r>
          </w:p>
        </w:tc>
        <w:tc>
          <w:tcPr>
            <w:tcW w:w="1937" w:type="dxa"/>
          </w:tcPr>
          <w:p w14:paraId="18DD360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11 901</w:t>
            </w:r>
          </w:p>
        </w:tc>
        <w:tc>
          <w:tcPr>
            <w:tcW w:w="1275" w:type="dxa"/>
          </w:tcPr>
          <w:p w14:paraId="796E1BA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12</w:t>
            </w:r>
          </w:p>
        </w:tc>
      </w:tr>
      <w:tr w:rsidR="00DD4C17" w:rsidRPr="002C36F8" w14:paraId="700F1C86" w14:textId="77777777" w:rsidTr="00DD4C17">
        <w:tc>
          <w:tcPr>
            <w:tcW w:w="3020" w:type="dxa"/>
          </w:tcPr>
          <w:p w14:paraId="3FEE94A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Бензин/Втечнен газ</w:t>
            </w:r>
          </w:p>
        </w:tc>
        <w:tc>
          <w:tcPr>
            <w:tcW w:w="1937" w:type="dxa"/>
          </w:tcPr>
          <w:p w14:paraId="3ECA660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120 745</w:t>
            </w:r>
          </w:p>
        </w:tc>
        <w:tc>
          <w:tcPr>
            <w:tcW w:w="1275" w:type="dxa"/>
          </w:tcPr>
          <w:p w14:paraId="75B9B2D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27</w:t>
            </w:r>
          </w:p>
        </w:tc>
      </w:tr>
      <w:tr w:rsidR="00DD4C17" w:rsidRPr="002C36F8" w14:paraId="7F5CF1CA" w14:textId="77777777" w:rsidTr="00DD4C17">
        <w:tc>
          <w:tcPr>
            <w:tcW w:w="3020" w:type="dxa"/>
          </w:tcPr>
          <w:p w14:paraId="0EC63DE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Природен газ</w:t>
            </w:r>
          </w:p>
        </w:tc>
        <w:tc>
          <w:tcPr>
            <w:tcW w:w="1937" w:type="dxa"/>
          </w:tcPr>
          <w:p w14:paraId="6640F50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1 001</w:t>
            </w:r>
          </w:p>
        </w:tc>
        <w:tc>
          <w:tcPr>
            <w:tcW w:w="1275" w:type="dxa"/>
          </w:tcPr>
          <w:p w14:paraId="6504AC9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340</w:t>
            </w:r>
          </w:p>
        </w:tc>
      </w:tr>
      <w:tr w:rsidR="00DD4C17" w:rsidRPr="002C36F8" w14:paraId="21DAF92D" w14:textId="77777777" w:rsidTr="00DD4C17">
        <w:tc>
          <w:tcPr>
            <w:tcW w:w="3020" w:type="dxa"/>
          </w:tcPr>
          <w:p w14:paraId="2BB4DEA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Дизел/Електр.</w:t>
            </w:r>
          </w:p>
        </w:tc>
        <w:tc>
          <w:tcPr>
            <w:tcW w:w="1937" w:type="dxa"/>
          </w:tcPr>
          <w:p w14:paraId="54CE615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40</w:t>
            </w:r>
          </w:p>
        </w:tc>
        <w:tc>
          <w:tcPr>
            <w:tcW w:w="1275" w:type="dxa"/>
          </w:tcPr>
          <w:p w14:paraId="0C793B0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w:t>
            </w:r>
          </w:p>
        </w:tc>
      </w:tr>
      <w:tr w:rsidR="00DD4C17" w:rsidRPr="002C36F8" w14:paraId="429D7E55" w14:textId="77777777" w:rsidTr="00DD4C17">
        <w:tc>
          <w:tcPr>
            <w:tcW w:w="3020" w:type="dxa"/>
          </w:tcPr>
          <w:p w14:paraId="6896079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Бензин/Електр.</w:t>
            </w:r>
          </w:p>
        </w:tc>
        <w:tc>
          <w:tcPr>
            <w:tcW w:w="1937" w:type="dxa"/>
          </w:tcPr>
          <w:p w14:paraId="5EAD25C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1 262</w:t>
            </w:r>
          </w:p>
        </w:tc>
        <w:tc>
          <w:tcPr>
            <w:tcW w:w="1275" w:type="dxa"/>
          </w:tcPr>
          <w:p w14:paraId="339051C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06B9691D" w14:textId="77777777" w:rsidTr="00DD4C17">
        <w:tc>
          <w:tcPr>
            <w:tcW w:w="3020" w:type="dxa"/>
          </w:tcPr>
          <w:p w14:paraId="2F044A3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Биогориво </w:t>
            </w:r>
          </w:p>
        </w:tc>
        <w:tc>
          <w:tcPr>
            <w:tcW w:w="1937" w:type="dxa"/>
          </w:tcPr>
          <w:p w14:paraId="529FD07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w:t>
            </w:r>
          </w:p>
        </w:tc>
        <w:tc>
          <w:tcPr>
            <w:tcW w:w="1275" w:type="dxa"/>
          </w:tcPr>
          <w:p w14:paraId="580D065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w:t>
            </w:r>
          </w:p>
        </w:tc>
      </w:tr>
      <w:tr w:rsidR="00DD4C17" w:rsidRPr="002C36F8" w14:paraId="75C8B8A4" w14:textId="77777777" w:rsidTr="00DD4C17">
        <w:tc>
          <w:tcPr>
            <w:tcW w:w="3020" w:type="dxa"/>
          </w:tcPr>
          <w:p w14:paraId="12023CC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Втечнен газ</w:t>
            </w:r>
          </w:p>
        </w:tc>
        <w:tc>
          <w:tcPr>
            <w:tcW w:w="1937" w:type="dxa"/>
          </w:tcPr>
          <w:p w14:paraId="7AE25D7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161</w:t>
            </w:r>
          </w:p>
        </w:tc>
        <w:tc>
          <w:tcPr>
            <w:tcW w:w="1275" w:type="dxa"/>
          </w:tcPr>
          <w:p w14:paraId="5928301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w:t>
            </w:r>
          </w:p>
        </w:tc>
      </w:tr>
      <w:tr w:rsidR="00DD4C17" w:rsidRPr="002C36F8" w14:paraId="7029AF3F" w14:textId="77777777" w:rsidTr="00DD4C17">
        <w:tc>
          <w:tcPr>
            <w:tcW w:w="3020" w:type="dxa"/>
          </w:tcPr>
          <w:p w14:paraId="30605BD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Газ </w:t>
            </w:r>
          </w:p>
        </w:tc>
        <w:tc>
          <w:tcPr>
            <w:tcW w:w="1937" w:type="dxa"/>
          </w:tcPr>
          <w:p w14:paraId="7BAF650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41</w:t>
            </w:r>
          </w:p>
        </w:tc>
        <w:tc>
          <w:tcPr>
            <w:tcW w:w="1275" w:type="dxa"/>
          </w:tcPr>
          <w:p w14:paraId="12C379F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64</w:t>
            </w:r>
          </w:p>
        </w:tc>
      </w:tr>
      <w:tr w:rsidR="00DD4C17" w:rsidRPr="002C36F8" w14:paraId="6B08DF04" w14:textId="77777777" w:rsidTr="00DD4C17">
        <w:tc>
          <w:tcPr>
            <w:tcW w:w="3020" w:type="dxa"/>
          </w:tcPr>
          <w:p w14:paraId="0A34F38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Електрически двигател</w:t>
            </w:r>
          </w:p>
        </w:tc>
        <w:tc>
          <w:tcPr>
            <w:tcW w:w="1937" w:type="dxa"/>
          </w:tcPr>
          <w:p w14:paraId="2C6F74C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147</w:t>
            </w:r>
          </w:p>
        </w:tc>
        <w:tc>
          <w:tcPr>
            <w:tcW w:w="1275" w:type="dxa"/>
          </w:tcPr>
          <w:p w14:paraId="4ADF13D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w:t>
            </w:r>
          </w:p>
        </w:tc>
      </w:tr>
      <w:tr w:rsidR="00DD4C17" w:rsidRPr="002C36F8" w14:paraId="70ADD4BE" w14:textId="77777777" w:rsidTr="00DD4C17">
        <w:tc>
          <w:tcPr>
            <w:tcW w:w="3020" w:type="dxa"/>
          </w:tcPr>
          <w:p w14:paraId="4E609A5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Дизел/Газ</w:t>
            </w:r>
          </w:p>
        </w:tc>
        <w:tc>
          <w:tcPr>
            <w:tcW w:w="1937" w:type="dxa"/>
          </w:tcPr>
          <w:p w14:paraId="6B0D8EB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28</w:t>
            </w:r>
          </w:p>
        </w:tc>
        <w:tc>
          <w:tcPr>
            <w:tcW w:w="1275" w:type="dxa"/>
          </w:tcPr>
          <w:p w14:paraId="0228C22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10</w:t>
            </w:r>
          </w:p>
        </w:tc>
      </w:tr>
      <w:tr w:rsidR="00DD4C17" w:rsidRPr="002C36F8" w14:paraId="774803A1" w14:textId="77777777" w:rsidTr="00DD4C17">
        <w:tc>
          <w:tcPr>
            <w:tcW w:w="3020" w:type="dxa"/>
          </w:tcPr>
          <w:p w14:paraId="57C7772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Дизел </w:t>
            </w:r>
          </w:p>
        </w:tc>
        <w:tc>
          <w:tcPr>
            <w:tcW w:w="1937" w:type="dxa"/>
          </w:tcPr>
          <w:p w14:paraId="1A332D4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1 150 010</w:t>
            </w:r>
          </w:p>
        </w:tc>
        <w:tc>
          <w:tcPr>
            <w:tcW w:w="1275" w:type="dxa"/>
          </w:tcPr>
          <w:p w14:paraId="385D887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20 751</w:t>
            </w:r>
          </w:p>
        </w:tc>
      </w:tr>
      <w:tr w:rsidR="00DD4C17" w:rsidRPr="002C36F8" w14:paraId="3580A5BF" w14:textId="77777777" w:rsidTr="00DD4C17">
        <w:tc>
          <w:tcPr>
            <w:tcW w:w="3020" w:type="dxa"/>
          </w:tcPr>
          <w:p w14:paraId="20C03A9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Бензин/Газ</w:t>
            </w:r>
          </w:p>
        </w:tc>
        <w:tc>
          <w:tcPr>
            <w:tcW w:w="1937" w:type="dxa"/>
          </w:tcPr>
          <w:p w14:paraId="09956E1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62 881</w:t>
            </w:r>
          </w:p>
        </w:tc>
        <w:tc>
          <w:tcPr>
            <w:tcW w:w="1275" w:type="dxa"/>
          </w:tcPr>
          <w:p w14:paraId="44ACD55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51</w:t>
            </w:r>
          </w:p>
        </w:tc>
      </w:tr>
      <w:tr w:rsidR="00DD4C17" w:rsidRPr="002C36F8" w14:paraId="71F1363C" w14:textId="77777777" w:rsidTr="00DD4C17">
        <w:tc>
          <w:tcPr>
            <w:tcW w:w="3020" w:type="dxa"/>
          </w:tcPr>
          <w:p w14:paraId="23636D0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Бензин </w:t>
            </w:r>
          </w:p>
        </w:tc>
        <w:tc>
          <w:tcPr>
            <w:tcW w:w="1937" w:type="dxa"/>
          </w:tcPr>
          <w:p w14:paraId="38595FF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1 764 183</w:t>
            </w:r>
          </w:p>
        </w:tc>
        <w:tc>
          <w:tcPr>
            <w:tcW w:w="1275" w:type="dxa"/>
          </w:tcPr>
          <w:p w14:paraId="57C3145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2 074</w:t>
            </w:r>
          </w:p>
        </w:tc>
      </w:tr>
    </w:tbl>
    <w:p w14:paraId="4DBA7EB4" w14:textId="77777777" w:rsidR="00DD4C17" w:rsidRPr="002C36F8" w:rsidRDefault="00DD4C17" w:rsidP="00DD4C17">
      <w:pPr>
        <w:rPr>
          <w:rFonts w:ascii="Times New Roman" w:hAnsi="Times New Roman" w:cs="Times New Roman"/>
          <w:i/>
          <w:sz w:val="20"/>
          <w:szCs w:val="20"/>
        </w:rPr>
      </w:pPr>
      <w:r w:rsidRPr="002C36F8">
        <w:rPr>
          <w:rFonts w:ascii="Times New Roman" w:hAnsi="Times New Roman" w:cs="Times New Roman"/>
          <w:i/>
          <w:sz w:val="20"/>
          <w:szCs w:val="20"/>
        </w:rPr>
        <w:t>Източник: ГД „Национална полиция“ - МВР</w:t>
      </w:r>
    </w:p>
    <w:p w14:paraId="069B903E" w14:textId="77777777" w:rsidR="00DD4C17" w:rsidRPr="002C36F8" w:rsidRDefault="00DD4C17" w:rsidP="00854C9D">
      <w:pPr>
        <w:spacing w:after="0"/>
        <w:ind w:firstLine="567"/>
        <w:jc w:val="both"/>
        <w:rPr>
          <w:rFonts w:ascii="Times New Roman" w:hAnsi="Times New Roman" w:cs="Times New Roman"/>
          <w:sz w:val="24"/>
          <w:szCs w:val="24"/>
        </w:rPr>
      </w:pPr>
      <w:r w:rsidRPr="002C36F8">
        <w:rPr>
          <w:rFonts w:ascii="Times New Roman" w:hAnsi="Times New Roman" w:cs="Times New Roman"/>
          <w:sz w:val="24"/>
          <w:szCs w:val="24"/>
        </w:rPr>
        <w:t>Преобладават леките автомобили, ползващи бензиново гориво -1 764 183 бр., следвани от леките автомобили на дизелово гориво-1 150 010 бр. Леките автомобили, ползващи бензин и газ са 62 881 бр. Само на газ са 41 автомобила. 40 автомобила са задвижвани с дизелово гориво и електрическа енергия, а 1262 – с бензин и електрическа енергия. С природен газ се задвижват едва 1001 автомобила. От общия брой автобуси-23 470, с най-голям дял са тези на дизелово гориво-20 751 бр.</w:t>
      </w:r>
    </w:p>
    <w:p w14:paraId="18F94DA1"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От общия брой товарни автомобили – 396 583 бр., с най-голям дял са тези на дизелово гориво – 322 293 бр., следвани от автомобилите на бензин – 63 346 бр. Товарните автомобили на бензин и газ са 3 166 бр. Фабрично само с природен газ са 503 автомобила. </w:t>
      </w:r>
    </w:p>
    <w:p w14:paraId="2F23C852"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Изцяло с електрически двигател са 31 автомобила. С бензин и електрическа енергия се задвижват 227 автомобила , а с дизел и електрическа енергия само 3. </w:t>
      </w:r>
    </w:p>
    <w:p w14:paraId="0AC8B96D"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От общия брой Специалните автомобили – 37 349, най-много са тези са с дизелов двигател – 29 961 бр.</w:t>
      </w:r>
    </w:p>
    <w:p w14:paraId="517E3096" w14:textId="77777777" w:rsidR="00854C9D" w:rsidRPr="002C36F8" w:rsidRDefault="00854C9D" w:rsidP="00854C9D">
      <w:pPr>
        <w:spacing w:after="0" w:line="240" w:lineRule="auto"/>
        <w:jc w:val="both"/>
        <w:rPr>
          <w:rFonts w:ascii="Times New Roman" w:eastAsia="Times New Roman" w:hAnsi="Times New Roman" w:cs="Times New Roman"/>
          <w:noProof/>
          <w:sz w:val="24"/>
          <w:szCs w:val="24"/>
          <w:lang w:eastAsia="en-GB"/>
        </w:rPr>
      </w:pPr>
    </w:p>
    <w:p w14:paraId="711AC7DA" w14:textId="77777777" w:rsidR="00DD4C17" w:rsidRPr="002C36F8" w:rsidRDefault="00B67BC1" w:rsidP="00DD4C17">
      <w:pPr>
        <w:spacing w:after="0" w:line="240" w:lineRule="auto"/>
        <w:jc w:val="both"/>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Таблица 7</w:t>
      </w:r>
      <w:r w:rsidR="00DD4C17" w:rsidRPr="002C36F8">
        <w:rPr>
          <w:rFonts w:ascii="Times New Roman" w:eastAsia="Times New Roman" w:hAnsi="Times New Roman" w:cs="Times New Roman"/>
          <w:noProof/>
          <w:sz w:val="20"/>
          <w:szCs w:val="20"/>
          <w:lang w:eastAsia="en-GB"/>
        </w:rPr>
        <w:t xml:space="preserve"> Брой товарни автомобили и специални автомобили по вид гориво към 31.12.2015 г.</w:t>
      </w:r>
    </w:p>
    <w:p w14:paraId="2B71DC79" w14:textId="77777777" w:rsidR="00DD4C17" w:rsidRPr="002C36F8" w:rsidRDefault="00DD4C17" w:rsidP="00DD4C17">
      <w:pPr>
        <w:spacing w:after="0" w:line="240" w:lineRule="auto"/>
        <w:jc w:val="both"/>
        <w:rPr>
          <w:rFonts w:ascii="Times New Roman" w:eastAsia="Times New Roman" w:hAnsi="Times New Roman" w:cs="Times New Roman"/>
          <w:noProof/>
          <w:sz w:val="24"/>
          <w:szCs w:val="24"/>
          <w:lang w:eastAsia="en-GB"/>
        </w:rPr>
      </w:pPr>
    </w:p>
    <w:tbl>
      <w:tblPr>
        <w:tblStyle w:val="TableGrid2"/>
        <w:tblW w:w="0" w:type="auto"/>
        <w:tblLook w:val="04A0" w:firstRow="1" w:lastRow="0" w:firstColumn="1" w:lastColumn="0" w:noHBand="0" w:noVBand="1"/>
      </w:tblPr>
      <w:tblGrid>
        <w:gridCol w:w="2547"/>
        <w:gridCol w:w="1559"/>
        <w:gridCol w:w="1701"/>
      </w:tblGrid>
      <w:tr w:rsidR="00DD4C17" w:rsidRPr="002C36F8" w14:paraId="102ABC81" w14:textId="77777777" w:rsidTr="00DD4C17">
        <w:tc>
          <w:tcPr>
            <w:tcW w:w="2547" w:type="dxa"/>
          </w:tcPr>
          <w:p w14:paraId="4A23E58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Вид гориво</w:t>
            </w:r>
          </w:p>
        </w:tc>
        <w:tc>
          <w:tcPr>
            <w:tcW w:w="1559" w:type="dxa"/>
          </w:tcPr>
          <w:p w14:paraId="5E2A12A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Товарни  автомобили </w:t>
            </w:r>
          </w:p>
        </w:tc>
        <w:tc>
          <w:tcPr>
            <w:tcW w:w="1701" w:type="dxa"/>
          </w:tcPr>
          <w:p w14:paraId="0F1ABF5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Специални автомобили</w:t>
            </w:r>
          </w:p>
        </w:tc>
      </w:tr>
      <w:tr w:rsidR="00DD4C17" w:rsidRPr="002C36F8" w14:paraId="4993E172" w14:textId="77777777" w:rsidTr="00DD4C17">
        <w:tc>
          <w:tcPr>
            <w:tcW w:w="2547" w:type="dxa"/>
          </w:tcPr>
          <w:p w14:paraId="528E632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Неизвестен </w:t>
            </w:r>
          </w:p>
        </w:tc>
        <w:tc>
          <w:tcPr>
            <w:tcW w:w="1559" w:type="dxa"/>
          </w:tcPr>
          <w:p w14:paraId="3B7F85A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1 781</w:t>
            </w:r>
          </w:p>
        </w:tc>
        <w:tc>
          <w:tcPr>
            <w:tcW w:w="1701" w:type="dxa"/>
          </w:tcPr>
          <w:p w14:paraId="2637E68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86</w:t>
            </w:r>
          </w:p>
        </w:tc>
      </w:tr>
      <w:tr w:rsidR="00DD4C17" w:rsidRPr="002C36F8" w14:paraId="3443B051" w14:textId="77777777" w:rsidTr="00DD4C17">
        <w:tc>
          <w:tcPr>
            <w:tcW w:w="2547" w:type="dxa"/>
          </w:tcPr>
          <w:p w14:paraId="493CBDC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Водород </w:t>
            </w:r>
          </w:p>
        </w:tc>
        <w:tc>
          <w:tcPr>
            <w:tcW w:w="1559" w:type="dxa"/>
          </w:tcPr>
          <w:p w14:paraId="3A49AD0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c>
          <w:tcPr>
            <w:tcW w:w="1701" w:type="dxa"/>
          </w:tcPr>
          <w:p w14:paraId="377F935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3AE66DD2" w14:textId="77777777" w:rsidTr="00DD4C17">
        <w:tc>
          <w:tcPr>
            <w:tcW w:w="2547" w:type="dxa"/>
          </w:tcPr>
          <w:p w14:paraId="23CFF31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lastRenderedPageBreak/>
              <w:t>Бензин/Природен газ</w:t>
            </w:r>
          </w:p>
        </w:tc>
        <w:tc>
          <w:tcPr>
            <w:tcW w:w="1559" w:type="dxa"/>
          </w:tcPr>
          <w:p w14:paraId="7BAE514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1 255</w:t>
            </w:r>
          </w:p>
        </w:tc>
        <w:tc>
          <w:tcPr>
            <w:tcW w:w="1701" w:type="dxa"/>
          </w:tcPr>
          <w:p w14:paraId="69714EB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45</w:t>
            </w:r>
          </w:p>
        </w:tc>
      </w:tr>
      <w:tr w:rsidR="00DD4C17" w:rsidRPr="002C36F8" w14:paraId="5F9E275A" w14:textId="77777777" w:rsidTr="00DD4C17">
        <w:tc>
          <w:tcPr>
            <w:tcW w:w="2547" w:type="dxa"/>
          </w:tcPr>
          <w:p w14:paraId="350FDDD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Бензин/Втечнен газ</w:t>
            </w:r>
          </w:p>
        </w:tc>
        <w:tc>
          <w:tcPr>
            <w:tcW w:w="1559" w:type="dxa"/>
          </w:tcPr>
          <w:p w14:paraId="3CBF598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3 896</w:t>
            </w:r>
          </w:p>
        </w:tc>
        <w:tc>
          <w:tcPr>
            <w:tcW w:w="1701" w:type="dxa"/>
          </w:tcPr>
          <w:p w14:paraId="13DB502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206</w:t>
            </w:r>
          </w:p>
        </w:tc>
      </w:tr>
      <w:tr w:rsidR="00DD4C17" w:rsidRPr="002C36F8" w14:paraId="117716BA" w14:textId="77777777" w:rsidTr="00DD4C17">
        <w:tc>
          <w:tcPr>
            <w:tcW w:w="2547" w:type="dxa"/>
          </w:tcPr>
          <w:p w14:paraId="5158A35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Природен газ</w:t>
            </w:r>
          </w:p>
        </w:tc>
        <w:tc>
          <w:tcPr>
            <w:tcW w:w="1559" w:type="dxa"/>
          </w:tcPr>
          <w:p w14:paraId="507E9C1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503</w:t>
            </w:r>
          </w:p>
        </w:tc>
        <w:tc>
          <w:tcPr>
            <w:tcW w:w="1701" w:type="dxa"/>
          </w:tcPr>
          <w:p w14:paraId="2437F32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23</w:t>
            </w:r>
          </w:p>
        </w:tc>
      </w:tr>
      <w:tr w:rsidR="00DD4C17" w:rsidRPr="002C36F8" w14:paraId="4849B8F7" w14:textId="77777777" w:rsidTr="00DD4C17">
        <w:tc>
          <w:tcPr>
            <w:tcW w:w="2547" w:type="dxa"/>
          </w:tcPr>
          <w:p w14:paraId="20AF99F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Дизел/Електр.</w:t>
            </w:r>
          </w:p>
        </w:tc>
        <w:tc>
          <w:tcPr>
            <w:tcW w:w="1559" w:type="dxa"/>
          </w:tcPr>
          <w:p w14:paraId="0BB25BA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w:t>
            </w:r>
          </w:p>
        </w:tc>
        <w:tc>
          <w:tcPr>
            <w:tcW w:w="1701" w:type="dxa"/>
          </w:tcPr>
          <w:p w14:paraId="5472844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w:t>
            </w:r>
          </w:p>
        </w:tc>
      </w:tr>
      <w:tr w:rsidR="00DD4C17" w:rsidRPr="002C36F8" w14:paraId="0C63293E" w14:textId="77777777" w:rsidTr="00DD4C17">
        <w:tc>
          <w:tcPr>
            <w:tcW w:w="2547" w:type="dxa"/>
          </w:tcPr>
          <w:p w14:paraId="4F49AA6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Бензин/Електр.</w:t>
            </w:r>
          </w:p>
        </w:tc>
        <w:tc>
          <w:tcPr>
            <w:tcW w:w="1559" w:type="dxa"/>
          </w:tcPr>
          <w:p w14:paraId="581B26F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227</w:t>
            </w:r>
          </w:p>
        </w:tc>
        <w:tc>
          <w:tcPr>
            <w:tcW w:w="1701" w:type="dxa"/>
          </w:tcPr>
          <w:p w14:paraId="24B344C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14E47AD8" w14:textId="77777777" w:rsidTr="00DD4C17">
        <w:tc>
          <w:tcPr>
            <w:tcW w:w="2547" w:type="dxa"/>
          </w:tcPr>
          <w:p w14:paraId="5331EEE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Биогориво </w:t>
            </w:r>
          </w:p>
        </w:tc>
        <w:tc>
          <w:tcPr>
            <w:tcW w:w="1559" w:type="dxa"/>
          </w:tcPr>
          <w:p w14:paraId="3DA7541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4</w:t>
            </w:r>
          </w:p>
        </w:tc>
        <w:tc>
          <w:tcPr>
            <w:tcW w:w="1701" w:type="dxa"/>
          </w:tcPr>
          <w:p w14:paraId="57528C7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w:t>
            </w:r>
          </w:p>
        </w:tc>
      </w:tr>
      <w:tr w:rsidR="00DD4C17" w:rsidRPr="002C36F8" w14:paraId="30D1332E" w14:textId="77777777" w:rsidTr="00DD4C17">
        <w:tc>
          <w:tcPr>
            <w:tcW w:w="2547" w:type="dxa"/>
          </w:tcPr>
          <w:p w14:paraId="1C49655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Втечнен газ</w:t>
            </w:r>
          </w:p>
        </w:tc>
        <w:tc>
          <w:tcPr>
            <w:tcW w:w="1559" w:type="dxa"/>
          </w:tcPr>
          <w:p w14:paraId="46C2AA2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15</w:t>
            </w:r>
          </w:p>
        </w:tc>
        <w:tc>
          <w:tcPr>
            <w:tcW w:w="1701" w:type="dxa"/>
          </w:tcPr>
          <w:p w14:paraId="35058BC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1EF6E3CC" w14:textId="77777777" w:rsidTr="00DD4C17">
        <w:tc>
          <w:tcPr>
            <w:tcW w:w="2547" w:type="dxa"/>
          </w:tcPr>
          <w:p w14:paraId="64A5414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Газ </w:t>
            </w:r>
          </w:p>
        </w:tc>
        <w:tc>
          <w:tcPr>
            <w:tcW w:w="1559" w:type="dxa"/>
          </w:tcPr>
          <w:p w14:paraId="32C62B4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34</w:t>
            </w:r>
          </w:p>
        </w:tc>
        <w:tc>
          <w:tcPr>
            <w:tcW w:w="1701" w:type="dxa"/>
          </w:tcPr>
          <w:p w14:paraId="7776ADC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w:t>
            </w:r>
          </w:p>
        </w:tc>
      </w:tr>
      <w:tr w:rsidR="00DD4C17" w:rsidRPr="002C36F8" w14:paraId="44444006" w14:textId="77777777" w:rsidTr="00DD4C17">
        <w:tc>
          <w:tcPr>
            <w:tcW w:w="2547" w:type="dxa"/>
          </w:tcPr>
          <w:p w14:paraId="008DDDD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Електрически двигател</w:t>
            </w:r>
          </w:p>
        </w:tc>
        <w:tc>
          <w:tcPr>
            <w:tcW w:w="1559" w:type="dxa"/>
          </w:tcPr>
          <w:p w14:paraId="5D84DEB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34</w:t>
            </w:r>
          </w:p>
        </w:tc>
        <w:tc>
          <w:tcPr>
            <w:tcW w:w="1701" w:type="dxa"/>
          </w:tcPr>
          <w:p w14:paraId="4D62041A"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0</w:t>
            </w:r>
          </w:p>
        </w:tc>
      </w:tr>
      <w:tr w:rsidR="00DD4C17" w:rsidRPr="002C36F8" w14:paraId="19139107" w14:textId="77777777" w:rsidTr="00DD4C17">
        <w:tc>
          <w:tcPr>
            <w:tcW w:w="2547" w:type="dxa"/>
          </w:tcPr>
          <w:p w14:paraId="0958F33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Дизел/Газ</w:t>
            </w:r>
          </w:p>
        </w:tc>
        <w:tc>
          <w:tcPr>
            <w:tcW w:w="1559" w:type="dxa"/>
          </w:tcPr>
          <w:p w14:paraId="3477079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26</w:t>
            </w:r>
          </w:p>
        </w:tc>
        <w:tc>
          <w:tcPr>
            <w:tcW w:w="1701" w:type="dxa"/>
          </w:tcPr>
          <w:p w14:paraId="556B867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7</w:t>
            </w:r>
          </w:p>
        </w:tc>
      </w:tr>
      <w:tr w:rsidR="00DD4C17" w:rsidRPr="002C36F8" w14:paraId="414636F7" w14:textId="77777777" w:rsidTr="00DD4C17">
        <w:tc>
          <w:tcPr>
            <w:tcW w:w="2547" w:type="dxa"/>
          </w:tcPr>
          <w:p w14:paraId="1EAF79A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Дизел </w:t>
            </w:r>
          </w:p>
        </w:tc>
        <w:tc>
          <w:tcPr>
            <w:tcW w:w="1559" w:type="dxa"/>
          </w:tcPr>
          <w:p w14:paraId="4CDBF4A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322 293</w:t>
            </w:r>
          </w:p>
        </w:tc>
        <w:tc>
          <w:tcPr>
            <w:tcW w:w="1701" w:type="dxa"/>
          </w:tcPr>
          <w:p w14:paraId="2D44BE5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29 961</w:t>
            </w:r>
          </w:p>
        </w:tc>
      </w:tr>
      <w:tr w:rsidR="00DD4C17" w:rsidRPr="002C36F8" w14:paraId="5DD1D1D2" w14:textId="77777777" w:rsidTr="00DD4C17">
        <w:tc>
          <w:tcPr>
            <w:tcW w:w="2547" w:type="dxa"/>
          </w:tcPr>
          <w:p w14:paraId="3DB7802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Бензин/Газ</w:t>
            </w:r>
          </w:p>
        </w:tc>
        <w:tc>
          <w:tcPr>
            <w:tcW w:w="1559" w:type="dxa"/>
          </w:tcPr>
          <w:p w14:paraId="43BBB9D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3 166</w:t>
            </w:r>
          </w:p>
        </w:tc>
        <w:tc>
          <w:tcPr>
            <w:tcW w:w="1701" w:type="dxa"/>
          </w:tcPr>
          <w:p w14:paraId="13D497D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157</w:t>
            </w:r>
          </w:p>
        </w:tc>
      </w:tr>
      <w:tr w:rsidR="00DD4C17" w:rsidRPr="002C36F8" w14:paraId="16DB92B2" w14:textId="77777777" w:rsidTr="00DD4C17">
        <w:tc>
          <w:tcPr>
            <w:tcW w:w="2547" w:type="dxa"/>
          </w:tcPr>
          <w:p w14:paraId="556B406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Бензин </w:t>
            </w:r>
          </w:p>
        </w:tc>
        <w:tc>
          <w:tcPr>
            <w:tcW w:w="1559" w:type="dxa"/>
          </w:tcPr>
          <w:p w14:paraId="0E92847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63 346</w:t>
            </w:r>
          </w:p>
        </w:tc>
        <w:tc>
          <w:tcPr>
            <w:tcW w:w="1701" w:type="dxa"/>
          </w:tcPr>
          <w:p w14:paraId="25F082E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6 860</w:t>
            </w:r>
          </w:p>
        </w:tc>
      </w:tr>
    </w:tbl>
    <w:p w14:paraId="00976CEB" w14:textId="77777777" w:rsidR="00DD4C17" w:rsidRPr="002C36F8" w:rsidRDefault="00DD4C17" w:rsidP="00DD4C17">
      <w:pPr>
        <w:rPr>
          <w:rFonts w:ascii="Times New Roman" w:hAnsi="Times New Roman" w:cs="Times New Roman"/>
          <w:i/>
          <w:sz w:val="20"/>
          <w:szCs w:val="20"/>
        </w:rPr>
      </w:pPr>
      <w:r w:rsidRPr="002C36F8">
        <w:rPr>
          <w:rFonts w:ascii="Times New Roman" w:hAnsi="Times New Roman" w:cs="Times New Roman"/>
          <w:i/>
          <w:sz w:val="20"/>
          <w:szCs w:val="20"/>
        </w:rPr>
        <w:t>Източник: ГД „Национална полиция“ - МВР</w:t>
      </w:r>
    </w:p>
    <w:p w14:paraId="4C3A13F7" w14:textId="77777777" w:rsidR="00DD4C17" w:rsidRPr="002C36F8" w:rsidRDefault="00B67BC1" w:rsidP="00DD4C17">
      <w:pPr>
        <w:rPr>
          <w:rFonts w:ascii="Times New Roman" w:hAnsi="Times New Roman" w:cs="Times New Roman"/>
          <w:sz w:val="20"/>
          <w:szCs w:val="20"/>
        </w:rPr>
      </w:pPr>
      <w:r>
        <w:rPr>
          <w:rFonts w:ascii="Times New Roman" w:hAnsi="Times New Roman" w:cs="Times New Roman"/>
          <w:sz w:val="20"/>
          <w:szCs w:val="20"/>
        </w:rPr>
        <w:t>Таблица 8</w:t>
      </w:r>
      <w:r w:rsidR="00DD4C17" w:rsidRPr="002C36F8">
        <w:rPr>
          <w:rFonts w:ascii="Times New Roman" w:hAnsi="Times New Roman" w:cs="Times New Roman"/>
          <w:sz w:val="20"/>
          <w:szCs w:val="20"/>
        </w:rPr>
        <w:t xml:space="preserve"> Общ брой автомобили по вид на използвано гориво към 31.12.2015 г.</w:t>
      </w:r>
    </w:p>
    <w:tbl>
      <w:tblPr>
        <w:tblStyle w:val="TableGrid2"/>
        <w:tblW w:w="4265" w:type="dxa"/>
        <w:tblLook w:val="04A0" w:firstRow="1" w:lastRow="0" w:firstColumn="1" w:lastColumn="0" w:noHBand="0" w:noVBand="1"/>
      </w:tblPr>
      <w:tblGrid>
        <w:gridCol w:w="2830"/>
        <w:gridCol w:w="1435"/>
      </w:tblGrid>
      <w:tr w:rsidR="00DD4C17" w:rsidRPr="002C36F8" w14:paraId="351D5F1B" w14:textId="77777777" w:rsidTr="00DD4C17">
        <w:tc>
          <w:tcPr>
            <w:tcW w:w="2830" w:type="dxa"/>
          </w:tcPr>
          <w:p w14:paraId="6B1CC51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Вид гориво</w:t>
            </w:r>
          </w:p>
        </w:tc>
        <w:tc>
          <w:tcPr>
            <w:tcW w:w="1435" w:type="dxa"/>
          </w:tcPr>
          <w:p w14:paraId="49C21145"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Общ брой автомобили </w:t>
            </w:r>
          </w:p>
        </w:tc>
      </w:tr>
      <w:tr w:rsidR="00DD4C17" w:rsidRPr="002C36F8" w14:paraId="4C1A5460" w14:textId="77777777" w:rsidTr="00DD4C17">
        <w:tc>
          <w:tcPr>
            <w:tcW w:w="2830" w:type="dxa"/>
          </w:tcPr>
          <w:p w14:paraId="42D65CE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Неизвестен </w:t>
            </w:r>
          </w:p>
        </w:tc>
        <w:tc>
          <w:tcPr>
            <w:tcW w:w="1435" w:type="dxa"/>
          </w:tcPr>
          <w:p w14:paraId="34B62E48"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51 739</w:t>
            </w:r>
          </w:p>
        </w:tc>
      </w:tr>
      <w:tr w:rsidR="00DD4C17" w:rsidRPr="002C36F8" w14:paraId="12D1B660" w14:textId="77777777" w:rsidTr="00DD4C17">
        <w:tc>
          <w:tcPr>
            <w:tcW w:w="2830" w:type="dxa"/>
          </w:tcPr>
          <w:p w14:paraId="2923C70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Водород </w:t>
            </w:r>
          </w:p>
        </w:tc>
        <w:tc>
          <w:tcPr>
            <w:tcW w:w="1435" w:type="dxa"/>
          </w:tcPr>
          <w:p w14:paraId="5C96734A"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0</w:t>
            </w:r>
          </w:p>
        </w:tc>
      </w:tr>
      <w:tr w:rsidR="00DD4C17" w:rsidRPr="002C36F8" w14:paraId="69EBB690" w14:textId="77777777" w:rsidTr="00DD4C17">
        <w:tc>
          <w:tcPr>
            <w:tcW w:w="2830" w:type="dxa"/>
          </w:tcPr>
          <w:p w14:paraId="124E483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Бензин/Природен газ</w:t>
            </w:r>
          </w:p>
        </w:tc>
        <w:tc>
          <w:tcPr>
            <w:tcW w:w="1435" w:type="dxa"/>
          </w:tcPr>
          <w:p w14:paraId="6034F018"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13 213</w:t>
            </w:r>
          </w:p>
        </w:tc>
      </w:tr>
      <w:tr w:rsidR="00DD4C17" w:rsidRPr="002C36F8" w14:paraId="1F3BC689" w14:textId="77777777" w:rsidTr="00DD4C17">
        <w:tc>
          <w:tcPr>
            <w:tcW w:w="2830" w:type="dxa"/>
          </w:tcPr>
          <w:p w14:paraId="12C7971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Бензин/Втечнен газ</w:t>
            </w:r>
          </w:p>
        </w:tc>
        <w:tc>
          <w:tcPr>
            <w:tcW w:w="1435" w:type="dxa"/>
          </w:tcPr>
          <w:p w14:paraId="0DFC32F6"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124 874</w:t>
            </w:r>
          </w:p>
        </w:tc>
      </w:tr>
      <w:tr w:rsidR="00DD4C17" w:rsidRPr="002C36F8" w14:paraId="3ED98173" w14:textId="77777777" w:rsidTr="00DD4C17">
        <w:tc>
          <w:tcPr>
            <w:tcW w:w="2830" w:type="dxa"/>
          </w:tcPr>
          <w:p w14:paraId="533C2DF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Природен газ</w:t>
            </w:r>
          </w:p>
        </w:tc>
        <w:tc>
          <w:tcPr>
            <w:tcW w:w="1435" w:type="dxa"/>
          </w:tcPr>
          <w:p w14:paraId="46BC3F69"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1 906</w:t>
            </w:r>
          </w:p>
        </w:tc>
      </w:tr>
      <w:tr w:rsidR="00DD4C17" w:rsidRPr="002C36F8" w14:paraId="7354DF6F" w14:textId="77777777" w:rsidTr="00DD4C17">
        <w:tc>
          <w:tcPr>
            <w:tcW w:w="2830" w:type="dxa"/>
          </w:tcPr>
          <w:p w14:paraId="3947FE9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Дизел/Електр.</w:t>
            </w:r>
          </w:p>
        </w:tc>
        <w:tc>
          <w:tcPr>
            <w:tcW w:w="1435" w:type="dxa"/>
          </w:tcPr>
          <w:p w14:paraId="19FF5461"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46</w:t>
            </w:r>
          </w:p>
        </w:tc>
      </w:tr>
      <w:tr w:rsidR="00DD4C17" w:rsidRPr="002C36F8" w14:paraId="00716A50" w14:textId="77777777" w:rsidTr="00DD4C17">
        <w:tc>
          <w:tcPr>
            <w:tcW w:w="2830" w:type="dxa"/>
          </w:tcPr>
          <w:p w14:paraId="1A0C892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Бензин/Електр.</w:t>
            </w:r>
          </w:p>
        </w:tc>
        <w:tc>
          <w:tcPr>
            <w:tcW w:w="1435" w:type="dxa"/>
          </w:tcPr>
          <w:p w14:paraId="6DF58EBA"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1 489</w:t>
            </w:r>
          </w:p>
        </w:tc>
      </w:tr>
      <w:tr w:rsidR="00DD4C17" w:rsidRPr="002C36F8" w14:paraId="3A8A28BA" w14:textId="77777777" w:rsidTr="00DD4C17">
        <w:tc>
          <w:tcPr>
            <w:tcW w:w="2830" w:type="dxa"/>
          </w:tcPr>
          <w:p w14:paraId="1A08328A"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Биогориво </w:t>
            </w:r>
          </w:p>
        </w:tc>
        <w:tc>
          <w:tcPr>
            <w:tcW w:w="1435" w:type="dxa"/>
          </w:tcPr>
          <w:p w14:paraId="4787A9CE"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14</w:t>
            </w:r>
          </w:p>
        </w:tc>
      </w:tr>
      <w:tr w:rsidR="00DD4C17" w:rsidRPr="002C36F8" w14:paraId="514162D5" w14:textId="77777777" w:rsidTr="00DD4C17">
        <w:tc>
          <w:tcPr>
            <w:tcW w:w="2830" w:type="dxa"/>
          </w:tcPr>
          <w:p w14:paraId="6149447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Втечнен газ</w:t>
            </w:r>
          </w:p>
        </w:tc>
        <w:tc>
          <w:tcPr>
            <w:tcW w:w="1435" w:type="dxa"/>
          </w:tcPr>
          <w:p w14:paraId="52D50583"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180</w:t>
            </w:r>
          </w:p>
        </w:tc>
      </w:tr>
      <w:tr w:rsidR="00DD4C17" w:rsidRPr="002C36F8" w14:paraId="70F55660" w14:textId="77777777" w:rsidTr="00DD4C17">
        <w:tc>
          <w:tcPr>
            <w:tcW w:w="2830" w:type="dxa"/>
          </w:tcPr>
          <w:p w14:paraId="547962F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Газ </w:t>
            </w:r>
          </w:p>
        </w:tc>
        <w:tc>
          <w:tcPr>
            <w:tcW w:w="1435" w:type="dxa"/>
          </w:tcPr>
          <w:p w14:paraId="4FD6728C"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140</w:t>
            </w:r>
          </w:p>
        </w:tc>
      </w:tr>
      <w:tr w:rsidR="00DD4C17" w:rsidRPr="002C36F8" w14:paraId="47B50CE9" w14:textId="77777777" w:rsidTr="00DD4C17">
        <w:tc>
          <w:tcPr>
            <w:tcW w:w="2830" w:type="dxa"/>
          </w:tcPr>
          <w:p w14:paraId="0EFF81D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Електрически двигател</w:t>
            </w:r>
          </w:p>
        </w:tc>
        <w:tc>
          <w:tcPr>
            <w:tcW w:w="1435" w:type="dxa"/>
          </w:tcPr>
          <w:p w14:paraId="7B24A403"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183</w:t>
            </w:r>
          </w:p>
        </w:tc>
      </w:tr>
      <w:tr w:rsidR="00DD4C17" w:rsidRPr="002C36F8" w14:paraId="05224B0F" w14:textId="77777777" w:rsidTr="00DD4C17">
        <w:tc>
          <w:tcPr>
            <w:tcW w:w="2830" w:type="dxa"/>
          </w:tcPr>
          <w:p w14:paraId="07BD305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Дизел/Газ</w:t>
            </w:r>
          </w:p>
        </w:tc>
        <w:tc>
          <w:tcPr>
            <w:tcW w:w="1435" w:type="dxa"/>
          </w:tcPr>
          <w:p w14:paraId="7FF56B4C"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73</w:t>
            </w:r>
          </w:p>
        </w:tc>
      </w:tr>
      <w:tr w:rsidR="00DD4C17" w:rsidRPr="002C36F8" w14:paraId="5E8BE9DB" w14:textId="77777777" w:rsidTr="00DD4C17">
        <w:tc>
          <w:tcPr>
            <w:tcW w:w="2830" w:type="dxa"/>
          </w:tcPr>
          <w:p w14:paraId="0FA6291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Дизел </w:t>
            </w:r>
          </w:p>
        </w:tc>
        <w:tc>
          <w:tcPr>
            <w:tcW w:w="1435" w:type="dxa"/>
          </w:tcPr>
          <w:p w14:paraId="7482F207"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1 569 659</w:t>
            </w:r>
          </w:p>
        </w:tc>
      </w:tr>
      <w:tr w:rsidR="00DD4C17" w:rsidRPr="002C36F8" w14:paraId="121BCC59" w14:textId="77777777" w:rsidTr="00DD4C17">
        <w:tc>
          <w:tcPr>
            <w:tcW w:w="2830" w:type="dxa"/>
          </w:tcPr>
          <w:p w14:paraId="3897656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Бензин/Газ</w:t>
            </w:r>
          </w:p>
        </w:tc>
        <w:tc>
          <w:tcPr>
            <w:tcW w:w="1435" w:type="dxa"/>
          </w:tcPr>
          <w:p w14:paraId="23190684"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66 256</w:t>
            </w:r>
          </w:p>
        </w:tc>
      </w:tr>
      <w:tr w:rsidR="00DD4C17" w:rsidRPr="002C36F8" w14:paraId="1BA9793E" w14:textId="77777777" w:rsidTr="00DD4C17">
        <w:tc>
          <w:tcPr>
            <w:tcW w:w="2830" w:type="dxa"/>
          </w:tcPr>
          <w:p w14:paraId="4F7B365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Бензин </w:t>
            </w:r>
          </w:p>
        </w:tc>
        <w:tc>
          <w:tcPr>
            <w:tcW w:w="1435" w:type="dxa"/>
          </w:tcPr>
          <w:p w14:paraId="44E18B4A"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1 837 553</w:t>
            </w:r>
          </w:p>
        </w:tc>
      </w:tr>
    </w:tbl>
    <w:p w14:paraId="4F9CED74" w14:textId="77777777" w:rsidR="00DD4C17" w:rsidRPr="002C36F8" w:rsidRDefault="00DD4C17" w:rsidP="009B1633">
      <w:pPr>
        <w:rPr>
          <w:rFonts w:ascii="Times New Roman" w:hAnsi="Times New Roman" w:cs="Times New Roman"/>
          <w:i/>
          <w:sz w:val="20"/>
          <w:szCs w:val="20"/>
        </w:rPr>
      </w:pPr>
      <w:r w:rsidRPr="002C36F8">
        <w:rPr>
          <w:rFonts w:ascii="Times New Roman" w:hAnsi="Times New Roman" w:cs="Times New Roman"/>
          <w:i/>
          <w:sz w:val="20"/>
          <w:szCs w:val="20"/>
        </w:rPr>
        <w:t>Източник: ГД „Национална полиция“ - МВР</w:t>
      </w:r>
    </w:p>
    <w:p w14:paraId="524E623E" w14:textId="77777777" w:rsidR="009B1633" w:rsidRPr="002C36F8" w:rsidRDefault="009B1633" w:rsidP="00854C9D">
      <w:pPr>
        <w:spacing w:after="0" w:line="240" w:lineRule="auto"/>
        <w:ind w:firstLine="567"/>
        <w:jc w:val="both"/>
        <w:rPr>
          <w:rFonts w:ascii="Times New Roman" w:eastAsia="Times New Roman" w:hAnsi="Times New Roman" w:cs="Times New Roman"/>
          <w:noProof/>
          <w:sz w:val="24"/>
          <w:szCs w:val="24"/>
          <w:lang w:eastAsia="en-GB"/>
        </w:rPr>
      </w:pPr>
    </w:p>
    <w:p w14:paraId="241BBBF7"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От общия брой регистрирани автомобили -3 667 325, 1 837 553 бр. са с бензинови двигатели, 1 569 659 бр. са дизелови. Автомобилите, които са на бензин и газ са - 66 256 бр. на бензин и втечнен газ -124 874, а на бензин и природен газ-13 213. Фабрично само с природен газ са 1 906 бр. автомобила. </w:t>
      </w:r>
    </w:p>
    <w:p w14:paraId="5706CB98"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В отделна таблица е представен процентният дял на ключови категории пътни превозни средства по вид на използваното гориво.</w:t>
      </w:r>
    </w:p>
    <w:p w14:paraId="3ABD7065" w14:textId="77777777" w:rsidR="00854C9D" w:rsidRPr="002C36F8" w:rsidRDefault="00854C9D" w:rsidP="00DD4C17">
      <w:pPr>
        <w:spacing w:after="0" w:line="240" w:lineRule="auto"/>
        <w:jc w:val="both"/>
        <w:rPr>
          <w:rFonts w:ascii="Times New Roman" w:eastAsia="Times New Roman" w:hAnsi="Times New Roman" w:cs="Times New Roman"/>
          <w:sz w:val="20"/>
          <w:szCs w:val="20"/>
          <w:lang w:eastAsia="bg-BG"/>
        </w:rPr>
      </w:pPr>
    </w:p>
    <w:p w14:paraId="108D94EE" w14:textId="77777777" w:rsidR="00DD4C17" w:rsidRPr="002C36F8" w:rsidRDefault="00B67BC1" w:rsidP="00DD4C17">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9</w:t>
      </w:r>
      <w:r w:rsidR="00DD4C17" w:rsidRPr="002C36F8">
        <w:rPr>
          <w:rFonts w:ascii="Times New Roman" w:eastAsia="Times New Roman" w:hAnsi="Times New Roman" w:cs="Times New Roman"/>
          <w:sz w:val="20"/>
          <w:szCs w:val="20"/>
          <w:lang w:eastAsia="bg-BG"/>
        </w:rPr>
        <w:t xml:space="preserve"> Процентно разпределение на леките автомобили, товарните автомобили, специалните автомобили и автобуси по вида на използваното гориво към 31.12.2015 г.</w:t>
      </w:r>
    </w:p>
    <w:p w14:paraId="229737D1" w14:textId="77777777" w:rsidR="00DD4C17" w:rsidRPr="002C36F8" w:rsidRDefault="00DD4C17" w:rsidP="00DD4C17">
      <w:pPr>
        <w:spacing w:after="0" w:line="240" w:lineRule="auto"/>
        <w:jc w:val="both"/>
        <w:rPr>
          <w:rFonts w:ascii="Times New Roman" w:eastAsia="Times New Roman" w:hAnsi="Times New Roman" w:cs="Times New Roman"/>
          <w:sz w:val="24"/>
          <w:szCs w:val="24"/>
          <w:lang w:eastAsia="bg-BG"/>
        </w:rPr>
      </w:pPr>
    </w:p>
    <w:tbl>
      <w:tblPr>
        <w:tblStyle w:val="TableGrid2"/>
        <w:tblW w:w="9062" w:type="dxa"/>
        <w:tblLook w:val="04A0" w:firstRow="1" w:lastRow="0" w:firstColumn="1" w:lastColumn="0" w:noHBand="0" w:noVBand="1"/>
      </w:tblPr>
      <w:tblGrid>
        <w:gridCol w:w="2079"/>
        <w:gridCol w:w="1460"/>
        <w:gridCol w:w="1432"/>
        <w:gridCol w:w="1432"/>
        <w:gridCol w:w="1454"/>
        <w:gridCol w:w="1205"/>
      </w:tblGrid>
      <w:tr w:rsidR="00DD4C17" w:rsidRPr="002C36F8" w14:paraId="59B60374" w14:textId="77777777" w:rsidTr="00DD4C17">
        <w:tc>
          <w:tcPr>
            <w:tcW w:w="2079" w:type="dxa"/>
          </w:tcPr>
          <w:p w14:paraId="1E45201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Вид гориво</w:t>
            </w:r>
          </w:p>
        </w:tc>
        <w:tc>
          <w:tcPr>
            <w:tcW w:w="1460" w:type="dxa"/>
          </w:tcPr>
          <w:p w14:paraId="5CED2A62"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Общ брой автомобили </w:t>
            </w:r>
          </w:p>
        </w:tc>
        <w:tc>
          <w:tcPr>
            <w:tcW w:w="1432" w:type="dxa"/>
          </w:tcPr>
          <w:p w14:paraId="117FE080"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Леки автомобили</w:t>
            </w:r>
          </w:p>
        </w:tc>
        <w:tc>
          <w:tcPr>
            <w:tcW w:w="1432" w:type="dxa"/>
          </w:tcPr>
          <w:p w14:paraId="71D43B61"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Товарни автомобили</w:t>
            </w:r>
          </w:p>
        </w:tc>
        <w:tc>
          <w:tcPr>
            <w:tcW w:w="1454" w:type="dxa"/>
          </w:tcPr>
          <w:p w14:paraId="75F6F0DF"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Специални автомобили</w:t>
            </w:r>
          </w:p>
        </w:tc>
        <w:tc>
          <w:tcPr>
            <w:tcW w:w="1205" w:type="dxa"/>
          </w:tcPr>
          <w:p w14:paraId="1D8385F0"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Автобуси </w:t>
            </w:r>
          </w:p>
        </w:tc>
      </w:tr>
      <w:tr w:rsidR="00DD4C17" w:rsidRPr="002C36F8" w14:paraId="2A569BCB" w14:textId="77777777" w:rsidTr="00DD4C17">
        <w:tc>
          <w:tcPr>
            <w:tcW w:w="2079" w:type="dxa"/>
          </w:tcPr>
          <w:p w14:paraId="36AF6CF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Неизвестен </w:t>
            </w:r>
          </w:p>
        </w:tc>
        <w:tc>
          <w:tcPr>
            <w:tcW w:w="1460" w:type="dxa"/>
            <w:shd w:val="clear" w:color="auto" w:fill="auto"/>
            <w:vAlign w:val="bottom"/>
          </w:tcPr>
          <w:p w14:paraId="02F4ABFC" w14:textId="77777777" w:rsidR="00DD4C17" w:rsidRPr="002C36F8" w:rsidRDefault="00DD4C17" w:rsidP="00DD4C17">
            <w:pPr>
              <w:jc w:val="right"/>
              <w:rPr>
                <w:rFonts w:ascii="Calibri" w:hAnsi="Calibri"/>
                <w:color w:val="000000"/>
              </w:rPr>
            </w:pPr>
            <w:r w:rsidRPr="002C36F8">
              <w:rPr>
                <w:rFonts w:ascii="Calibri" w:hAnsi="Calibri"/>
                <w:color w:val="000000"/>
              </w:rPr>
              <w:t>1,41%</w:t>
            </w:r>
          </w:p>
        </w:tc>
        <w:tc>
          <w:tcPr>
            <w:tcW w:w="1432" w:type="dxa"/>
            <w:shd w:val="clear" w:color="000000" w:fill="FFFF00"/>
            <w:vAlign w:val="bottom"/>
          </w:tcPr>
          <w:p w14:paraId="7F768B01" w14:textId="77777777" w:rsidR="00DD4C17" w:rsidRPr="002C36F8" w:rsidRDefault="00DD4C17" w:rsidP="00DD4C17">
            <w:pPr>
              <w:jc w:val="right"/>
              <w:rPr>
                <w:rFonts w:ascii="Calibri" w:hAnsi="Calibri"/>
                <w:color w:val="000000"/>
              </w:rPr>
            </w:pPr>
            <w:r w:rsidRPr="002C36F8">
              <w:rPr>
                <w:rFonts w:ascii="Calibri" w:hAnsi="Calibri"/>
                <w:color w:val="000000"/>
              </w:rPr>
              <w:t xml:space="preserve">1,57% </w:t>
            </w:r>
          </w:p>
        </w:tc>
        <w:tc>
          <w:tcPr>
            <w:tcW w:w="1432" w:type="dxa"/>
            <w:shd w:val="clear" w:color="auto" w:fill="auto"/>
            <w:vAlign w:val="bottom"/>
          </w:tcPr>
          <w:p w14:paraId="01BFA8DE" w14:textId="77777777" w:rsidR="00DD4C17" w:rsidRPr="002C36F8" w:rsidRDefault="00DD4C17" w:rsidP="00DD4C17">
            <w:pPr>
              <w:jc w:val="right"/>
              <w:rPr>
                <w:rFonts w:ascii="Calibri" w:hAnsi="Calibri"/>
                <w:color w:val="000000"/>
              </w:rPr>
            </w:pPr>
            <w:r w:rsidRPr="002C36F8">
              <w:rPr>
                <w:rFonts w:ascii="Calibri" w:hAnsi="Calibri"/>
                <w:color w:val="000000"/>
              </w:rPr>
              <w:t>0,45%</w:t>
            </w:r>
          </w:p>
        </w:tc>
        <w:tc>
          <w:tcPr>
            <w:tcW w:w="1454" w:type="dxa"/>
            <w:shd w:val="clear" w:color="auto" w:fill="auto"/>
            <w:vAlign w:val="bottom"/>
          </w:tcPr>
          <w:p w14:paraId="30BE0EA9" w14:textId="77777777" w:rsidR="00DD4C17" w:rsidRPr="002C36F8" w:rsidRDefault="00DD4C17" w:rsidP="00DD4C17">
            <w:pPr>
              <w:jc w:val="right"/>
              <w:rPr>
                <w:rFonts w:ascii="Calibri" w:hAnsi="Calibri"/>
                <w:color w:val="000000"/>
              </w:rPr>
            </w:pPr>
            <w:r w:rsidRPr="002C36F8">
              <w:rPr>
                <w:rFonts w:ascii="Calibri" w:hAnsi="Calibri"/>
                <w:color w:val="000000"/>
              </w:rPr>
              <w:t>0,23%</w:t>
            </w:r>
          </w:p>
        </w:tc>
        <w:tc>
          <w:tcPr>
            <w:tcW w:w="1205" w:type="dxa"/>
            <w:shd w:val="clear" w:color="auto" w:fill="auto"/>
            <w:vAlign w:val="bottom"/>
          </w:tcPr>
          <w:p w14:paraId="06454437" w14:textId="77777777" w:rsidR="00DD4C17" w:rsidRPr="002C36F8" w:rsidRDefault="00DD4C17" w:rsidP="00DD4C17">
            <w:pPr>
              <w:jc w:val="right"/>
              <w:rPr>
                <w:rFonts w:ascii="Calibri" w:hAnsi="Calibri"/>
                <w:color w:val="000000"/>
              </w:rPr>
            </w:pPr>
            <w:r w:rsidRPr="002C36F8">
              <w:rPr>
                <w:rFonts w:ascii="Calibri" w:hAnsi="Calibri"/>
                <w:color w:val="000000"/>
              </w:rPr>
              <w:t>0,55%</w:t>
            </w:r>
          </w:p>
        </w:tc>
      </w:tr>
      <w:tr w:rsidR="00DD4C17" w:rsidRPr="002C36F8" w14:paraId="34B4B7ED" w14:textId="77777777" w:rsidTr="00DD4C17">
        <w:tc>
          <w:tcPr>
            <w:tcW w:w="2079" w:type="dxa"/>
          </w:tcPr>
          <w:p w14:paraId="57A37BDC"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Водород </w:t>
            </w:r>
          </w:p>
        </w:tc>
        <w:tc>
          <w:tcPr>
            <w:tcW w:w="1460" w:type="dxa"/>
            <w:shd w:val="clear" w:color="auto" w:fill="auto"/>
            <w:vAlign w:val="bottom"/>
          </w:tcPr>
          <w:p w14:paraId="35D37AD8"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0D1C74BB"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17B6EF9F" w14:textId="77777777" w:rsidR="00DD4C17" w:rsidRPr="002C36F8" w:rsidRDefault="00DD4C17" w:rsidP="00DD4C17">
            <w:pPr>
              <w:jc w:val="right"/>
              <w:rPr>
                <w:rFonts w:ascii="Calibri" w:hAnsi="Calibri"/>
                <w:color w:val="000000"/>
              </w:rPr>
            </w:pPr>
          </w:p>
        </w:tc>
        <w:tc>
          <w:tcPr>
            <w:tcW w:w="1454" w:type="dxa"/>
            <w:shd w:val="clear" w:color="auto" w:fill="auto"/>
            <w:vAlign w:val="bottom"/>
          </w:tcPr>
          <w:p w14:paraId="60135763" w14:textId="77777777" w:rsidR="00DD4C17" w:rsidRPr="002C36F8" w:rsidRDefault="00DD4C17" w:rsidP="00DD4C17">
            <w:pPr>
              <w:jc w:val="right"/>
              <w:rPr>
                <w:rFonts w:ascii="Calibri" w:hAnsi="Calibri"/>
                <w:color w:val="000000"/>
              </w:rPr>
            </w:pPr>
          </w:p>
        </w:tc>
        <w:tc>
          <w:tcPr>
            <w:tcW w:w="1205" w:type="dxa"/>
            <w:shd w:val="clear" w:color="auto" w:fill="auto"/>
            <w:vAlign w:val="bottom"/>
          </w:tcPr>
          <w:p w14:paraId="610C6CBF" w14:textId="77777777" w:rsidR="00DD4C17" w:rsidRPr="002C36F8" w:rsidRDefault="00DD4C17" w:rsidP="00DD4C17">
            <w:pPr>
              <w:jc w:val="right"/>
              <w:rPr>
                <w:rFonts w:ascii="Calibri" w:hAnsi="Calibri"/>
                <w:color w:val="000000"/>
              </w:rPr>
            </w:pPr>
          </w:p>
        </w:tc>
      </w:tr>
      <w:tr w:rsidR="00DD4C17" w:rsidRPr="002C36F8" w14:paraId="65EA0236" w14:textId="77777777" w:rsidTr="00DD4C17">
        <w:tc>
          <w:tcPr>
            <w:tcW w:w="2079" w:type="dxa"/>
          </w:tcPr>
          <w:p w14:paraId="1400BF1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lastRenderedPageBreak/>
              <w:t>Бензин/Природен газ</w:t>
            </w:r>
          </w:p>
        </w:tc>
        <w:tc>
          <w:tcPr>
            <w:tcW w:w="1460" w:type="dxa"/>
            <w:shd w:val="clear" w:color="auto" w:fill="auto"/>
            <w:vAlign w:val="bottom"/>
          </w:tcPr>
          <w:p w14:paraId="7BAF8D79" w14:textId="77777777" w:rsidR="00DD4C17" w:rsidRPr="002C36F8" w:rsidRDefault="00DD4C17" w:rsidP="00DD4C17">
            <w:pPr>
              <w:jc w:val="right"/>
              <w:rPr>
                <w:rFonts w:ascii="Calibri" w:hAnsi="Calibri"/>
                <w:color w:val="000000"/>
              </w:rPr>
            </w:pPr>
            <w:r w:rsidRPr="002C36F8">
              <w:rPr>
                <w:rFonts w:ascii="Calibri" w:hAnsi="Calibri"/>
                <w:color w:val="000000"/>
              </w:rPr>
              <w:t>0,36%</w:t>
            </w:r>
          </w:p>
        </w:tc>
        <w:tc>
          <w:tcPr>
            <w:tcW w:w="1432" w:type="dxa"/>
            <w:shd w:val="clear" w:color="auto" w:fill="auto"/>
            <w:vAlign w:val="bottom"/>
          </w:tcPr>
          <w:p w14:paraId="18D35D09" w14:textId="77777777" w:rsidR="00DD4C17" w:rsidRPr="002C36F8" w:rsidRDefault="00DD4C17" w:rsidP="00DD4C17">
            <w:pPr>
              <w:jc w:val="right"/>
              <w:rPr>
                <w:rFonts w:ascii="Calibri" w:hAnsi="Calibri"/>
                <w:color w:val="000000"/>
              </w:rPr>
            </w:pPr>
            <w:r w:rsidRPr="002C36F8">
              <w:rPr>
                <w:rFonts w:ascii="Calibri" w:hAnsi="Calibri"/>
                <w:color w:val="000000"/>
              </w:rPr>
              <w:t>0,38%</w:t>
            </w:r>
          </w:p>
        </w:tc>
        <w:tc>
          <w:tcPr>
            <w:tcW w:w="1432" w:type="dxa"/>
            <w:shd w:val="clear" w:color="auto" w:fill="auto"/>
            <w:vAlign w:val="bottom"/>
          </w:tcPr>
          <w:p w14:paraId="7FA4E254" w14:textId="77777777" w:rsidR="00DD4C17" w:rsidRPr="002C36F8" w:rsidRDefault="00DD4C17" w:rsidP="00DD4C17">
            <w:pPr>
              <w:jc w:val="right"/>
              <w:rPr>
                <w:rFonts w:ascii="Calibri" w:hAnsi="Calibri"/>
                <w:color w:val="000000"/>
              </w:rPr>
            </w:pPr>
            <w:r w:rsidRPr="002C36F8">
              <w:rPr>
                <w:rFonts w:ascii="Calibri" w:hAnsi="Calibri"/>
                <w:color w:val="000000"/>
              </w:rPr>
              <w:t>0,32%</w:t>
            </w:r>
          </w:p>
        </w:tc>
        <w:tc>
          <w:tcPr>
            <w:tcW w:w="1454" w:type="dxa"/>
            <w:shd w:val="clear" w:color="auto" w:fill="auto"/>
            <w:vAlign w:val="bottom"/>
          </w:tcPr>
          <w:p w14:paraId="738BBC54" w14:textId="77777777" w:rsidR="00DD4C17" w:rsidRPr="002C36F8" w:rsidRDefault="00DD4C17" w:rsidP="00DD4C17">
            <w:pPr>
              <w:jc w:val="right"/>
              <w:rPr>
                <w:rFonts w:ascii="Calibri" w:hAnsi="Calibri"/>
                <w:color w:val="000000"/>
              </w:rPr>
            </w:pPr>
            <w:r w:rsidRPr="002C36F8">
              <w:rPr>
                <w:rFonts w:ascii="Calibri" w:hAnsi="Calibri"/>
                <w:color w:val="000000"/>
              </w:rPr>
              <w:t>0,12%</w:t>
            </w:r>
          </w:p>
        </w:tc>
        <w:tc>
          <w:tcPr>
            <w:tcW w:w="1205" w:type="dxa"/>
            <w:shd w:val="clear" w:color="auto" w:fill="auto"/>
            <w:vAlign w:val="bottom"/>
          </w:tcPr>
          <w:p w14:paraId="52C4E09E" w14:textId="77777777" w:rsidR="00DD4C17" w:rsidRPr="002C36F8" w:rsidRDefault="00DD4C17" w:rsidP="00DD4C17">
            <w:pPr>
              <w:jc w:val="right"/>
              <w:rPr>
                <w:rFonts w:ascii="Calibri" w:hAnsi="Calibri"/>
                <w:color w:val="000000"/>
              </w:rPr>
            </w:pPr>
            <w:r w:rsidRPr="002C36F8">
              <w:rPr>
                <w:rFonts w:ascii="Calibri" w:hAnsi="Calibri"/>
                <w:color w:val="000000"/>
              </w:rPr>
              <w:t>0,05%</w:t>
            </w:r>
          </w:p>
        </w:tc>
      </w:tr>
      <w:tr w:rsidR="00DD4C17" w:rsidRPr="002C36F8" w14:paraId="56073057" w14:textId="77777777" w:rsidTr="00DD4C17">
        <w:tc>
          <w:tcPr>
            <w:tcW w:w="2079" w:type="dxa"/>
          </w:tcPr>
          <w:p w14:paraId="5D63B24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Бензин/Втечнен газ</w:t>
            </w:r>
          </w:p>
        </w:tc>
        <w:tc>
          <w:tcPr>
            <w:tcW w:w="1460" w:type="dxa"/>
            <w:shd w:val="clear" w:color="auto" w:fill="auto"/>
            <w:vAlign w:val="bottom"/>
          </w:tcPr>
          <w:p w14:paraId="54BB0D68" w14:textId="77777777" w:rsidR="00DD4C17" w:rsidRPr="002C36F8" w:rsidRDefault="00DD4C17" w:rsidP="00DD4C17">
            <w:pPr>
              <w:jc w:val="right"/>
              <w:rPr>
                <w:rFonts w:ascii="Calibri" w:hAnsi="Calibri"/>
                <w:color w:val="000000"/>
              </w:rPr>
            </w:pPr>
            <w:r w:rsidRPr="002C36F8">
              <w:rPr>
                <w:rFonts w:ascii="Calibri" w:hAnsi="Calibri"/>
                <w:color w:val="000000"/>
              </w:rPr>
              <w:t>3,41%</w:t>
            </w:r>
          </w:p>
        </w:tc>
        <w:tc>
          <w:tcPr>
            <w:tcW w:w="1432" w:type="dxa"/>
            <w:shd w:val="clear" w:color="000000" w:fill="FFFF00"/>
            <w:vAlign w:val="bottom"/>
          </w:tcPr>
          <w:p w14:paraId="26FE30CA" w14:textId="77777777" w:rsidR="00DD4C17" w:rsidRPr="002C36F8" w:rsidRDefault="00DD4C17" w:rsidP="00DD4C17">
            <w:pPr>
              <w:jc w:val="right"/>
              <w:rPr>
                <w:rFonts w:ascii="Calibri" w:hAnsi="Calibri"/>
                <w:color w:val="000000"/>
              </w:rPr>
            </w:pPr>
            <w:r w:rsidRPr="002C36F8">
              <w:rPr>
                <w:rFonts w:ascii="Calibri" w:hAnsi="Calibri"/>
                <w:color w:val="000000"/>
              </w:rPr>
              <w:t>3,82%</w:t>
            </w:r>
          </w:p>
        </w:tc>
        <w:tc>
          <w:tcPr>
            <w:tcW w:w="1432" w:type="dxa"/>
            <w:shd w:val="clear" w:color="auto" w:fill="auto"/>
            <w:vAlign w:val="bottom"/>
          </w:tcPr>
          <w:p w14:paraId="00A27F57" w14:textId="77777777" w:rsidR="00DD4C17" w:rsidRPr="002C36F8" w:rsidRDefault="00DD4C17" w:rsidP="00DD4C17">
            <w:pPr>
              <w:jc w:val="right"/>
              <w:rPr>
                <w:rFonts w:ascii="Calibri" w:hAnsi="Calibri"/>
                <w:color w:val="000000"/>
              </w:rPr>
            </w:pPr>
            <w:r w:rsidRPr="002C36F8">
              <w:rPr>
                <w:rFonts w:ascii="Calibri" w:hAnsi="Calibri"/>
                <w:color w:val="000000"/>
              </w:rPr>
              <w:t>0,98%</w:t>
            </w:r>
          </w:p>
        </w:tc>
        <w:tc>
          <w:tcPr>
            <w:tcW w:w="1454" w:type="dxa"/>
            <w:shd w:val="clear" w:color="auto" w:fill="auto"/>
            <w:vAlign w:val="bottom"/>
          </w:tcPr>
          <w:p w14:paraId="74FBEACB" w14:textId="77777777" w:rsidR="00DD4C17" w:rsidRPr="002C36F8" w:rsidRDefault="00DD4C17" w:rsidP="00DD4C17">
            <w:pPr>
              <w:jc w:val="right"/>
              <w:rPr>
                <w:rFonts w:ascii="Calibri" w:hAnsi="Calibri"/>
                <w:color w:val="000000"/>
              </w:rPr>
            </w:pPr>
            <w:r w:rsidRPr="002C36F8">
              <w:rPr>
                <w:rFonts w:ascii="Calibri" w:hAnsi="Calibri"/>
                <w:color w:val="000000"/>
              </w:rPr>
              <w:t>0,55%</w:t>
            </w:r>
          </w:p>
        </w:tc>
        <w:tc>
          <w:tcPr>
            <w:tcW w:w="1205" w:type="dxa"/>
            <w:shd w:val="clear" w:color="auto" w:fill="auto"/>
            <w:vAlign w:val="bottom"/>
          </w:tcPr>
          <w:p w14:paraId="7F6B64CE" w14:textId="77777777" w:rsidR="00DD4C17" w:rsidRPr="002C36F8" w:rsidRDefault="00DD4C17" w:rsidP="00DD4C17">
            <w:pPr>
              <w:jc w:val="right"/>
              <w:rPr>
                <w:rFonts w:ascii="Calibri" w:hAnsi="Calibri"/>
                <w:color w:val="000000"/>
              </w:rPr>
            </w:pPr>
            <w:r w:rsidRPr="002C36F8">
              <w:rPr>
                <w:rFonts w:ascii="Calibri" w:hAnsi="Calibri"/>
                <w:color w:val="000000"/>
              </w:rPr>
              <w:t>0,12%</w:t>
            </w:r>
          </w:p>
        </w:tc>
      </w:tr>
      <w:tr w:rsidR="00DD4C17" w:rsidRPr="002C36F8" w14:paraId="3DB5E117" w14:textId="77777777" w:rsidTr="00DD4C17">
        <w:tc>
          <w:tcPr>
            <w:tcW w:w="2079" w:type="dxa"/>
          </w:tcPr>
          <w:p w14:paraId="6CD65D08"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Природен газ</w:t>
            </w:r>
          </w:p>
        </w:tc>
        <w:tc>
          <w:tcPr>
            <w:tcW w:w="1460" w:type="dxa"/>
            <w:shd w:val="clear" w:color="auto" w:fill="auto"/>
            <w:vAlign w:val="bottom"/>
          </w:tcPr>
          <w:p w14:paraId="76BBFD87" w14:textId="77777777" w:rsidR="00DD4C17" w:rsidRPr="002C36F8" w:rsidRDefault="00DD4C17" w:rsidP="00DD4C17">
            <w:pPr>
              <w:jc w:val="right"/>
              <w:rPr>
                <w:rFonts w:ascii="Calibri" w:hAnsi="Calibri"/>
                <w:color w:val="000000"/>
              </w:rPr>
            </w:pPr>
            <w:r w:rsidRPr="002C36F8">
              <w:rPr>
                <w:rFonts w:ascii="Calibri" w:hAnsi="Calibri"/>
                <w:color w:val="000000"/>
              </w:rPr>
              <w:t>0,05%</w:t>
            </w:r>
          </w:p>
        </w:tc>
        <w:tc>
          <w:tcPr>
            <w:tcW w:w="1432" w:type="dxa"/>
            <w:shd w:val="clear" w:color="auto" w:fill="auto"/>
            <w:vAlign w:val="bottom"/>
          </w:tcPr>
          <w:p w14:paraId="24FA2D8A" w14:textId="77777777" w:rsidR="00DD4C17" w:rsidRPr="002C36F8" w:rsidRDefault="00DD4C17" w:rsidP="00DD4C17">
            <w:pPr>
              <w:jc w:val="right"/>
              <w:rPr>
                <w:rFonts w:ascii="Calibri" w:hAnsi="Calibri"/>
                <w:color w:val="000000"/>
              </w:rPr>
            </w:pPr>
            <w:r w:rsidRPr="002C36F8">
              <w:rPr>
                <w:rFonts w:ascii="Calibri" w:hAnsi="Calibri"/>
                <w:color w:val="000000"/>
              </w:rPr>
              <w:t>0,03%</w:t>
            </w:r>
          </w:p>
        </w:tc>
        <w:tc>
          <w:tcPr>
            <w:tcW w:w="1432" w:type="dxa"/>
            <w:shd w:val="clear" w:color="auto" w:fill="auto"/>
            <w:vAlign w:val="bottom"/>
          </w:tcPr>
          <w:p w14:paraId="2CB1C699" w14:textId="77777777" w:rsidR="00DD4C17" w:rsidRPr="002C36F8" w:rsidRDefault="00DD4C17" w:rsidP="00DD4C17">
            <w:pPr>
              <w:jc w:val="right"/>
              <w:rPr>
                <w:rFonts w:ascii="Calibri" w:hAnsi="Calibri"/>
                <w:color w:val="000000"/>
              </w:rPr>
            </w:pPr>
            <w:r w:rsidRPr="002C36F8">
              <w:rPr>
                <w:rFonts w:ascii="Calibri" w:hAnsi="Calibri"/>
                <w:color w:val="000000"/>
              </w:rPr>
              <w:t>0,13%</w:t>
            </w:r>
          </w:p>
        </w:tc>
        <w:tc>
          <w:tcPr>
            <w:tcW w:w="1454" w:type="dxa"/>
            <w:shd w:val="clear" w:color="auto" w:fill="auto"/>
            <w:vAlign w:val="bottom"/>
          </w:tcPr>
          <w:p w14:paraId="3B1CAFA7" w14:textId="77777777" w:rsidR="00DD4C17" w:rsidRPr="002C36F8" w:rsidRDefault="00DD4C17" w:rsidP="00DD4C17">
            <w:pPr>
              <w:jc w:val="right"/>
              <w:rPr>
                <w:rFonts w:ascii="Calibri" w:hAnsi="Calibri"/>
                <w:color w:val="000000"/>
              </w:rPr>
            </w:pPr>
            <w:r w:rsidRPr="002C36F8">
              <w:rPr>
                <w:rFonts w:ascii="Calibri" w:hAnsi="Calibri"/>
                <w:color w:val="000000"/>
              </w:rPr>
              <w:t>0,06%</w:t>
            </w:r>
          </w:p>
        </w:tc>
        <w:tc>
          <w:tcPr>
            <w:tcW w:w="1205" w:type="dxa"/>
            <w:shd w:val="clear" w:color="auto" w:fill="auto"/>
            <w:vAlign w:val="bottom"/>
          </w:tcPr>
          <w:p w14:paraId="568B6BDD" w14:textId="77777777" w:rsidR="00DD4C17" w:rsidRPr="002C36F8" w:rsidRDefault="00DD4C17" w:rsidP="00DD4C17">
            <w:pPr>
              <w:jc w:val="right"/>
              <w:rPr>
                <w:rFonts w:ascii="Calibri" w:hAnsi="Calibri"/>
                <w:color w:val="000000"/>
              </w:rPr>
            </w:pPr>
            <w:r w:rsidRPr="002C36F8">
              <w:rPr>
                <w:rFonts w:ascii="Calibri" w:hAnsi="Calibri"/>
                <w:color w:val="000000"/>
              </w:rPr>
              <w:t>1,45%</w:t>
            </w:r>
          </w:p>
        </w:tc>
      </w:tr>
      <w:tr w:rsidR="00DD4C17" w:rsidRPr="002C36F8" w14:paraId="39AEDA15" w14:textId="77777777" w:rsidTr="00DD4C17">
        <w:tc>
          <w:tcPr>
            <w:tcW w:w="2079" w:type="dxa"/>
          </w:tcPr>
          <w:p w14:paraId="0589071A"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Дизел/Електр.</w:t>
            </w:r>
          </w:p>
        </w:tc>
        <w:tc>
          <w:tcPr>
            <w:tcW w:w="1460" w:type="dxa"/>
            <w:shd w:val="clear" w:color="auto" w:fill="auto"/>
            <w:vAlign w:val="bottom"/>
          </w:tcPr>
          <w:p w14:paraId="74E21874"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20D11A32" w14:textId="77777777" w:rsidR="00DD4C17" w:rsidRPr="002C36F8" w:rsidRDefault="00DD4C17" w:rsidP="00DD4C17">
            <w:pPr>
              <w:jc w:val="right"/>
              <w:rPr>
                <w:rFonts w:ascii="Calibri" w:hAnsi="Calibri"/>
                <w:color w:val="000000"/>
              </w:rPr>
            </w:pPr>
            <w:r w:rsidRPr="002C36F8">
              <w:rPr>
                <w:rFonts w:ascii="Calibri" w:hAnsi="Calibri"/>
                <w:color w:val="000000"/>
              </w:rPr>
              <w:t>0,001%</w:t>
            </w:r>
          </w:p>
        </w:tc>
        <w:tc>
          <w:tcPr>
            <w:tcW w:w="1432" w:type="dxa"/>
            <w:shd w:val="clear" w:color="auto" w:fill="auto"/>
            <w:vAlign w:val="bottom"/>
          </w:tcPr>
          <w:p w14:paraId="10E6B3FA" w14:textId="77777777" w:rsidR="00DD4C17" w:rsidRPr="002C36F8" w:rsidRDefault="00DD4C17" w:rsidP="00DD4C17">
            <w:pPr>
              <w:jc w:val="right"/>
              <w:rPr>
                <w:rFonts w:ascii="Calibri" w:hAnsi="Calibri"/>
                <w:color w:val="000000"/>
              </w:rPr>
            </w:pPr>
          </w:p>
        </w:tc>
        <w:tc>
          <w:tcPr>
            <w:tcW w:w="1454" w:type="dxa"/>
            <w:shd w:val="clear" w:color="auto" w:fill="auto"/>
            <w:vAlign w:val="bottom"/>
          </w:tcPr>
          <w:p w14:paraId="7D93400E" w14:textId="77777777" w:rsidR="00DD4C17" w:rsidRPr="002C36F8" w:rsidRDefault="00DD4C17" w:rsidP="00DD4C17">
            <w:pPr>
              <w:jc w:val="right"/>
              <w:rPr>
                <w:rFonts w:ascii="Calibri" w:hAnsi="Calibri"/>
                <w:color w:val="000000"/>
              </w:rPr>
            </w:pPr>
            <w:r w:rsidRPr="002C36F8">
              <w:rPr>
                <w:rFonts w:ascii="Calibri" w:hAnsi="Calibri"/>
                <w:color w:val="000000"/>
              </w:rPr>
              <w:t>0,003%</w:t>
            </w:r>
          </w:p>
        </w:tc>
        <w:tc>
          <w:tcPr>
            <w:tcW w:w="1205" w:type="dxa"/>
            <w:shd w:val="clear" w:color="auto" w:fill="auto"/>
            <w:vAlign w:val="bottom"/>
          </w:tcPr>
          <w:p w14:paraId="150D48CF"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r>
      <w:tr w:rsidR="00DD4C17" w:rsidRPr="002C36F8" w14:paraId="4AC04D2E" w14:textId="77777777" w:rsidTr="00DD4C17">
        <w:tc>
          <w:tcPr>
            <w:tcW w:w="2079" w:type="dxa"/>
          </w:tcPr>
          <w:p w14:paraId="03F129E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Бензин/Електр.</w:t>
            </w:r>
          </w:p>
        </w:tc>
        <w:tc>
          <w:tcPr>
            <w:tcW w:w="1460" w:type="dxa"/>
            <w:shd w:val="clear" w:color="auto" w:fill="auto"/>
            <w:vAlign w:val="bottom"/>
          </w:tcPr>
          <w:p w14:paraId="55E14754" w14:textId="77777777" w:rsidR="00DD4C17" w:rsidRPr="002C36F8" w:rsidRDefault="00DD4C17" w:rsidP="00DD4C17">
            <w:pPr>
              <w:jc w:val="right"/>
              <w:rPr>
                <w:rFonts w:ascii="Calibri" w:hAnsi="Calibri"/>
                <w:color w:val="000000"/>
              </w:rPr>
            </w:pPr>
            <w:r w:rsidRPr="002C36F8">
              <w:rPr>
                <w:rFonts w:ascii="Calibri" w:hAnsi="Calibri"/>
                <w:color w:val="000000"/>
              </w:rPr>
              <w:t>0,04%</w:t>
            </w:r>
          </w:p>
        </w:tc>
        <w:tc>
          <w:tcPr>
            <w:tcW w:w="1432" w:type="dxa"/>
            <w:shd w:val="clear" w:color="auto" w:fill="auto"/>
            <w:vAlign w:val="bottom"/>
          </w:tcPr>
          <w:p w14:paraId="3E7A3523" w14:textId="77777777" w:rsidR="00DD4C17" w:rsidRPr="002C36F8" w:rsidRDefault="00DD4C17" w:rsidP="00DD4C17">
            <w:pPr>
              <w:jc w:val="right"/>
              <w:rPr>
                <w:rFonts w:ascii="Calibri" w:hAnsi="Calibri"/>
                <w:color w:val="000000"/>
              </w:rPr>
            </w:pPr>
            <w:r w:rsidRPr="002C36F8">
              <w:rPr>
                <w:rFonts w:ascii="Calibri" w:hAnsi="Calibri"/>
                <w:color w:val="000000"/>
              </w:rPr>
              <w:t>0,04%</w:t>
            </w:r>
          </w:p>
        </w:tc>
        <w:tc>
          <w:tcPr>
            <w:tcW w:w="1432" w:type="dxa"/>
            <w:shd w:val="clear" w:color="auto" w:fill="auto"/>
            <w:vAlign w:val="bottom"/>
          </w:tcPr>
          <w:p w14:paraId="71554E76" w14:textId="77777777" w:rsidR="00DD4C17" w:rsidRPr="002C36F8" w:rsidRDefault="00DD4C17" w:rsidP="00DD4C17">
            <w:pPr>
              <w:jc w:val="right"/>
              <w:rPr>
                <w:rFonts w:ascii="Calibri" w:hAnsi="Calibri"/>
                <w:color w:val="000000"/>
              </w:rPr>
            </w:pPr>
            <w:r w:rsidRPr="002C36F8">
              <w:rPr>
                <w:rFonts w:ascii="Calibri" w:hAnsi="Calibri"/>
                <w:color w:val="000000"/>
              </w:rPr>
              <w:t>0,06%</w:t>
            </w:r>
          </w:p>
        </w:tc>
        <w:tc>
          <w:tcPr>
            <w:tcW w:w="1454" w:type="dxa"/>
            <w:shd w:val="clear" w:color="auto" w:fill="auto"/>
            <w:vAlign w:val="bottom"/>
          </w:tcPr>
          <w:p w14:paraId="70B00165" w14:textId="77777777" w:rsidR="00DD4C17" w:rsidRPr="002C36F8" w:rsidRDefault="00DD4C17" w:rsidP="00DD4C17">
            <w:pPr>
              <w:jc w:val="right"/>
              <w:rPr>
                <w:rFonts w:ascii="Calibri" w:hAnsi="Calibri"/>
                <w:color w:val="000000"/>
              </w:rPr>
            </w:pPr>
          </w:p>
        </w:tc>
        <w:tc>
          <w:tcPr>
            <w:tcW w:w="1205" w:type="dxa"/>
            <w:shd w:val="clear" w:color="auto" w:fill="auto"/>
            <w:vAlign w:val="bottom"/>
          </w:tcPr>
          <w:p w14:paraId="2B327BB3" w14:textId="77777777" w:rsidR="00DD4C17" w:rsidRPr="002C36F8" w:rsidRDefault="00DD4C17" w:rsidP="00DD4C17">
            <w:pPr>
              <w:jc w:val="right"/>
              <w:rPr>
                <w:rFonts w:ascii="Calibri" w:hAnsi="Calibri"/>
                <w:color w:val="000000"/>
              </w:rPr>
            </w:pPr>
          </w:p>
        </w:tc>
      </w:tr>
      <w:tr w:rsidR="00DD4C17" w:rsidRPr="002C36F8" w14:paraId="5D10D3B0" w14:textId="77777777" w:rsidTr="00DD4C17">
        <w:tc>
          <w:tcPr>
            <w:tcW w:w="2079" w:type="dxa"/>
          </w:tcPr>
          <w:p w14:paraId="4E5DBEA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Биогориво </w:t>
            </w:r>
          </w:p>
        </w:tc>
        <w:tc>
          <w:tcPr>
            <w:tcW w:w="1460" w:type="dxa"/>
            <w:shd w:val="clear" w:color="auto" w:fill="auto"/>
            <w:vAlign w:val="bottom"/>
          </w:tcPr>
          <w:p w14:paraId="7D68819B"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2D410F32"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33F0BC9E" w14:textId="77777777" w:rsidR="00DD4C17" w:rsidRPr="002C36F8" w:rsidRDefault="00DD4C17" w:rsidP="00DD4C17">
            <w:pPr>
              <w:jc w:val="right"/>
              <w:rPr>
                <w:rFonts w:ascii="Calibri" w:hAnsi="Calibri"/>
                <w:color w:val="000000"/>
              </w:rPr>
            </w:pPr>
          </w:p>
        </w:tc>
        <w:tc>
          <w:tcPr>
            <w:tcW w:w="1454" w:type="dxa"/>
            <w:shd w:val="clear" w:color="auto" w:fill="auto"/>
            <w:vAlign w:val="bottom"/>
          </w:tcPr>
          <w:p w14:paraId="3580CFDE"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c>
          <w:tcPr>
            <w:tcW w:w="1205" w:type="dxa"/>
            <w:shd w:val="clear" w:color="auto" w:fill="auto"/>
            <w:vAlign w:val="bottom"/>
          </w:tcPr>
          <w:p w14:paraId="29B342A7" w14:textId="77777777" w:rsidR="00DD4C17" w:rsidRPr="002C36F8" w:rsidRDefault="00DD4C17" w:rsidP="00DD4C17">
            <w:pPr>
              <w:jc w:val="right"/>
              <w:rPr>
                <w:rFonts w:ascii="Calibri" w:hAnsi="Calibri"/>
                <w:color w:val="000000"/>
              </w:rPr>
            </w:pPr>
            <w:r w:rsidRPr="002C36F8">
              <w:rPr>
                <w:rFonts w:ascii="Calibri" w:hAnsi="Calibri"/>
                <w:color w:val="000000"/>
              </w:rPr>
              <w:t>0,02%</w:t>
            </w:r>
          </w:p>
        </w:tc>
      </w:tr>
      <w:tr w:rsidR="00DD4C17" w:rsidRPr="002C36F8" w14:paraId="142DC012" w14:textId="77777777" w:rsidTr="00DD4C17">
        <w:tc>
          <w:tcPr>
            <w:tcW w:w="2079" w:type="dxa"/>
          </w:tcPr>
          <w:p w14:paraId="6995EAAA"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Втечнен газ</w:t>
            </w:r>
          </w:p>
        </w:tc>
        <w:tc>
          <w:tcPr>
            <w:tcW w:w="1460" w:type="dxa"/>
            <w:shd w:val="clear" w:color="auto" w:fill="auto"/>
            <w:vAlign w:val="bottom"/>
          </w:tcPr>
          <w:p w14:paraId="375872E5" w14:textId="77777777" w:rsidR="00DD4C17" w:rsidRPr="002C36F8" w:rsidRDefault="00DD4C17" w:rsidP="00DD4C17">
            <w:pPr>
              <w:rPr>
                <w:sz w:val="20"/>
                <w:szCs w:val="20"/>
              </w:rPr>
            </w:pPr>
          </w:p>
        </w:tc>
        <w:tc>
          <w:tcPr>
            <w:tcW w:w="1432" w:type="dxa"/>
            <w:shd w:val="clear" w:color="auto" w:fill="auto"/>
            <w:vAlign w:val="bottom"/>
          </w:tcPr>
          <w:p w14:paraId="573C8DB0" w14:textId="77777777" w:rsidR="00DD4C17" w:rsidRPr="002C36F8" w:rsidRDefault="00DD4C17" w:rsidP="00DD4C17">
            <w:pPr>
              <w:jc w:val="right"/>
              <w:rPr>
                <w:rFonts w:ascii="Calibri" w:hAnsi="Calibri"/>
                <w:color w:val="000000"/>
              </w:rPr>
            </w:pPr>
            <w:r w:rsidRPr="002C36F8">
              <w:rPr>
                <w:rFonts w:ascii="Calibri" w:hAnsi="Calibri"/>
                <w:color w:val="000000"/>
              </w:rPr>
              <w:t>0,05%</w:t>
            </w:r>
          </w:p>
        </w:tc>
        <w:tc>
          <w:tcPr>
            <w:tcW w:w="1432" w:type="dxa"/>
            <w:shd w:val="clear" w:color="auto" w:fill="auto"/>
            <w:vAlign w:val="bottom"/>
          </w:tcPr>
          <w:p w14:paraId="49147240" w14:textId="77777777" w:rsidR="00DD4C17" w:rsidRPr="002C36F8" w:rsidRDefault="00DD4C17" w:rsidP="00DD4C17">
            <w:pPr>
              <w:rPr>
                <w:sz w:val="20"/>
                <w:szCs w:val="20"/>
              </w:rPr>
            </w:pPr>
          </w:p>
        </w:tc>
        <w:tc>
          <w:tcPr>
            <w:tcW w:w="1454" w:type="dxa"/>
            <w:shd w:val="clear" w:color="auto" w:fill="auto"/>
            <w:vAlign w:val="bottom"/>
          </w:tcPr>
          <w:p w14:paraId="306FEEDF" w14:textId="77777777" w:rsidR="00DD4C17" w:rsidRPr="002C36F8" w:rsidRDefault="00DD4C17" w:rsidP="00DD4C17">
            <w:pPr>
              <w:jc w:val="right"/>
              <w:rPr>
                <w:rFonts w:ascii="Calibri" w:hAnsi="Calibri"/>
                <w:color w:val="000000"/>
              </w:rPr>
            </w:pPr>
          </w:p>
        </w:tc>
        <w:tc>
          <w:tcPr>
            <w:tcW w:w="1205" w:type="dxa"/>
            <w:shd w:val="clear" w:color="auto" w:fill="auto"/>
            <w:vAlign w:val="bottom"/>
          </w:tcPr>
          <w:p w14:paraId="512BB0E2" w14:textId="77777777" w:rsidR="00DD4C17" w:rsidRPr="002C36F8" w:rsidRDefault="00DD4C17" w:rsidP="00DD4C17">
            <w:pPr>
              <w:jc w:val="right"/>
              <w:rPr>
                <w:rFonts w:ascii="Calibri" w:hAnsi="Calibri"/>
                <w:color w:val="000000"/>
              </w:rPr>
            </w:pPr>
            <w:r w:rsidRPr="002C36F8">
              <w:rPr>
                <w:rFonts w:ascii="Calibri" w:hAnsi="Calibri"/>
                <w:color w:val="000000"/>
              </w:rPr>
              <w:t>0,02%</w:t>
            </w:r>
          </w:p>
        </w:tc>
      </w:tr>
      <w:tr w:rsidR="00DD4C17" w:rsidRPr="002C36F8" w14:paraId="13B9D47E" w14:textId="77777777" w:rsidTr="00DD4C17">
        <w:tc>
          <w:tcPr>
            <w:tcW w:w="2079" w:type="dxa"/>
          </w:tcPr>
          <w:p w14:paraId="3A2E309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Газ </w:t>
            </w:r>
          </w:p>
        </w:tc>
        <w:tc>
          <w:tcPr>
            <w:tcW w:w="1460" w:type="dxa"/>
            <w:shd w:val="clear" w:color="auto" w:fill="auto"/>
            <w:vAlign w:val="bottom"/>
          </w:tcPr>
          <w:p w14:paraId="190A86E5" w14:textId="77777777" w:rsidR="00DD4C17" w:rsidRPr="002C36F8" w:rsidRDefault="00DD4C17" w:rsidP="00DD4C17">
            <w:pPr>
              <w:rPr>
                <w:sz w:val="20"/>
                <w:szCs w:val="20"/>
              </w:rPr>
            </w:pPr>
          </w:p>
        </w:tc>
        <w:tc>
          <w:tcPr>
            <w:tcW w:w="1432" w:type="dxa"/>
            <w:shd w:val="clear" w:color="auto" w:fill="auto"/>
            <w:vAlign w:val="bottom"/>
          </w:tcPr>
          <w:p w14:paraId="43E5AC99" w14:textId="77777777" w:rsidR="00DD4C17" w:rsidRPr="002C36F8" w:rsidRDefault="00DD4C17" w:rsidP="00DD4C17">
            <w:pPr>
              <w:jc w:val="right"/>
              <w:rPr>
                <w:rFonts w:ascii="Calibri" w:hAnsi="Calibri"/>
                <w:color w:val="000000"/>
              </w:rPr>
            </w:pPr>
            <w:r w:rsidRPr="002C36F8">
              <w:rPr>
                <w:rFonts w:ascii="Calibri" w:hAnsi="Calibri"/>
                <w:color w:val="000000"/>
              </w:rPr>
              <w:t>0,00%</w:t>
            </w:r>
          </w:p>
        </w:tc>
        <w:tc>
          <w:tcPr>
            <w:tcW w:w="1432" w:type="dxa"/>
            <w:shd w:val="clear" w:color="auto" w:fill="auto"/>
            <w:vAlign w:val="bottom"/>
          </w:tcPr>
          <w:p w14:paraId="5D1B4644" w14:textId="77777777" w:rsidR="00DD4C17" w:rsidRPr="002C36F8" w:rsidRDefault="00DD4C17" w:rsidP="00DD4C17">
            <w:pPr>
              <w:rPr>
                <w:sz w:val="20"/>
                <w:szCs w:val="20"/>
              </w:rPr>
            </w:pPr>
          </w:p>
        </w:tc>
        <w:tc>
          <w:tcPr>
            <w:tcW w:w="1454" w:type="dxa"/>
            <w:shd w:val="clear" w:color="auto" w:fill="auto"/>
            <w:vAlign w:val="bottom"/>
          </w:tcPr>
          <w:p w14:paraId="7A6392FD" w14:textId="77777777" w:rsidR="00DD4C17" w:rsidRPr="002C36F8" w:rsidRDefault="00DD4C17" w:rsidP="00DD4C17">
            <w:pPr>
              <w:rPr>
                <w:sz w:val="20"/>
                <w:szCs w:val="20"/>
              </w:rPr>
            </w:pPr>
          </w:p>
        </w:tc>
        <w:tc>
          <w:tcPr>
            <w:tcW w:w="1205" w:type="dxa"/>
            <w:shd w:val="clear" w:color="auto" w:fill="auto"/>
            <w:vAlign w:val="bottom"/>
          </w:tcPr>
          <w:p w14:paraId="590AF084" w14:textId="77777777" w:rsidR="00DD4C17" w:rsidRPr="002C36F8" w:rsidRDefault="00DD4C17" w:rsidP="00DD4C17">
            <w:pPr>
              <w:jc w:val="right"/>
              <w:rPr>
                <w:rFonts w:ascii="Calibri" w:hAnsi="Calibri"/>
                <w:color w:val="000000"/>
              </w:rPr>
            </w:pPr>
          </w:p>
        </w:tc>
      </w:tr>
      <w:tr w:rsidR="00DD4C17" w:rsidRPr="002C36F8" w14:paraId="051155BA" w14:textId="77777777" w:rsidTr="00DD4C17">
        <w:tc>
          <w:tcPr>
            <w:tcW w:w="2079" w:type="dxa"/>
          </w:tcPr>
          <w:p w14:paraId="5B19A5C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Електрически двигател</w:t>
            </w:r>
          </w:p>
        </w:tc>
        <w:tc>
          <w:tcPr>
            <w:tcW w:w="1460" w:type="dxa"/>
            <w:shd w:val="clear" w:color="auto" w:fill="auto"/>
            <w:vAlign w:val="bottom"/>
          </w:tcPr>
          <w:p w14:paraId="01F90854"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c>
          <w:tcPr>
            <w:tcW w:w="1432" w:type="dxa"/>
            <w:shd w:val="clear" w:color="auto" w:fill="auto"/>
            <w:vAlign w:val="bottom"/>
          </w:tcPr>
          <w:p w14:paraId="49C133DD"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c>
          <w:tcPr>
            <w:tcW w:w="1432" w:type="dxa"/>
            <w:shd w:val="clear" w:color="auto" w:fill="auto"/>
            <w:vAlign w:val="bottom"/>
          </w:tcPr>
          <w:p w14:paraId="13EF8BB8"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c>
          <w:tcPr>
            <w:tcW w:w="1454" w:type="dxa"/>
            <w:shd w:val="clear" w:color="auto" w:fill="auto"/>
            <w:vAlign w:val="bottom"/>
          </w:tcPr>
          <w:p w14:paraId="67CFC192" w14:textId="77777777" w:rsidR="00DD4C17" w:rsidRPr="002C36F8" w:rsidRDefault="00DD4C17" w:rsidP="00DD4C17">
            <w:pPr>
              <w:rPr>
                <w:sz w:val="20"/>
                <w:szCs w:val="20"/>
              </w:rPr>
            </w:pPr>
          </w:p>
        </w:tc>
        <w:tc>
          <w:tcPr>
            <w:tcW w:w="1205" w:type="dxa"/>
            <w:shd w:val="clear" w:color="auto" w:fill="auto"/>
            <w:vAlign w:val="bottom"/>
          </w:tcPr>
          <w:p w14:paraId="2841F2EE" w14:textId="77777777" w:rsidR="00DD4C17" w:rsidRPr="002C36F8" w:rsidRDefault="00DD4C17" w:rsidP="00DD4C17">
            <w:pPr>
              <w:jc w:val="right"/>
              <w:rPr>
                <w:rFonts w:ascii="Calibri" w:hAnsi="Calibri"/>
                <w:color w:val="000000"/>
              </w:rPr>
            </w:pPr>
            <w:r w:rsidRPr="002C36F8">
              <w:rPr>
                <w:rFonts w:ascii="Calibri" w:hAnsi="Calibri"/>
                <w:color w:val="000000"/>
              </w:rPr>
              <w:t>0,01%</w:t>
            </w:r>
          </w:p>
        </w:tc>
      </w:tr>
      <w:tr w:rsidR="00DD4C17" w:rsidRPr="002C36F8" w14:paraId="74D82DAF" w14:textId="77777777" w:rsidTr="00DD4C17">
        <w:tc>
          <w:tcPr>
            <w:tcW w:w="2079" w:type="dxa"/>
          </w:tcPr>
          <w:p w14:paraId="05127C1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Дизел/Газ</w:t>
            </w:r>
          </w:p>
        </w:tc>
        <w:tc>
          <w:tcPr>
            <w:tcW w:w="1460" w:type="dxa"/>
            <w:shd w:val="clear" w:color="auto" w:fill="auto"/>
            <w:vAlign w:val="bottom"/>
          </w:tcPr>
          <w:p w14:paraId="312E5432"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5960C898"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70FC6587" w14:textId="77777777" w:rsidR="00DD4C17" w:rsidRPr="002C36F8" w:rsidRDefault="00DD4C17" w:rsidP="00DD4C17">
            <w:pPr>
              <w:jc w:val="right"/>
              <w:rPr>
                <w:rFonts w:ascii="Calibri" w:hAnsi="Calibri"/>
                <w:color w:val="000000"/>
              </w:rPr>
            </w:pPr>
          </w:p>
        </w:tc>
        <w:tc>
          <w:tcPr>
            <w:tcW w:w="1454" w:type="dxa"/>
            <w:shd w:val="clear" w:color="auto" w:fill="auto"/>
            <w:vAlign w:val="bottom"/>
          </w:tcPr>
          <w:p w14:paraId="1DCFE4FB" w14:textId="77777777" w:rsidR="00DD4C17" w:rsidRPr="002C36F8" w:rsidRDefault="00DD4C17" w:rsidP="00DD4C17">
            <w:pPr>
              <w:rPr>
                <w:sz w:val="20"/>
                <w:szCs w:val="20"/>
              </w:rPr>
            </w:pPr>
          </w:p>
        </w:tc>
        <w:tc>
          <w:tcPr>
            <w:tcW w:w="1205" w:type="dxa"/>
            <w:shd w:val="clear" w:color="auto" w:fill="auto"/>
            <w:vAlign w:val="bottom"/>
          </w:tcPr>
          <w:p w14:paraId="4B902B41" w14:textId="77777777" w:rsidR="00DD4C17" w:rsidRPr="002C36F8" w:rsidRDefault="00DD4C17" w:rsidP="00DD4C17">
            <w:pPr>
              <w:jc w:val="right"/>
              <w:rPr>
                <w:rFonts w:ascii="Calibri" w:hAnsi="Calibri"/>
                <w:color w:val="000000"/>
              </w:rPr>
            </w:pPr>
          </w:p>
        </w:tc>
      </w:tr>
      <w:tr w:rsidR="00DD4C17" w:rsidRPr="002C36F8" w14:paraId="70B6ABD2" w14:textId="77777777" w:rsidTr="00DD4C17">
        <w:tc>
          <w:tcPr>
            <w:tcW w:w="2079" w:type="dxa"/>
          </w:tcPr>
          <w:p w14:paraId="245D80F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Дизел </w:t>
            </w:r>
          </w:p>
        </w:tc>
        <w:tc>
          <w:tcPr>
            <w:tcW w:w="1460" w:type="dxa"/>
            <w:shd w:val="clear" w:color="auto" w:fill="auto"/>
            <w:vAlign w:val="bottom"/>
          </w:tcPr>
          <w:p w14:paraId="32288CD2" w14:textId="77777777" w:rsidR="00DD4C17" w:rsidRPr="002C36F8" w:rsidRDefault="00DD4C17" w:rsidP="00DD4C17">
            <w:pPr>
              <w:jc w:val="right"/>
              <w:rPr>
                <w:rFonts w:ascii="Calibri" w:hAnsi="Calibri"/>
                <w:color w:val="000000"/>
              </w:rPr>
            </w:pPr>
            <w:r w:rsidRPr="002C36F8">
              <w:rPr>
                <w:rFonts w:ascii="Calibri" w:hAnsi="Calibri"/>
                <w:color w:val="000000"/>
              </w:rPr>
              <w:t>42,80%</w:t>
            </w:r>
          </w:p>
        </w:tc>
        <w:tc>
          <w:tcPr>
            <w:tcW w:w="1432" w:type="dxa"/>
            <w:shd w:val="clear" w:color="000000" w:fill="FFFF00"/>
            <w:vAlign w:val="bottom"/>
          </w:tcPr>
          <w:p w14:paraId="58AF2403" w14:textId="77777777" w:rsidR="00DD4C17" w:rsidRPr="002C36F8" w:rsidRDefault="00DD4C17" w:rsidP="00DD4C17">
            <w:pPr>
              <w:jc w:val="right"/>
              <w:rPr>
                <w:rFonts w:ascii="Calibri" w:hAnsi="Calibri"/>
                <w:color w:val="000000"/>
              </w:rPr>
            </w:pPr>
            <w:r w:rsidRPr="002C36F8">
              <w:rPr>
                <w:rFonts w:ascii="Calibri" w:hAnsi="Calibri"/>
                <w:color w:val="000000"/>
              </w:rPr>
              <w:t>36,70%</w:t>
            </w:r>
          </w:p>
        </w:tc>
        <w:tc>
          <w:tcPr>
            <w:tcW w:w="1432" w:type="dxa"/>
            <w:shd w:val="clear" w:color="auto" w:fill="auto"/>
            <w:vAlign w:val="bottom"/>
          </w:tcPr>
          <w:p w14:paraId="52056B1E" w14:textId="77777777" w:rsidR="00DD4C17" w:rsidRPr="002C36F8" w:rsidRDefault="00DD4C17" w:rsidP="00DD4C17">
            <w:pPr>
              <w:jc w:val="right"/>
              <w:rPr>
                <w:rFonts w:ascii="Calibri" w:hAnsi="Calibri"/>
                <w:color w:val="000000"/>
              </w:rPr>
            </w:pPr>
            <w:r w:rsidRPr="002C36F8">
              <w:rPr>
                <w:rFonts w:ascii="Calibri" w:hAnsi="Calibri"/>
                <w:color w:val="000000"/>
              </w:rPr>
              <w:t>81,30%</w:t>
            </w:r>
          </w:p>
        </w:tc>
        <w:tc>
          <w:tcPr>
            <w:tcW w:w="1454" w:type="dxa"/>
            <w:shd w:val="clear" w:color="auto" w:fill="auto"/>
            <w:vAlign w:val="bottom"/>
          </w:tcPr>
          <w:p w14:paraId="34EB4A8C" w14:textId="77777777" w:rsidR="00DD4C17" w:rsidRPr="002C36F8" w:rsidRDefault="00DD4C17" w:rsidP="00DD4C17">
            <w:pPr>
              <w:jc w:val="right"/>
              <w:rPr>
                <w:rFonts w:ascii="Calibri" w:hAnsi="Calibri"/>
                <w:color w:val="000000"/>
              </w:rPr>
            </w:pPr>
            <w:r w:rsidRPr="002C36F8">
              <w:rPr>
                <w:rFonts w:ascii="Calibri" w:hAnsi="Calibri"/>
                <w:color w:val="000000"/>
              </w:rPr>
              <w:t>80,22%</w:t>
            </w:r>
          </w:p>
        </w:tc>
        <w:tc>
          <w:tcPr>
            <w:tcW w:w="1205" w:type="dxa"/>
            <w:shd w:val="clear" w:color="auto" w:fill="auto"/>
            <w:vAlign w:val="bottom"/>
          </w:tcPr>
          <w:p w14:paraId="41979EDF" w14:textId="77777777" w:rsidR="00DD4C17" w:rsidRPr="002C36F8" w:rsidRDefault="00DD4C17" w:rsidP="00DD4C17">
            <w:pPr>
              <w:jc w:val="right"/>
              <w:rPr>
                <w:rFonts w:ascii="Calibri" w:hAnsi="Calibri"/>
                <w:color w:val="000000"/>
              </w:rPr>
            </w:pPr>
            <w:r w:rsidRPr="002C36F8">
              <w:rPr>
                <w:rFonts w:ascii="Calibri" w:hAnsi="Calibri"/>
                <w:color w:val="000000"/>
              </w:rPr>
              <w:t>88,41%</w:t>
            </w:r>
          </w:p>
        </w:tc>
      </w:tr>
      <w:tr w:rsidR="00DD4C17" w:rsidRPr="002C36F8" w14:paraId="551DEC16" w14:textId="77777777" w:rsidTr="00DD4C17">
        <w:tc>
          <w:tcPr>
            <w:tcW w:w="2079" w:type="dxa"/>
          </w:tcPr>
          <w:p w14:paraId="2AEA9D3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Бензин/Газ</w:t>
            </w:r>
          </w:p>
        </w:tc>
        <w:tc>
          <w:tcPr>
            <w:tcW w:w="1460" w:type="dxa"/>
            <w:shd w:val="clear" w:color="auto" w:fill="auto"/>
            <w:vAlign w:val="bottom"/>
          </w:tcPr>
          <w:p w14:paraId="059D04B2" w14:textId="77777777" w:rsidR="00DD4C17" w:rsidRPr="002C36F8" w:rsidRDefault="00DD4C17" w:rsidP="00DD4C17">
            <w:pPr>
              <w:jc w:val="right"/>
              <w:rPr>
                <w:rFonts w:ascii="Calibri" w:hAnsi="Calibri"/>
                <w:color w:val="000000"/>
              </w:rPr>
            </w:pPr>
            <w:r w:rsidRPr="002C36F8">
              <w:rPr>
                <w:rFonts w:ascii="Calibri" w:hAnsi="Calibri"/>
                <w:color w:val="000000"/>
              </w:rPr>
              <w:t>1,81%</w:t>
            </w:r>
          </w:p>
        </w:tc>
        <w:tc>
          <w:tcPr>
            <w:tcW w:w="1432" w:type="dxa"/>
            <w:shd w:val="clear" w:color="000000" w:fill="FFFF00"/>
            <w:vAlign w:val="bottom"/>
          </w:tcPr>
          <w:p w14:paraId="73C9D45D" w14:textId="77777777" w:rsidR="00DD4C17" w:rsidRPr="002C36F8" w:rsidRDefault="00DD4C17" w:rsidP="00DD4C17">
            <w:pPr>
              <w:jc w:val="right"/>
              <w:rPr>
                <w:rFonts w:ascii="Calibri" w:hAnsi="Calibri"/>
                <w:color w:val="000000"/>
              </w:rPr>
            </w:pPr>
            <w:r w:rsidRPr="002C36F8">
              <w:rPr>
                <w:rFonts w:ascii="Calibri" w:hAnsi="Calibri"/>
                <w:color w:val="000000"/>
              </w:rPr>
              <w:t>1,99%</w:t>
            </w:r>
          </w:p>
        </w:tc>
        <w:tc>
          <w:tcPr>
            <w:tcW w:w="1432" w:type="dxa"/>
            <w:shd w:val="clear" w:color="auto" w:fill="auto"/>
            <w:vAlign w:val="bottom"/>
          </w:tcPr>
          <w:p w14:paraId="20E4DA5D" w14:textId="77777777" w:rsidR="00DD4C17" w:rsidRPr="002C36F8" w:rsidRDefault="00DD4C17" w:rsidP="00DD4C17">
            <w:pPr>
              <w:jc w:val="right"/>
              <w:rPr>
                <w:rFonts w:ascii="Calibri" w:hAnsi="Calibri"/>
                <w:color w:val="000000"/>
              </w:rPr>
            </w:pPr>
            <w:r w:rsidRPr="002C36F8">
              <w:rPr>
                <w:rFonts w:ascii="Calibri" w:hAnsi="Calibri"/>
                <w:color w:val="000000"/>
              </w:rPr>
              <w:t>0,80%</w:t>
            </w:r>
          </w:p>
        </w:tc>
        <w:tc>
          <w:tcPr>
            <w:tcW w:w="1454" w:type="dxa"/>
            <w:shd w:val="clear" w:color="auto" w:fill="auto"/>
            <w:vAlign w:val="bottom"/>
          </w:tcPr>
          <w:p w14:paraId="0699EEE4" w14:textId="77777777" w:rsidR="00DD4C17" w:rsidRPr="002C36F8" w:rsidRDefault="00DD4C17" w:rsidP="00DD4C17">
            <w:pPr>
              <w:jc w:val="right"/>
              <w:rPr>
                <w:rFonts w:ascii="Calibri" w:hAnsi="Calibri"/>
                <w:color w:val="000000"/>
              </w:rPr>
            </w:pPr>
            <w:r w:rsidRPr="002C36F8">
              <w:rPr>
                <w:rFonts w:ascii="Calibri" w:hAnsi="Calibri"/>
                <w:color w:val="000000"/>
              </w:rPr>
              <w:t>0,42%</w:t>
            </w:r>
          </w:p>
        </w:tc>
        <w:tc>
          <w:tcPr>
            <w:tcW w:w="1205" w:type="dxa"/>
            <w:shd w:val="clear" w:color="auto" w:fill="auto"/>
            <w:vAlign w:val="bottom"/>
          </w:tcPr>
          <w:p w14:paraId="5A6E50C8" w14:textId="77777777" w:rsidR="00DD4C17" w:rsidRPr="002C36F8" w:rsidRDefault="00DD4C17" w:rsidP="00DD4C17">
            <w:pPr>
              <w:jc w:val="right"/>
              <w:rPr>
                <w:rFonts w:ascii="Calibri" w:hAnsi="Calibri"/>
                <w:color w:val="000000"/>
              </w:rPr>
            </w:pPr>
          </w:p>
        </w:tc>
      </w:tr>
      <w:tr w:rsidR="00DD4C17" w:rsidRPr="002C36F8" w14:paraId="3343204C" w14:textId="77777777" w:rsidTr="00DD4C17">
        <w:tc>
          <w:tcPr>
            <w:tcW w:w="2079" w:type="dxa"/>
          </w:tcPr>
          <w:p w14:paraId="77F6E340"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Бензин </w:t>
            </w:r>
          </w:p>
        </w:tc>
        <w:tc>
          <w:tcPr>
            <w:tcW w:w="1460" w:type="dxa"/>
            <w:shd w:val="clear" w:color="auto" w:fill="auto"/>
            <w:vAlign w:val="bottom"/>
          </w:tcPr>
          <w:p w14:paraId="55791798" w14:textId="77777777" w:rsidR="00DD4C17" w:rsidRPr="002C36F8" w:rsidRDefault="00DD4C17" w:rsidP="00DD4C17">
            <w:pPr>
              <w:jc w:val="right"/>
              <w:rPr>
                <w:rFonts w:ascii="Calibri" w:hAnsi="Calibri"/>
                <w:color w:val="000000"/>
              </w:rPr>
            </w:pPr>
            <w:r w:rsidRPr="002C36F8">
              <w:rPr>
                <w:rFonts w:ascii="Calibri" w:hAnsi="Calibri"/>
                <w:color w:val="000000"/>
              </w:rPr>
              <w:t>50,11%</w:t>
            </w:r>
          </w:p>
        </w:tc>
        <w:tc>
          <w:tcPr>
            <w:tcW w:w="1432" w:type="dxa"/>
            <w:shd w:val="clear" w:color="000000" w:fill="FFFF00"/>
            <w:vAlign w:val="bottom"/>
          </w:tcPr>
          <w:p w14:paraId="218AFA1D" w14:textId="77777777" w:rsidR="00DD4C17" w:rsidRPr="002C36F8" w:rsidRDefault="00DD4C17" w:rsidP="00DD4C17">
            <w:pPr>
              <w:jc w:val="right"/>
              <w:rPr>
                <w:rFonts w:ascii="Calibri" w:hAnsi="Calibri"/>
                <w:color w:val="000000"/>
              </w:rPr>
            </w:pPr>
            <w:r w:rsidRPr="002C36F8">
              <w:rPr>
                <w:rFonts w:ascii="Calibri" w:hAnsi="Calibri"/>
                <w:color w:val="000000"/>
              </w:rPr>
              <w:t>55,79%</w:t>
            </w:r>
          </w:p>
        </w:tc>
        <w:tc>
          <w:tcPr>
            <w:tcW w:w="1432" w:type="dxa"/>
            <w:shd w:val="clear" w:color="auto" w:fill="auto"/>
            <w:vAlign w:val="bottom"/>
          </w:tcPr>
          <w:p w14:paraId="6BA9E07B" w14:textId="77777777" w:rsidR="00DD4C17" w:rsidRPr="002C36F8" w:rsidRDefault="00DD4C17" w:rsidP="00DD4C17">
            <w:pPr>
              <w:jc w:val="right"/>
              <w:rPr>
                <w:rFonts w:ascii="Calibri" w:hAnsi="Calibri"/>
                <w:color w:val="000000"/>
              </w:rPr>
            </w:pPr>
            <w:r w:rsidRPr="002C36F8">
              <w:rPr>
                <w:rFonts w:ascii="Calibri" w:hAnsi="Calibri"/>
                <w:color w:val="000000"/>
              </w:rPr>
              <w:t>15,97%</w:t>
            </w:r>
          </w:p>
        </w:tc>
        <w:tc>
          <w:tcPr>
            <w:tcW w:w="1454" w:type="dxa"/>
            <w:shd w:val="clear" w:color="auto" w:fill="auto"/>
            <w:vAlign w:val="bottom"/>
          </w:tcPr>
          <w:p w14:paraId="6F15C67E" w14:textId="77777777" w:rsidR="00DD4C17" w:rsidRPr="002C36F8" w:rsidRDefault="00DD4C17" w:rsidP="00DD4C17">
            <w:pPr>
              <w:jc w:val="right"/>
              <w:rPr>
                <w:rFonts w:ascii="Calibri" w:hAnsi="Calibri"/>
                <w:color w:val="000000"/>
              </w:rPr>
            </w:pPr>
            <w:r w:rsidRPr="002C36F8">
              <w:rPr>
                <w:rFonts w:ascii="Calibri" w:hAnsi="Calibri"/>
                <w:color w:val="000000"/>
              </w:rPr>
              <w:t>18,37%</w:t>
            </w:r>
          </w:p>
        </w:tc>
        <w:tc>
          <w:tcPr>
            <w:tcW w:w="1205" w:type="dxa"/>
            <w:shd w:val="clear" w:color="auto" w:fill="auto"/>
            <w:vAlign w:val="bottom"/>
          </w:tcPr>
          <w:p w14:paraId="316CBAB3" w14:textId="77777777" w:rsidR="00DD4C17" w:rsidRPr="002C36F8" w:rsidRDefault="00DD4C17" w:rsidP="00DD4C17">
            <w:pPr>
              <w:jc w:val="right"/>
              <w:rPr>
                <w:rFonts w:ascii="Calibri" w:hAnsi="Calibri"/>
                <w:color w:val="000000"/>
              </w:rPr>
            </w:pPr>
            <w:r w:rsidRPr="002C36F8">
              <w:rPr>
                <w:rFonts w:ascii="Calibri" w:hAnsi="Calibri"/>
                <w:color w:val="000000"/>
              </w:rPr>
              <w:t>8,84%</w:t>
            </w:r>
          </w:p>
        </w:tc>
      </w:tr>
    </w:tbl>
    <w:p w14:paraId="313AD116" w14:textId="77777777" w:rsidR="00DD4C17" w:rsidRPr="002C36F8" w:rsidRDefault="00DD4C17" w:rsidP="00854C9D">
      <w:pPr>
        <w:spacing w:after="0" w:line="240" w:lineRule="auto"/>
        <w:rPr>
          <w:rFonts w:ascii="Times New Roman" w:hAnsi="Times New Roman" w:cs="Times New Roman"/>
          <w:i/>
          <w:sz w:val="24"/>
          <w:szCs w:val="24"/>
        </w:rPr>
      </w:pPr>
      <w:r w:rsidRPr="002C36F8">
        <w:rPr>
          <w:rFonts w:ascii="Times New Roman" w:hAnsi="Times New Roman" w:cs="Times New Roman"/>
          <w:i/>
          <w:sz w:val="24"/>
          <w:szCs w:val="24"/>
        </w:rPr>
        <w:t>Източник: ГД „Национална полиция“ - МВР</w:t>
      </w:r>
    </w:p>
    <w:p w14:paraId="38740BCA" w14:textId="77777777" w:rsidR="00854C9D" w:rsidRPr="002C36F8" w:rsidRDefault="00854C9D" w:rsidP="00854C9D">
      <w:pPr>
        <w:spacing w:after="0" w:line="240" w:lineRule="auto"/>
        <w:rPr>
          <w:rFonts w:ascii="Times New Roman" w:hAnsi="Times New Roman" w:cs="Times New Roman"/>
          <w:sz w:val="24"/>
          <w:szCs w:val="24"/>
        </w:rPr>
      </w:pPr>
    </w:p>
    <w:p w14:paraId="56F51335" w14:textId="77777777" w:rsidR="00DD4C17" w:rsidRPr="002C36F8" w:rsidRDefault="00DD4C17" w:rsidP="00854C9D">
      <w:pPr>
        <w:spacing w:after="0" w:line="240" w:lineRule="auto"/>
        <w:ind w:firstLine="567"/>
        <w:rPr>
          <w:rFonts w:ascii="Times New Roman" w:hAnsi="Times New Roman" w:cs="Times New Roman"/>
          <w:sz w:val="24"/>
          <w:szCs w:val="24"/>
        </w:rPr>
      </w:pPr>
      <w:r w:rsidRPr="002C36F8">
        <w:rPr>
          <w:rFonts w:ascii="Times New Roman" w:hAnsi="Times New Roman" w:cs="Times New Roman"/>
          <w:sz w:val="24"/>
          <w:szCs w:val="24"/>
        </w:rPr>
        <w:t>От разпределението е видно, че:</w:t>
      </w:r>
    </w:p>
    <w:p w14:paraId="12EEB565"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55,79% от леките автомобили са с бензинов двигател, а 36,70% са на дизелово гориво;</w:t>
      </w:r>
    </w:p>
    <w:p w14:paraId="6AB18EB3"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87,77% от автобусите са дизелови, а 9,93% са на бензин;</w:t>
      </w:r>
    </w:p>
    <w:p w14:paraId="38BC4CE8"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88,41% от товарните автомобили са дизелови, а 8,84% са на бензин.</w:t>
      </w:r>
    </w:p>
    <w:p w14:paraId="2ADF3EFE"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80,22% от специалните автомобили са на дизелово гориво, а 18,37% са на бензин.</w:t>
      </w:r>
    </w:p>
    <w:p w14:paraId="51806087"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От общия брой автомобили е незначителен делът на леките автомобили, товарните автомобили и автобуси с електрическо задвижване- 0,01%.</w:t>
      </w:r>
    </w:p>
    <w:p w14:paraId="4503F51B"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От общия брой автомобили е незначителен делът на автомобилите с хибридно задвижване - 0,04%. </w:t>
      </w:r>
    </w:p>
    <w:p w14:paraId="43DEF363"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Делът на леките автомобили с хибридно задвижване от общия автомобилен парк е 0,04%, </w:t>
      </w:r>
    </w:p>
    <w:p w14:paraId="5B2BE9FD" w14:textId="77777777" w:rsidR="00DD4C17"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Делът на товарни автомобилите с хибридно задвижване от общия автомобилен парк е 0,06%, </w:t>
      </w:r>
    </w:p>
    <w:p w14:paraId="3EBC849F" w14:textId="77777777" w:rsidR="00854C9D" w:rsidRPr="002C36F8" w:rsidRDefault="00DD4C17" w:rsidP="001A0506">
      <w:pPr>
        <w:numPr>
          <w:ilvl w:val="0"/>
          <w:numId w:val="15"/>
        </w:numPr>
        <w:spacing w:after="0" w:line="240" w:lineRule="auto"/>
        <w:ind w:left="567" w:hanging="425"/>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Делът на специалните автомобили с хибридно задвижване от общия автомобилен парк е 0,003% , а делът на автобусите е съответно -0,001%.</w:t>
      </w:r>
    </w:p>
    <w:p w14:paraId="6138AF50" w14:textId="77777777" w:rsidR="006D09E6" w:rsidRDefault="00DD4C17" w:rsidP="00854C9D">
      <w:pPr>
        <w:spacing w:after="0" w:line="240" w:lineRule="auto"/>
        <w:ind w:firstLine="567"/>
        <w:jc w:val="both"/>
        <w:rPr>
          <w:rFonts w:ascii="Times New Roman" w:hAnsi="Times New Roman" w:cs="Times New Roman"/>
          <w:sz w:val="20"/>
          <w:szCs w:val="20"/>
        </w:rPr>
      </w:pPr>
      <w:r w:rsidRPr="002C36F8">
        <w:rPr>
          <w:rFonts w:ascii="Times New Roman" w:eastAsia="Times New Roman" w:hAnsi="Times New Roman" w:cs="Times New Roman"/>
          <w:noProof/>
          <w:sz w:val="24"/>
          <w:szCs w:val="24"/>
          <w:lang w:eastAsia="en-GB"/>
        </w:rPr>
        <w:t>Следва да се отбележи, че на годишна база към 31.12.2015 г. броят на електрическите превозни средства се е увеличил с 27%, а на хибридните превозни средства –с 49% спрямо 2014 г. Общият брой превозни средства от тези две категории през 2015 г . се е увеличил с 42% спрямо предходната година.</w:t>
      </w:r>
      <w:r w:rsidR="00C34332" w:rsidRPr="00C34332">
        <w:rPr>
          <w:rFonts w:ascii="Times New Roman" w:hAnsi="Times New Roman" w:cs="Times New Roman"/>
          <w:sz w:val="20"/>
          <w:szCs w:val="20"/>
        </w:rPr>
        <w:t xml:space="preserve"> </w:t>
      </w:r>
    </w:p>
    <w:p w14:paraId="56AA6AF3" w14:textId="77777777" w:rsidR="006D09E6" w:rsidRDefault="006D09E6" w:rsidP="00854C9D">
      <w:pPr>
        <w:spacing w:after="0" w:line="240" w:lineRule="auto"/>
        <w:ind w:firstLine="567"/>
        <w:jc w:val="both"/>
        <w:rPr>
          <w:rFonts w:ascii="Times New Roman" w:hAnsi="Times New Roman" w:cs="Times New Roman"/>
          <w:sz w:val="20"/>
          <w:szCs w:val="20"/>
        </w:rPr>
      </w:pPr>
    </w:p>
    <w:p w14:paraId="62D5D2C7" w14:textId="77777777" w:rsidR="006D09E6" w:rsidRPr="006D09E6" w:rsidRDefault="006D09E6" w:rsidP="006D09E6">
      <w:pPr>
        <w:spacing w:after="0" w:line="240" w:lineRule="auto"/>
        <w:jc w:val="both"/>
        <w:rPr>
          <w:rFonts w:ascii="Times New Roman" w:hAnsi="Times New Roman" w:cs="Times New Roman"/>
          <w:sz w:val="20"/>
          <w:szCs w:val="20"/>
        </w:rPr>
      </w:pPr>
      <w:r w:rsidRPr="006D09E6">
        <w:rPr>
          <w:rFonts w:ascii="Times New Roman" w:eastAsia="Times New Roman" w:hAnsi="Times New Roman" w:cs="Times New Roman"/>
          <w:i/>
          <w:noProof/>
          <w:sz w:val="20"/>
          <w:szCs w:val="20"/>
          <w:lang w:eastAsia="en-GB"/>
        </w:rPr>
        <w:t>Таблица 10 Категории превозни средства с електрическо и хибридно задвижване в периода 2013 – 2015 г.</w:t>
      </w:r>
    </w:p>
    <w:p w14:paraId="400408B7" w14:textId="77777777" w:rsidR="006D09E6" w:rsidRDefault="006D09E6" w:rsidP="00854C9D">
      <w:pPr>
        <w:spacing w:after="0" w:line="240" w:lineRule="auto"/>
        <w:ind w:firstLine="567"/>
        <w:jc w:val="both"/>
        <w:rPr>
          <w:rFonts w:ascii="Times New Roman" w:hAnsi="Times New Roman" w:cs="Times New Roman"/>
          <w:sz w:val="20"/>
          <w:szCs w:val="20"/>
        </w:rPr>
      </w:pPr>
    </w:p>
    <w:p w14:paraId="75CF27F3" w14:textId="77777777" w:rsidR="00C34332" w:rsidRDefault="00C34332" w:rsidP="006D09E6">
      <w:pPr>
        <w:spacing w:after="0" w:line="240" w:lineRule="auto"/>
        <w:jc w:val="both"/>
        <w:rPr>
          <w:rFonts w:ascii="Times New Roman" w:eastAsia="Times New Roman" w:hAnsi="Times New Roman" w:cs="Times New Roman"/>
          <w:sz w:val="24"/>
          <w:szCs w:val="24"/>
          <w:lang w:eastAsia="bg-BG"/>
        </w:rPr>
      </w:pPr>
    </w:p>
    <w:p w14:paraId="0A6869DB"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62B19B59"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52A1864A"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19A9A05F"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1B7A2E09"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3944DAB9"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2187C1AD"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701DD4D9"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437B8237"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p w14:paraId="743F5BB5" w14:textId="77777777" w:rsidR="00E25D01" w:rsidRDefault="00E25D01" w:rsidP="006D09E6">
      <w:pPr>
        <w:spacing w:after="0" w:line="240" w:lineRule="auto"/>
        <w:jc w:val="both"/>
        <w:rPr>
          <w:rFonts w:ascii="Times New Roman" w:eastAsia="Times New Roman" w:hAnsi="Times New Roman" w:cs="Times New Roman"/>
          <w:sz w:val="24"/>
          <w:szCs w:val="24"/>
          <w:lang w:eastAsia="bg-BG"/>
        </w:rPr>
      </w:pPr>
    </w:p>
    <w:tbl>
      <w:tblPr>
        <w:tblStyle w:val="TableGrid2"/>
        <w:tblpPr w:leftFromText="141" w:rightFromText="141" w:vertAnchor="page" w:horzAnchor="margin" w:tblpY="2146"/>
        <w:tblW w:w="9634" w:type="dxa"/>
        <w:tblLayout w:type="fixed"/>
        <w:tblLook w:val="04A0" w:firstRow="1" w:lastRow="0" w:firstColumn="1" w:lastColumn="0" w:noHBand="0" w:noVBand="1"/>
      </w:tblPr>
      <w:tblGrid>
        <w:gridCol w:w="1838"/>
        <w:gridCol w:w="1418"/>
        <w:gridCol w:w="1134"/>
        <w:gridCol w:w="1559"/>
        <w:gridCol w:w="1134"/>
        <w:gridCol w:w="1417"/>
        <w:gridCol w:w="1134"/>
      </w:tblGrid>
      <w:tr w:rsidR="00E25D01" w:rsidRPr="002C36F8" w14:paraId="5CF8671E" w14:textId="77777777" w:rsidTr="00E67B50">
        <w:trPr>
          <w:trHeight w:val="398"/>
        </w:trPr>
        <w:tc>
          <w:tcPr>
            <w:tcW w:w="1838" w:type="dxa"/>
            <w:vMerge w:val="restart"/>
          </w:tcPr>
          <w:p w14:paraId="1CAD79A2"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Тип превозно средство</w:t>
            </w:r>
          </w:p>
        </w:tc>
        <w:tc>
          <w:tcPr>
            <w:tcW w:w="2552" w:type="dxa"/>
            <w:gridSpan w:val="2"/>
          </w:tcPr>
          <w:p w14:paraId="46200C79"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2013</w:t>
            </w:r>
          </w:p>
        </w:tc>
        <w:tc>
          <w:tcPr>
            <w:tcW w:w="2693" w:type="dxa"/>
            <w:gridSpan w:val="2"/>
          </w:tcPr>
          <w:p w14:paraId="568B68E1"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2014</w:t>
            </w:r>
          </w:p>
        </w:tc>
        <w:tc>
          <w:tcPr>
            <w:tcW w:w="2551" w:type="dxa"/>
            <w:gridSpan w:val="2"/>
          </w:tcPr>
          <w:p w14:paraId="3D43614C"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eastAsia="en-GB"/>
              </w:rPr>
              <w:t>2015</w:t>
            </w:r>
          </w:p>
        </w:tc>
      </w:tr>
      <w:tr w:rsidR="00E25D01" w:rsidRPr="002C36F8" w14:paraId="7EFC36E8" w14:textId="77777777" w:rsidTr="00E67B50">
        <w:trPr>
          <w:trHeight w:val="397"/>
        </w:trPr>
        <w:tc>
          <w:tcPr>
            <w:tcW w:w="1838" w:type="dxa"/>
            <w:vMerge/>
          </w:tcPr>
          <w:p w14:paraId="4098C0D1"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p>
        </w:tc>
        <w:tc>
          <w:tcPr>
            <w:tcW w:w="1418" w:type="dxa"/>
          </w:tcPr>
          <w:p w14:paraId="3F29E06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Електрически</w:t>
            </w:r>
          </w:p>
        </w:tc>
        <w:tc>
          <w:tcPr>
            <w:tcW w:w="1134" w:type="dxa"/>
          </w:tcPr>
          <w:p w14:paraId="4491A388"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Хибридни </w:t>
            </w:r>
          </w:p>
        </w:tc>
        <w:tc>
          <w:tcPr>
            <w:tcW w:w="1559" w:type="dxa"/>
          </w:tcPr>
          <w:p w14:paraId="223B7E63"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Електрически</w:t>
            </w:r>
          </w:p>
        </w:tc>
        <w:tc>
          <w:tcPr>
            <w:tcW w:w="1134" w:type="dxa"/>
          </w:tcPr>
          <w:p w14:paraId="5F6C579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Хибридни </w:t>
            </w:r>
          </w:p>
        </w:tc>
        <w:tc>
          <w:tcPr>
            <w:tcW w:w="1417" w:type="dxa"/>
          </w:tcPr>
          <w:p w14:paraId="5A69C5A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Електрически </w:t>
            </w:r>
          </w:p>
        </w:tc>
        <w:tc>
          <w:tcPr>
            <w:tcW w:w="1134" w:type="dxa"/>
          </w:tcPr>
          <w:p w14:paraId="26CF6FAE"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Хибридни </w:t>
            </w:r>
          </w:p>
        </w:tc>
      </w:tr>
      <w:tr w:rsidR="00E25D01" w:rsidRPr="002C36F8" w14:paraId="5BF98CC3" w14:textId="77777777" w:rsidTr="00E67B50">
        <w:tc>
          <w:tcPr>
            <w:tcW w:w="1838" w:type="dxa"/>
          </w:tcPr>
          <w:p w14:paraId="2CD3542C"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Мотопед </w:t>
            </w:r>
          </w:p>
        </w:tc>
        <w:tc>
          <w:tcPr>
            <w:tcW w:w="1418" w:type="dxa"/>
          </w:tcPr>
          <w:p w14:paraId="4250F96C"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204</w:t>
            </w:r>
          </w:p>
        </w:tc>
        <w:tc>
          <w:tcPr>
            <w:tcW w:w="1134" w:type="dxa"/>
          </w:tcPr>
          <w:p w14:paraId="377D6B1E"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559" w:type="dxa"/>
          </w:tcPr>
          <w:p w14:paraId="6183314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286</w:t>
            </w:r>
          </w:p>
        </w:tc>
        <w:tc>
          <w:tcPr>
            <w:tcW w:w="1134" w:type="dxa"/>
          </w:tcPr>
          <w:p w14:paraId="0106EA75" w14:textId="77777777" w:rsidR="00E25D01" w:rsidRPr="002C36F8" w:rsidRDefault="00E25D01" w:rsidP="00E67B50">
            <w:pPr>
              <w:rPr>
                <w:rFonts w:ascii="Times New Roman" w:hAnsi="Times New Roman" w:cs="Times New Roman"/>
                <w:sz w:val="20"/>
                <w:szCs w:val="20"/>
              </w:rPr>
            </w:pPr>
            <w:r w:rsidRPr="002C36F8">
              <w:rPr>
                <w:rFonts w:ascii="Times New Roman" w:hAnsi="Times New Roman" w:cs="Times New Roman"/>
                <w:sz w:val="20"/>
                <w:szCs w:val="20"/>
              </w:rPr>
              <w:t>0</w:t>
            </w:r>
          </w:p>
        </w:tc>
        <w:tc>
          <w:tcPr>
            <w:tcW w:w="1417" w:type="dxa"/>
          </w:tcPr>
          <w:p w14:paraId="015D46AD"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345</w:t>
            </w:r>
          </w:p>
        </w:tc>
        <w:tc>
          <w:tcPr>
            <w:tcW w:w="1134" w:type="dxa"/>
          </w:tcPr>
          <w:p w14:paraId="726D08DA" w14:textId="77777777" w:rsidR="00E25D01" w:rsidRPr="002C36F8" w:rsidRDefault="00E25D01" w:rsidP="00E67B50">
            <w:pPr>
              <w:spacing w:before="120" w:after="120"/>
              <w:ind w:firstLine="708"/>
              <w:jc w:val="both"/>
              <w:rPr>
                <w:rFonts w:ascii="Times New Roman" w:eastAsia="Times New Roman" w:hAnsi="Times New Roman" w:cs="Times New Roman"/>
                <w:noProof/>
                <w:sz w:val="20"/>
                <w:szCs w:val="20"/>
                <w:lang w:val="en-US" w:eastAsia="en-GB"/>
              </w:rPr>
            </w:pPr>
          </w:p>
        </w:tc>
      </w:tr>
      <w:tr w:rsidR="00E25D01" w:rsidRPr="002C36F8" w14:paraId="6F0B2DF0" w14:textId="77777777" w:rsidTr="00E67B50">
        <w:tc>
          <w:tcPr>
            <w:tcW w:w="1838" w:type="dxa"/>
          </w:tcPr>
          <w:p w14:paraId="0F9A0636"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Мотоциклет </w:t>
            </w:r>
          </w:p>
        </w:tc>
        <w:tc>
          <w:tcPr>
            <w:tcW w:w="1418" w:type="dxa"/>
          </w:tcPr>
          <w:p w14:paraId="22ECF247"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4</w:t>
            </w:r>
          </w:p>
        </w:tc>
        <w:tc>
          <w:tcPr>
            <w:tcW w:w="1134" w:type="dxa"/>
          </w:tcPr>
          <w:p w14:paraId="77174B28"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559" w:type="dxa"/>
          </w:tcPr>
          <w:p w14:paraId="53AB34A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4</w:t>
            </w:r>
          </w:p>
        </w:tc>
        <w:tc>
          <w:tcPr>
            <w:tcW w:w="1134" w:type="dxa"/>
          </w:tcPr>
          <w:p w14:paraId="6A1056C4" w14:textId="77777777" w:rsidR="00E25D01" w:rsidRPr="002C36F8" w:rsidRDefault="00E25D01" w:rsidP="00E67B50">
            <w:pPr>
              <w:rPr>
                <w:rFonts w:ascii="Times New Roman" w:hAnsi="Times New Roman" w:cs="Times New Roman"/>
                <w:sz w:val="20"/>
                <w:szCs w:val="20"/>
              </w:rPr>
            </w:pPr>
          </w:p>
        </w:tc>
        <w:tc>
          <w:tcPr>
            <w:tcW w:w="1417" w:type="dxa"/>
          </w:tcPr>
          <w:p w14:paraId="0FDD8475"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5</w:t>
            </w:r>
          </w:p>
        </w:tc>
        <w:tc>
          <w:tcPr>
            <w:tcW w:w="1134" w:type="dxa"/>
          </w:tcPr>
          <w:p w14:paraId="402F3B85"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p>
        </w:tc>
      </w:tr>
      <w:tr w:rsidR="00E25D01" w:rsidRPr="002C36F8" w14:paraId="448471A8" w14:textId="77777777" w:rsidTr="00E67B50">
        <w:tc>
          <w:tcPr>
            <w:tcW w:w="1838" w:type="dxa"/>
          </w:tcPr>
          <w:p w14:paraId="1AEE3B1D"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Мототрикол</w:t>
            </w:r>
          </w:p>
          <w:p w14:paraId="405E82CE"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ка пътническа</w:t>
            </w:r>
          </w:p>
        </w:tc>
        <w:tc>
          <w:tcPr>
            <w:tcW w:w="1418" w:type="dxa"/>
          </w:tcPr>
          <w:p w14:paraId="04CCE651"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134" w:type="dxa"/>
          </w:tcPr>
          <w:p w14:paraId="43AC5DDC"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559" w:type="dxa"/>
          </w:tcPr>
          <w:p w14:paraId="46998FBF"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134" w:type="dxa"/>
          </w:tcPr>
          <w:p w14:paraId="0C2C6F87" w14:textId="77777777" w:rsidR="00E25D01" w:rsidRPr="002C36F8" w:rsidRDefault="00E25D01" w:rsidP="00E67B50">
            <w:pPr>
              <w:rPr>
                <w:rFonts w:ascii="Times New Roman" w:hAnsi="Times New Roman" w:cs="Times New Roman"/>
                <w:sz w:val="20"/>
                <w:szCs w:val="20"/>
              </w:rPr>
            </w:pPr>
          </w:p>
        </w:tc>
        <w:tc>
          <w:tcPr>
            <w:tcW w:w="1417" w:type="dxa"/>
          </w:tcPr>
          <w:p w14:paraId="1FBF390E"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134" w:type="dxa"/>
          </w:tcPr>
          <w:p w14:paraId="05FC8B9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p>
        </w:tc>
      </w:tr>
      <w:tr w:rsidR="00E25D01" w:rsidRPr="002C36F8" w14:paraId="2AF6F8B4" w14:textId="77777777" w:rsidTr="00E67B50">
        <w:tc>
          <w:tcPr>
            <w:tcW w:w="1838" w:type="dxa"/>
          </w:tcPr>
          <w:p w14:paraId="28090449"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Триколесно пътно превозно средство</w:t>
            </w:r>
          </w:p>
        </w:tc>
        <w:tc>
          <w:tcPr>
            <w:tcW w:w="1418" w:type="dxa"/>
          </w:tcPr>
          <w:p w14:paraId="7CF63E94"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w:t>
            </w:r>
          </w:p>
        </w:tc>
        <w:tc>
          <w:tcPr>
            <w:tcW w:w="1134" w:type="dxa"/>
          </w:tcPr>
          <w:p w14:paraId="0DCBC0B6"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559" w:type="dxa"/>
          </w:tcPr>
          <w:p w14:paraId="5CACACD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w:t>
            </w:r>
          </w:p>
        </w:tc>
        <w:tc>
          <w:tcPr>
            <w:tcW w:w="1134" w:type="dxa"/>
          </w:tcPr>
          <w:p w14:paraId="677023E0" w14:textId="77777777" w:rsidR="00E25D01" w:rsidRPr="002C36F8" w:rsidRDefault="00E25D01" w:rsidP="00E67B50">
            <w:pPr>
              <w:rPr>
                <w:rFonts w:ascii="Times New Roman" w:hAnsi="Times New Roman" w:cs="Times New Roman"/>
                <w:noProof/>
                <w:sz w:val="20"/>
                <w:szCs w:val="20"/>
              </w:rPr>
            </w:pPr>
          </w:p>
          <w:p w14:paraId="541D2BCE" w14:textId="77777777" w:rsidR="00E25D01" w:rsidRPr="002C36F8" w:rsidRDefault="00E25D01" w:rsidP="00E67B50">
            <w:pPr>
              <w:rPr>
                <w:rFonts w:ascii="Times New Roman" w:hAnsi="Times New Roman" w:cs="Times New Roman"/>
                <w:sz w:val="20"/>
                <w:szCs w:val="20"/>
              </w:rPr>
            </w:pPr>
          </w:p>
        </w:tc>
        <w:tc>
          <w:tcPr>
            <w:tcW w:w="1417" w:type="dxa"/>
          </w:tcPr>
          <w:p w14:paraId="7E265918"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w:t>
            </w:r>
          </w:p>
        </w:tc>
        <w:tc>
          <w:tcPr>
            <w:tcW w:w="1134" w:type="dxa"/>
          </w:tcPr>
          <w:p w14:paraId="2034F711"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p>
        </w:tc>
      </w:tr>
      <w:tr w:rsidR="00E25D01" w:rsidRPr="002C36F8" w14:paraId="47BF8751" w14:textId="77777777" w:rsidTr="00E67B50">
        <w:tc>
          <w:tcPr>
            <w:tcW w:w="1838" w:type="dxa"/>
          </w:tcPr>
          <w:p w14:paraId="5FAFEDB3"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Четириколесно превозно средство</w:t>
            </w:r>
          </w:p>
        </w:tc>
        <w:tc>
          <w:tcPr>
            <w:tcW w:w="1418" w:type="dxa"/>
          </w:tcPr>
          <w:p w14:paraId="7B3EE3D6"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51</w:t>
            </w:r>
          </w:p>
        </w:tc>
        <w:tc>
          <w:tcPr>
            <w:tcW w:w="1134" w:type="dxa"/>
          </w:tcPr>
          <w:p w14:paraId="36B77397"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559" w:type="dxa"/>
          </w:tcPr>
          <w:p w14:paraId="36DA4298"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79</w:t>
            </w:r>
          </w:p>
        </w:tc>
        <w:tc>
          <w:tcPr>
            <w:tcW w:w="1134" w:type="dxa"/>
          </w:tcPr>
          <w:p w14:paraId="6E3999C8" w14:textId="77777777" w:rsidR="00E25D01" w:rsidRPr="002C36F8" w:rsidRDefault="00E25D01" w:rsidP="00E67B50">
            <w:pPr>
              <w:rPr>
                <w:rFonts w:ascii="Times New Roman" w:hAnsi="Times New Roman" w:cs="Times New Roman"/>
                <w:sz w:val="20"/>
                <w:szCs w:val="20"/>
              </w:rPr>
            </w:pPr>
          </w:p>
        </w:tc>
        <w:tc>
          <w:tcPr>
            <w:tcW w:w="1417" w:type="dxa"/>
          </w:tcPr>
          <w:p w14:paraId="32CD8252"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95</w:t>
            </w:r>
          </w:p>
        </w:tc>
        <w:tc>
          <w:tcPr>
            <w:tcW w:w="1134" w:type="dxa"/>
          </w:tcPr>
          <w:p w14:paraId="110D5697"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p>
        </w:tc>
      </w:tr>
      <w:tr w:rsidR="00E25D01" w:rsidRPr="002C36F8" w14:paraId="5E384F57" w14:textId="77777777" w:rsidTr="00E67B50">
        <w:tc>
          <w:tcPr>
            <w:tcW w:w="1838" w:type="dxa"/>
          </w:tcPr>
          <w:p w14:paraId="19B70B9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Лек автомобил </w:t>
            </w:r>
          </w:p>
        </w:tc>
        <w:tc>
          <w:tcPr>
            <w:tcW w:w="1418" w:type="dxa"/>
          </w:tcPr>
          <w:p w14:paraId="1E4364B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72</w:t>
            </w:r>
          </w:p>
        </w:tc>
        <w:tc>
          <w:tcPr>
            <w:tcW w:w="1134" w:type="dxa"/>
          </w:tcPr>
          <w:p w14:paraId="1A7A7175"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558</w:t>
            </w:r>
          </w:p>
        </w:tc>
        <w:tc>
          <w:tcPr>
            <w:tcW w:w="1559" w:type="dxa"/>
          </w:tcPr>
          <w:p w14:paraId="665F4DD9"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91</w:t>
            </w:r>
          </w:p>
        </w:tc>
        <w:tc>
          <w:tcPr>
            <w:tcW w:w="1134" w:type="dxa"/>
          </w:tcPr>
          <w:p w14:paraId="713A6E72"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929</w:t>
            </w:r>
          </w:p>
        </w:tc>
        <w:tc>
          <w:tcPr>
            <w:tcW w:w="1417" w:type="dxa"/>
          </w:tcPr>
          <w:p w14:paraId="69AC0BD7"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147</w:t>
            </w:r>
          </w:p>
        </w:tc>
        <w:tc>
          <w:tcPr>
            <w:tcW w:w="1134" w:type="dxa"/>
          </w:tcPr>
          <w:p w14:paraId="084F1DD6"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1 302</w:t>
            </w:r>
          </w:p>
        </w:tc>
      </w:tr>
      <w:tr w:rsidR="00E25D01" w:rsidRPr="002C36F8" w14:paraId="1EF54D05" w14:textId="77777777" w:rsidTr="00E67B50">
        <w:tc>
          <w:tcPr>
            <w:tcW w:w="1838" w:type="dxa"/>
          </w:tcPr>
          <w:p w14:paraId="3148AA14"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Товарен автомобил</w:t>
            </w:r>
          </w:p>
        </w:tc>
        <w:tc>
          <w:tcPr>
            <w:tcW w:w="1418" w:type="dxa"/>
          </w:tcPr>
          <w:p w14:paraId="4BB18334"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32</w:t>
            </w:r>
          </w:p>
        </w:tc>
        <w:tc>
          <w:tcPr>
            <w:tcW w:w="1134" w:type="dxa"/>
          </w:tcPr>
          <w:p w14:paraId="740335BC"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25</w:t>
            </w:r>
          </w:p>
        </w:tc>
        <w:tc>
          <w:tcPr>
            <w:tcW w:w="1559" w:type="dxa"/>
          </w:tcPr>
          <w:p w14:paraId="3A3150F4"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33</w:t>
            </w:r>
          </w:p>
        </w:tc>
        <w:tc>
          <w:tcPr>
            <w:tcW w:w="1134" w:type="dxa"/>
          </w:tcPr>
          <w:p w14:paraId="10FB6A99"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99</w:t>
            </w:r>
          </w:p>
        </w:tc>
        <w:tc>
          <w:tcPr>
            <w:tcW w:w="1417" w:type="dxa"/>
          </w:tcPr>
          <w:p w14:paraId="18352DC6"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34</w:t>
            </w:r>
          </w:p>
        </w:tc>
        <w:tc>
          <w:tcPr>
            <w:tcW w:w="1134" w:type="dxa"/>
          </w:tcPr>
          <w:p w14:paraId="4B29D5A1"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230</w:t>
            </w:r>
          </w:p>
        </w:tc>
      </w:tr>
      <w:tr w:rsidR="00E25D01" w:rsidRPr="002C36F8" w14:paraId="2A4CA0DE" w14:textId="77777777" w:rsidTr="00E67B50">
        <w:tc>
          <w:tcPr>
            <w:tcW w:w="1838" w:type="dxa"/>
          </w:tcPr>
          <w:p w14:paraId="43986FE4"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Специален автомобил</w:t>
            </w:r>
          </w:p>
        </w:tc>
        <w:tc>
          <w:tcPr>
            <w:tcW w:w="1418" w:type="dxa"/>
          </w:tcPr>
          <w:p w14:paraId="4A0944B6"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134" w:type="dxa"/>
          </w:tcPr>
          <w:p w14:paraId="609DCD83"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559" w:type="dxa"/>
          </w:tcPr>
          <w:p w14:paraId="20E1FACD"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134" w:type="dxa"/>
          </w:tcPr>
          <w:p w14:paraId="185F46A5"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417" w:type="dxa"/>
          </w:tcPr>
          <w:p w14:paraId="1A25D5F3" w14:textId="77777777" w:rsidR="00E25D01" w:rsidRPr="002C36F8" w:rsidRDefault="00E25D01" w:rsidP="00E67B50">
            <w:pPr>
              <w:spacing w:before="120" w:after="120"/>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134" w:type="dxa"/>
          </w:tcPr>
          <w:p w14:paraId="388D92FC"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1</w:t>
            </w:r>
          </w:p>
        </w:tc>
      </w:tr>
      <w:tr w:rsidR="00E25D01" w:rsidRPr="002C36F8" w14:paraId="22F550A5" w14:textId="77777777" w:rsidTr="00E67B50">
        <w:tc>
          <w:tcPr>
            <w:tcW w:w="1838" w:type="dxa"/>
          </w:tcPr>
          <w:p w14:paraId="58C43DE3"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 xml:space="preserve">Автобус </w:t>
            </w:r>
          </w:p>
        </w:tc>
        <w:tc>
          <w:tcPr>
            <w:tcW w:w="1418" w:type="dxa"/>
          </w:tcPr>
          <w:p w14:paraId="7B87141D"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0</w:t>
            </w:r>
          </w:p>
        </w:tc>
        <w:tc>
          <w:tcPr>
            <w:tcW w:w="1134" w:type="dxa"/>
          </w:tcPr>
          <w:p w14:paraId="081B96E6"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w:t>
            </w:r>
          </w:p>
        </w:tc>
        <w:tc>
          <w:tcPr>
            <w:tcW w:w="1559" w:type="dxa"/>
          </w:tcPr>
          <w:p w14:paraId="25789A7F"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p>
        </w:tc>
        <w:tc>
          <w:tcPr>
            <w:tcW w:w="1134" w:type="dxa"/>
          </w:tcPr>
          <w:p w14:paraId="1ECBC2AB"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w:t>
            </w:r>
          </w:p>
        </w:tc>
        <w:tc>
          <w:tcPr>
            <w:tcW w:w="1417" w:type="dxa"/>
          </w:tcPr>
          <w:p w14:paraId="09F7ED5F"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2</w:t>
            </w:r>
          </w:p>
        </w:tc>
        <w:tc>
          <w:tcPr>
            <w:tcW w:w="1134" w:type="dxa"/>
          </w:tcPr>
          <w:p w14:paraId="075A016C"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2</w:t>
            </w:r>
          </w:p>
        </w:tc>
      </w:tr>
      <w:tr w:rsidR="00E25D01" w:rsidRPr="002C36F8" w14:paraId="0A524433" w14:textId="77777777" w:rsidTr="00E67B50">
        <w:tc>
          <w:tcPr>
            <w:tcW w:w="1838" w:type="dxa"/>
          </w:tcPr>
          <w:p w14:paraId="38239D9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Общо:</w:t>
            </w:r>
          </w:p>
        </w:tc>
        <w:tc>
          <w:tcPr>
            <w:tcW w:w="1418" w:type="dxa"/>
          </w:tcPr>
          <w:p w14:paraId="49606C10"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366</w:t>
            </w:r>
          </w:p>
        </w:tc>
        <w:tc>
          <w:tcPr>
            <w:tcW w:w="1134" w:type="dxa"/>
          </w:tcPr>
          <w:p w14:paraId="131E77FC"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586</w:t>
            </w:r>
          </w:p>
        </w:tc>
        <w:tc>
          <w:tcPr>
            <w:tcW w:w="1559" w:type="dxa"/>
          </w:tcPr>
          <w:p w14:paraId="12EDADAE"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498</w:t>
            </w:r>
          </w:p>
        </w:tc>
        <w:tc>
          <w:tcPr>
            <w:tcW w:w="1134" w:type="dxa"/>
          </w:tcPr>
          <w:p w14:paraId="432CA95A" w14:textId="77777777" w:rsidR="00E25D01" w:rsidRPr="002C36F8" w:rsidRDefault="00E25D01" w:rsidP="00E67B50">
            <w:pPr>
              <w:spacing w:before="120" w:after="120"/>
              <w:jc w:val="both"/>
              <w:rPr>
                <w:rFonts w:ascii="Times New Roman" w:eastAsia="Times New Roman" w:hAnsi="Times New Roman" w:cs="Times New Roman"/>
                <w:noProof/>
                <w:sz w:val="20"/>
                <w:szCs w:val="20"/>
                <w:lang w:eastAsia="en-GB"/>
              </w:rPr>
            </w:pPr>
            <w:r w:rsidRPr="002C36F8">
              <w:rPr>
                <w:rFonts w:ascii="Times New Roman" w:eastAsia="Times New Roman" w:hAnsi="Times New Roman" w:cs="Times New Roman"/>
                <w:noProof/>
                <w:sz w:val="20"/>
                <w:szCs w:val="20"/>
                <w:lang w:eastAsia="en-GB"/>
              </w:rPr>
              <w:t>1</w:t>
            </w:r>
            <w:r w:rsidRPr="002C36F8">
              <w:rPr>
                <w:rFonts w:ascii="Times New Roman" w:eastAsia="Times New Roman" w:hAnsi="Times New Roman" w:cs="Times New Roman"/>
                <w:noProof/>
                <w:sz w:val="20"/>
                <w:szCs w:val="20"/>
                <w:lang w:val="en-US" w:eastAsia="en-GB"/>
              </w:rPr>
              <w:t xml:space="preserve"> </w:t>
            </w:r>
            <w:r w:rsidRPr="002C36F8">
              <w:rPr>
                <w:rFonts w:ascii="Times New Roman" w:eastAsia="Times New Roman" w:hAnsi="Times New Roman" w:cs="Times New Roman"/>
                <w:noProof/>
                <w:sz w:val="20"/>
                <w:szCs w:val="20"/>
                <w:lang w:eastAsia="en-GB"/>
              </w:rPr>
              <w:t>031</w:t>
            </w:r>
          </w:p>
        </w:tc>
        <w:tc>
          <w:tcPr>
            <w:tcW w:w="1417" w:type="dxa"/>
          </w:tcPr>
          <w:p w14:paraId="2369C3EE"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632</w:t>
            </w:r>
          </w:p>
        </w:tc>
        <w:tc>
          <w:tcPr>
            <w:tcW w:w="1134" w:type="dxa"/>
          </w:tcPr>
          <w:p w14:paraId="2B8E39F5" w14:textId="77777777" w:rsidR="00E25D01" w:rsidRPr="002C36F8" w:rsidRDefault="00E25D01" w:rsidP="00E67B50">
            <w:pPr>
              <w:spacing w:before="120" w:after="120"/>
              <w:jc w:val="both"/>
              <w:rPr>
                <w:rFonts w:ascii="Times New Roman" w:eastAsia="Times New Roman" w:hAnsi="Times New Roman" w:cs="Times New Roman"/>
                <w:noProof/>
                <w:sz w:val="20"/>
                <w:szCs w:val="20"/>
                <w:lang w:val="en-US" w:eastAsia="en-GB"/>
              </w:rPr>
            </w:pPr>
            <w:r w:rsidRPr="002C36F8">
              <w:rPr>
                <w:rFonts w:ascii="Times New Roman" w:eastAsia="Times New Roman" w:hAnsi="Times New Roman" w:cs="Times New Roman"/>
                <w:noProof/>
                <w:sz w:val="20"/>
                <w:szCs w:val="20"/>
                <w:lang w:val="en-US" w:eastAsia="en-GB"/>
              </w:rPr>
              <w:t>1535</w:t>
            </w:r>
          </w:p>
        </w:tc>
      </w:tr>
    </w:tbl>
    <w:p w14:paraId="3DAE25E4" w14:textId="77777777" w:rsidR="00E25D01" w:rsidRPr="002C36F8" w:rsidRDefault="00E25D01" w:rsidP="006D09E6">
      <w:pPr>
        <w:spacing w:after="0" w:line="240" w:lineRule="auto"/>
        <w:jc w:val="both"/>
        <w:rPr>
          <w:rFonts w:ascii="Times New Roman" w:eastAsia="Times New Roman" w:hAnsi="Times New Roman" w:cs="Times New Roman"/>
          <w:sz w:val="24"/>
          <w:szCs w:val="24"/>
          <w:lang w:eastAsia="bg-BG"/>
        </w:rPr>
      </w:pPr>
    </w:p>
    <w:p w14:paraId="567F4CA0" w14:textId="79872785" w:rsidR="006D09E6" w:rsidRDefault="006D09E6" w:rsidP="00854C9D">
      <w:pPr>
        <w:spacing w:after="0" w:line="240" w:lineRule="auto"/>
        <w:ind w:firstLine="567"/>
        <w:jc w:val="both"/>
        <w:rPr>
          <w:rFonts w:ascii="Times New Roman" w:hAnsi="Times New Roman" w:cs="Times New Roman"/>
          <w:noProof/>
          <w:sz w:val="24"/>
          <w:szCs w:val="24"/>
        </w:rPr>
      </w:pPr>
    </w:p>
    <w:p w14:paraId="656D8693" w14:textId="77777777" w:rsidR="00E25D01" w:rsidRPr="00E25D01" w:rsidRDefault="00E25D01" w:rsidP="00E25D01">
      <w:pPr>
        <w:spacing w:after="0" w:line="240" w:lineRule="auto"/>
        <w:ind w:firstLine="567"/>
        <w:jc w:val="both"/>
        <w:rPr>
          <w:rFonts w:ascii="Times New Roman" w:hAnsi="Times New Roman" w:cs="Times New Roman"/>
          <w:i/>
          <w:noProof/>
          <w:sz w:val="24"/>
          <w:szCs w:val="24"/>
        </w:rPr>
      </w:pPr>
      <w:r w:rsidRPr="00E25D01">
        <w:rPr>
          <w:rFonts w:ascii="Times New Roman" w:hAnsi="Times New Roman" w:cs="Times New Roman"/>
          <w:i/>
          <w:noProof/>
          <w:sz w:val="24"/>
          <w:szCs w:val="24"/>
        </w:rPr>
        <w:t xml:space="preserve">Източник: ГД „Национална полиция“ на МВР </w:t>
      </w:r>
    </w:p>
    <w:p w14:paraId="2ED61196" w14:textId="77777777" w:rsidR="00E25D01" w:rsidRDefault="00E25D01" w:rsidP="00854C9D">
      <w:pPr>
        <w:spacing w:after="0" w:line="240" w:lineRule="auto"/>
        <w:ind w:firstLine="567"/>
        <w:jc w:val="both"/>
        <w:rPr>
          <w:rFonts w:ascii="Times New Roman" w:hAnsi="Times New Roman" w:cs="Times New Roman"/>
          <w:noProof/>
          <w:sz w:val="24"/>
          <w:szCs w:val="24"/>
        </w:rPr>
      </w:pPr>
    </w:p>
    <w:p w14:paraId="6CAB71D6" w14:textId="77777777" w:rsidR="00DD4C17" w:rsidRDefault="00DD4C17" w:rsidP="00854C9D">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noProof/>
          <w:sz w:val="24"/>
          <w:szCs w:val="24"/>
        </w:rPr>
        <w:t>Видно от таблицата по-</w:t>
      </w:r>
      <w:r w:rsidR="006D09E6">
        <w:rPr>
          <w:rFonts w:ascii="Times New Roman" w:hAnsi="Times New Roman" w:cs="Times New Roman"/>
          <w:noProof/>
          <w:sz w:val="24"/>
          <w:szCs w:val="24"/>
        </w:rPr>
        <w:t>горе</w:t>
      </w:r>
      <w:r w:rsidRPr="002C36F8">
        <w:rPr>
          <w:rFonts w:ascii="Times New Roman" w:hAnsi="Times New Roman" w:cs="Times New Roman"/>
          <w:noProof/>
          <w:sz w:val="24"/>
          <w:szCs w:val="24"/>
        </w:rPr>
        <w:t xml:space="preserve">, е че </w:t>
      </w:r>
      <w:r w:rsidRPr="002C36F8">
        <w:rPr>
          <w:rFonts w:ascii="Times New Roman" w:hAnsi="Times New Roman" w:cs="Times New Roman"/>
          <w:sz w:val="24"/>
          <w:szCs w:val="24"/>
        </w:rPr>
        <w:t>общият брой на регистрираните мотоциклети с електрически двигател през 2015 г. е 449 бр. Общият брой на автомобилите с електрически двигател е 183, а на тези с хибридно задвижване е 1535.</w:t>
      </w:r>
    </w:p>
    <w:p w14:paraId="083B052C" w14:textId="77777777" w:rsidR="00B67BC1" w:rsidRPr="00BF41EF" w:rsidRDefault="00B67BC1" w:rsidP="006D09E6">
      <w:pPr>
        <w:spacing w:after="0" w:line="240" w:lineRule="auto"/>
        <w:jc w:val="both"/>
        <w:rPr>
          <w:rFonts w:ascii="Times New Roman" w:hAnsi="Times New Roman" w:cs="Times New Roman"/>
          <w:sz w:val="20"/>
          <w:szCs w:val="20"/>
        </w:rPr>
      </w:pPr>
    </w:p>
    <w:p w14:paraId="6CAD824E" w14:textId="77777777" w:rsidR="00DD4C17" w:rsidRPr="002C36F8" w:rsidRDefault="00DD4C17" w:rsidP="00854C9D">
      <w:pPr>
        <w:spacing w:after="0" w:line="240" w:lineRule="auto"/>
        <w:ind w:firstLine="567"/>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На годишна база към 31.12.2014 г. се наблюдава увеличение на броя на електрическите превозни средства с 36%, а на хибридните превозни средства със 76% спрямо предходната 2013 г. Общият брой на превозните средства от тези две категории </w:t>
      </w:r>
      <w:r w:rsidRPr="008045CD">
        <w:rPr>
          <w:rFonts w:ascii="Times New Roman" w:eastAsia="Times New Roman" w:hAnsi="Times New Roman" w:cs="Times New Roman"/>
          <w:noProof/>
          <w:sz w:val="24"/>
          <w:szCs w:val="24"/>
          <w:lang w:eastAsia="en-GB"/>
        </w:rPr>
        <w:t xml:space="preserve">превозни средства </w:t>
      </w:r>
      <w:r w:rsidRPr="002C36F8">
        <w:rPr>
          <w:rFonts w:ascii="Times New Roman" w:eastAsia="Times New Roman" w:hAnsi="Times New Roman" w:cs="Times New Roman"/>
          <w:noProof/>
          <w:sz w:val="24"/>
          <w:szCs w:val="24"/>
          <w:lang w:eastAsia="en-GB"/>
        </w:rPr>
        <w:t>се е увеличил с 60,5% спрямо 2013 г.</w:t>
      </w:r>
    </w:p>
    <w:p w14:paraId="576CE105" w14:textId="77777777" w:rsidR="00DD4C17" w:rsidRPr="002C36F8" w:rsidRDefault="00DD4C17" w:rsidP="00854C9D">
      <w:pPr>
        <w:spacing w:after="0"/>
        <w:ind w:firstLine="567"/>
        <w:jc w:val="both"/>
        <w:rPr>
          <w:rFonts w:ascii="Times New Roman" w:hAnsi="Times New Roman" w:cs="Times New Roman"/>
          <w:sz w:val="24"/>
          <w:szCs w:val="24"/>
        </w:rPr>
      </w:pPr>
      <w:r w:rsidRPr="002C36F8">
        <w:rPr>
          <w:rFonts w:ascii="Times New Roman" w:hAnsi="Times New Roman" w:cs="Times New Roman"/>
          <w:sz w:val="24"/>
          <w:szCs w:val="24"/>
        </w:rPr>
        <w:t>Тенденциите в разпределението на автомобилния парк по вида на използваното гориво към средата на м. септември 20</w:t>
      </w:r>
      <w:r w:rsidR="00BF41EF">
        <w:rPr>
          <w:rFonts w:ascii="Times New Roman" w:hAnsi="Times New Roman" w:cs="Times New Roman"/>
          <w:sz w:val="24"/>
          <w:szCs w:val="24"/>
        </w:rPr>
        <w:t>16 г. са представени в таблица 11</w:t>
      </w:r>
    </w:p>
    <w:p w14:paraId="0701723C" w14:textId="77777777" w:rsidR="00854C9D" w:rsidRPr="00A74D8C" w:rsidRDefault="00854C9D" w:rsidP="00854C9D">
      <w:pPr>
        <w:spacing w:after="0"/>
        <w:ind w:firstLine="567"/>
        <w:jc w:val="both"/>
        <w:rPr>
          <w:rFonts w:ascii="Times New Roman" w:hAnsi="Times New Roman" w:cs="Times New Roman"/>
          <w:sz w:val="16"/>
          <w:szCs w:val="16"/>
        </w:rPr>
      </w:pPr>
    </w:p>
    <w:p w14:paraId="5D880D1C" w14:textId="77777777" w:rsidR="00DD4C17" w:rsidRPr="002C36F8" w:rsidRDefault="00BF41EF" w:rsidP="00854C9D">
      <w:pPr>
        <w:spacing w:after="0"/>
        <w:jc w:val="both"/>
        <w:rPr>
          <w:rFonts w:ascii="Times New Roman" w:hAnsi="Times New Roman" w:cs="Times New Roman"/>
          <w:sz w:val="20"/>
          <w:szCs w:val="20"/>
        </w:rPr>
      </w:pPr>
      <w:r>
        <w:rPr>
          <w:rFonts w:ascii="Times New Roman" w:hAnsi="Times New Roman" w:cs="Times New Roman"/>
          <w:sz w:val="20"/>
          <w:szCs w:val="20"/>
        </w:rPr>
        <w:t>Таблица 11</w:t>
      </w:r>
      <w:r w:rsidR="00DD4C17" w:rsidRPr="002C36F8">
        <w:rPr>
          <w:rFonts w:ascii="Times New Roman" w:hAnsi="Times New Roman" w:cs="Times New Roman"/>
          <w:sz w:val="20"/>
          <w:szCs w:val="20"/>
        </w:rPr>
        <w:t xml:space="preserve"> Категории пътни превозни средства по вид на използваното гориво към 15.09.2016 г.</w:t>
      </w:r>
    </w:p>
    <w:p w14:paraId="476BD68B" w14:textId="77777777" w:rsidR="00854C9D" w:rsidRPr="00A74D8C" w:rsidRDefault="00854C9D" w:rsidP="00854C9D">
      <w:pPr>
        <w:spacing w:after="0"/>
        <w:jc w:val="both"/>
        <w:rPr>
          <w:rFonts w:ascii="Times New Roman" w:hAnsi="Times New Roman" w:cs="Times New Roman"/>
          <w:sz w:val="16"/>
          <w:szCs w:val="16"/>
        </w:rPr>
      </w:pPr>
    </w:p>
    <w:tbl>
      <w:tblPr>
        <w:tblStyle w:val="TableGrid2"/>
        <w:tblW w:w="9062" w:type="dxa"/>
        <w:tblLook w:val="04A0" w:firstRow="1" w:lastRow="0" w:firstColumn="1" w:lastColumn="0" w:noHBand="0" w:noVBand="1"/>
      </w:tblPr>
      <w:tblGrid>
        <w:gridCol w:w="2079"/>
        <w:gridCol w:w="1460"/>
        <w:gridCol w:w="1432"/>
        <w:gridCol w:w="1432"/>
        <w:gridCol w:w="1454"/>
        <w:gridCol w:w="1205"/>
      </w:tblGrid>
      <w:tr w:rsidR="00DD4C17" w:rsidRPr="002C36F8" w14:paraId="7EADBD8C" w14:textId="77777777" w:rsidTr="00DD4C17">
        <w:tc>
          <w:tcPr>
            <w:tcW w:w="2079" w:type="dxa"/>
          </w:tcPr>
          <w:p w14:paraId="0F12778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Вид гориво</w:t>
            </w:r>
          </w:p>
        </w:tc>
        <w:tc>
          <w:tcPr>
            <w:tcW w:w="1460" w:type="dxa"/>
          </w:tcPr>
          <w:p w14:paraId="527F3DA5"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Общ брой автомобили </w:t>
            </w:r>
          </w:p>
        </w:tc>
        <w:tc>
          <w:tcPr>
            <w:tcW w:w="1432" w:type="dxa"/>
          </w:tcPr>
          <w:p w14:paraId="766CBC1A"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Леки автомобили</w:t>
            </w:r>
          </w:p>
        </w:tc>
        <w:tc>
          <w:tcPr>
            <w:tcW w:w="1432" w:type="dxa"/>
          </w:tcPr>
          <w:p w14:paraId="4479377E"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Товарни автомобили</w:t>
            </w:r>
          </w:p>
        </w:tc>
        <w:tc>
          <w:tcPr>
            <w:tcW w:w="1454" w:type="dxa"/>
          </w:tcPr>
          <w:p w14:paraId="7952B4F6"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Специални автомобили</w:t>
            </w:r>
          </w:p>
        </w:tc>
        <w:tc>
          <w:tcPr>
            <w:tcW w:w="1205" w:type="dxa"/>
          </w:tcPr>
          <w:p w14:paraId="74F5398D" w14:textId="77777777" w:rsidR="00DD4C17" w:rsidRPr="002C36F8" w:rsidRDefault="00DD4C17" w:rsidP="00DD4C17">
            <w:pPr>
              <w:jc w:val="both"/>
              <w:rPr>
                <w:rFonts w:ascii="Times New Roman" w:eastAsia="Times New Roman" w:hAnsi="Times New Roman" w:cs="Times New Roman"/>
                <w:noProof/>
                <w:sz w:val="24"/>
                <w:szCs w:val="24"/>
                <w:lang w:eastAsia="en-GB"/>
              </w:rPr>
            </w:pPr>
            <w:r w:rsidRPr="002C36F8">
              <w:rPr>
                <w:rFonts w:ascii="Times New Roman" w:eastAsia="Times New Roman" w:hAnsi="Times New Roman" w:cs="Times New Roman"/>
                <w:noProof/>
                <w:sz w:val="24"/>
                <w:szCs w:val="24"/>
                <w:lang w:eastAsia="en-GB"/>
              </w:rPr>
              <w:t xml:space="preserve">Автобуси </w:t>
            </w:r>
          </w:p>
        </w:tc>
      </w:tr>
      <w:tr w:rsidR="00DD4C17" w:rsidRPr="002C36F8" w14:paraId="1EC18731" w14:textId="77777777" w:rsidTr="00DD4C17">
        <w:tc>
          <w:tcPr>
            <w:tcW w:w="2079" w:type="dxa"/>
          </w:tcPr>
          <w:p w14:paraId="6A4D904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Всичко: </w:t>
            </w:r>
          </w:p>
        </w:tc>
        <w:tc>
          <w:tcPr>
            <w:tcW w:w="1460" w:type="dxa"/>
          </w:tcPr>
          <w:p w14:paraId="3CA4EDB4" w14:textId="77777777" w:rsidR="00DD4C17" w:rsidRPr="002C36F8" w:rsidRDefault="00DD4C17" w:rsidP="00DD4C17">
            <w:pPr>
              <w:jc w:val="right"/>
              <w:rPr>
                <w:rFonts w:ascii="Calibri" w:hAnsi="Calibri"/>
                <w:color w:val="000000"/>
              </w:rPr>
            </w:pPr>
            <w:r w:rsidRPr="002C36F8">
              <w:rPr>
                <w:rFonts w:ascii="Calibri" w:hAnsi="Calibri"/>
                <w:color w:val="000000"/>
              </w:rPr>
              <w:t>3 753 982</w:t>
            </w:r>
          </w:p>
          <w:p w14:paraId="1E3FDA2D" w14:textId="77777777" w:rsidR="00DD4C17" w:rsidRPr="002C36F8" w:rsidRDefault="00DD4C17" w:rsidP="00DD4C17">
            <w:pPr>
              <w:jc w:val="both"/>
              <w:rPr>
                <w:rFonts w:ascii="Times New Roman" w:eastAsia="Times New Roman" w:hAnsi="Times New Roman" w:cs="Times New Roman"/>
                <w:noProof/>
                <w:sz w:val="24"/>
                <w:szCs w:val="24"/>
                <w:lang w:eastAsia="en-GB"/>
              </w:rPr>
            </w:pPr>
          </w:p>
        </w:tc>
        <w:tc>
          <w:tcPr>
            <w:tcW w:w="1432" w:type="dxa"/>
          </w:tcPr>
          <w:p w14:paraId="12A1A447" w14:textId="77777777" w:rsidR="00DD4C17" w:rsidRPr="002C36F8" w:rsidRDefault="00DD4C17" w:rsidP="00DD4C17">
            <w:pPr>
              <w:jc w:val="right"/>
              <w:rPr>
                <w:rFonts w:ascii="Calibri" w:hAnsi="Calibri"/>
                <w:color w:val="000000"/>
              </w:rPr>
            </w:pPr>
            <w:r w:rsidRPr="002C36F8">
              <w:rPr>
                <w:rFonts w:ascii="Calibri" w:hAnsi="Calibri"/>
                <w:color w:val="000000"/>
              </w:rPr>
              <w:t>3 231 191</w:t>
            </w:r>
          </w:p>
          <w:p w14:paraId="5E27E68C" w14:textId="77777777" w:rsidR="00DD4C17" w:rsidRPr="002C36F8" w:rsidRDefault="00DD4C17" w:rsidP="00DD4C17">
            <w:pPr>
              <w:jc w:val="right"/>
              <w:rPr>
                <w:rFonts w:ascii="Times New Roman" w:eastAsia="Times New Roman" w:hAnsi="Times New Roman" w:cs="Times New Roman"/>
                <w:noProof/>
                <w:sz w:val="24"/>
                <w:szCs w:val="24"/>
                <w:lang w:eastAsia="en-GB"/>
              </w:rPr>
            </w:pPr>
          </w:p>
        </w:tc>
        <w:tc>
          <w:tcPr>
            <w:tcW w:w="1432" w:type="dxa"/>
          </w:tcPr>
          <w:p w14:paraId="3BC46FE3" w14:textId="77777777" w:rsidR="00DD4C17" w:rsidRPr="002C36F8" w:rsidRDefault="00DD4C17" w:rsidP="00DD4C17">
            <w:pPr>
              <w:jc w:val="right"/>
              <w:rPr>
                <w:rFonts w:ascii="Calibri" w:hAnsi="Calibri"/>
                <w:color w:val="000000"/>
              </w:rPr>
            </w:pPr>
            <w:r w:rsidRPr="002C36F8">
              <w:rPr>
                <w:rFonts w:ascii="Calibri" w:hAnsi="Calibri"/>
                <w:color w:val="000000"/>
              </w:rPr>
              <w:t>410 136</w:t>
            </w:r>
          </w:p>
          <w:p w14:paraId="7A0527EF" w14:textId="77777777" w:rsidR="00DD4C17" w:rsidRPr="002C36F8" w:rsidRDefault="00DD4C17" w:rsidP="00DD4C17">
            <w:pPr>
              <w:jc w:val="both"/>
              <w:rPr>
                <w:rFonts w:ascii="Times New Roman" w:eastAsia="Times New Roman" w:hAnsi="Times New Roman" w:cs="Times New Roman"/>
                <w:noProof/>
                <w:sz w:val="24"/>
                <w:szCs w:val="24"/>
                <w:lang w:eastAsia="en-GB"/>
              </w:rPr>
            </w:pPr>
          </w:p>
        </w:tc>
        <w:tc>
          <w:tcPr>
            <w:tcW w:w="1454" w:type="dxa"/>
          </w:tcPr>
          <w:p w14:paraId="32D9FF2D" w14:textId="77777777" w:rsidR="00DD4C17" w:rsidRPr="002C36F8" w:rsidRDefault="00DD4C17" w:rsidP="00DD4C17">
            <w:pPr>
              <w:jc w:val="right"/>
              <w:rPr>
                <w:rFonts w:ascii="Calibri" w:hAnsi="Calibri"/>
                <w:color w:val="000000"/>
              </w:rPr>
            </w:pPr>
            <w:r w:rsidRPr="002C36F8">
              <w:rPr>
                <w:rFonts w:ascii="Calibri" w:hAnsi="Calibri"/>
                <w:color w:val="000000"/>
              </w:rPr>
              <w:t>38 186</w:t>
            </w:r>
          </w:p>
          <w:p w14:paraId="701F24DB" w14:textId="77777777" w:rsidR="00DD4C17" w:rsidRPr="002C36F8" w:rsidRDefault="00DD4C17" w:rsidP="00DD4C17">
            <w:pPr>
              <w:jc w:val="both"/>
              <w:rPr>
                <w:rFonts w:ascii="Times New Roman" w:eastAsia="Times New Roman" w:hAnsi="Times New Roman" w:cs="Times New Roman"/>
                <w:noProof/>
                <w:sz w:val="24"/>
                <w:szCs w:val="24"/>
                <w:lang w:eastAsia="en-GB"/>
              </w:rPr>
            </w:pPr>
          </w:p>
        </w:tc>
        <w:tc>
          <w:tcPr>
            <w:tcW w:w="1205" w:type="dxa"/>
          </w:tcPr>
          <w:p w14:paraId="75D5D8A5" w14:textId="77777777" w:rsidR="00DD4C17" w:rsidRPr="002C36F8" w:rsidRDefault="00DD4C17" w:rsidP="00DD4C17">
            <w:pPr>
              <w:jc w:val="right"/>
              <w:rPr>
                <w:rFonts w:ascii="Calibri" w:hAnsi="Calibri"/>
                <w:color w:val="000000"/>
              </w:rPr>
            </w:pPr>
            <w:r w:rsidRPr="002C36F8">
              <w:rPr>
                <w:rFonts w:ascii="Calibri" w:hAnsi="Calibri"/>
                <w:color w:val="000000"/>
              </w:rPr>
              <w:t>23 660</w:t>
            </w:r>
          </w:p>
          <w:p w14:paraId="27E53225" w14:textId="77777777" w:rsidR="00DD4C17" w:rsidRPr="002C36F8" w:rsidRDefault="00DD4C17" w:rsidP="00DD4C17">
            <w:pPr>
              <w:jc w:val="both"/>
              <w:rPr>
                <w:rFonts w:ascii="Times New Roman" w:eastAsia="Times New Roman" w:hAnsi="Times New Roman" w:cs="Times New Roman"/>
                <w:noProof/>
                <w:sz w:val="24"/>
                <w:szCs w:val="24"/>
                <w:lang w:eastAsia="en-GB"/>
              </w:rPr>
            </w:pPr>
          </w:p>
        </w:tc>
      </w:tr>
      <w:tr w:rsidR="00DD4C17" w:rsidRPr="002C36F8" w14:paraId="0DD07EB1" w14:textId="77777777" w:rsidTr="00DD4C17">
        <w:tc>
          <w:tcPr>
            <w:tcW w:w="2079" w:type="dxa"/>
          </w:tcPr>
          <w:p w14:paraId="016C1CCD"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Неизвестен </w:t>
            </w:r>
          </w:p>
        </w:tc>
        <w:tc>
          <w:tcPr>
            <w:tcW w:w="1460" w:type="dxa"/>
            <w:shd w:val="clear" w:color="auto" w:fill="auto"/>
            <w:vAlign w:val="bottom"/>
          </w:tcPr>
          <w:p w14:paraId="2B998837" w14:textId="77777777" w:rsidR="00DD4C17" w:rsidRPr="002C36F8" w:rsidRDefault="00DD4C17" w:rsidP="00DD4C17">
            <w:pPr>
              <w:jc w:val="right"/>
              <w:rPr>
                <w:rFonts w:ascii="Calibri" w:hAnsi="Calibri"/>
                <w:color w:val="000000"/>
              </w:rPr>
            </w:pPr>
            <w:r w:rsidRPr="002C36F8">
              <w:rPr>
                <w:rFonts w:ascii="Calibri" w:hAnsi="Calibri"/>
                <w:color w:val="000000"/>
              </w:rPr>
              <w:t>41 534</w:t>
            </w:r>
          </w:p>
        </w:tc>
        <w:tc>
          <w:tcPr>
            <w:tcW w:w="1432" w:type="dxa"/>
            <w:shd w:val="clear" w:color="000000" w:fill="FFFF00"/>
            <w:vAlign w:val="bottom"/>
          </w:tcPr>
          <w:p w14:paraId="3C0B721C" w14:textId="77777777" w:rsidR="00DD4C17" w:rsidRPr="002C36F8" w:rsidRDefault="00DD4C17" w:rsidP="00DD4C17">
            <w:pPr>
              <w:jc w:val="right"/>
              <w:rPr>
                <w:rFonts w:ascii="Calibri" w:hAnsi="Calibri"/>
                <w:color w:val="000000"/>
              </w:rPr>
            </w:pPr>
            <w:r w:rsidRPr="002C36F8">
              <w:rPr>
                <w:rFonts w:ascii="Calibri" w:hAnsi="Calibri"/>
                <w:color w:val="000000"/>
              </w:rPr>
              <w:t>39 784</w:t>
            </w:r>
          </w:p>
        </w:tc>
        <w:tc>
          <w:tcPr>
            <w:tcW w:w="1432" w:type="dxa"/>
            <w:shd w:val="clear" w:color="auto" w:fill="auto"/>
            <w:vAlign w:val="bottom"/>
          </w:tcPr>
          <w:p w14:paraId="1E257022" w14:textId="77777777" w:rsidR="00DD4C17" w:rsidRPr="002C36F8" w:rsidRDefault="00DD4C17" w:rsidP="00DD4C17">
            <w:pPr>
              <w:jc w:val="right"/>
              <w:rPr>
                <w:rFonts w:ascii="Calibri" w:hAnsi="Calibri"/>
                <w:color w:val="000000"/>
              </w:rPr>
            </w:pPr>
            <w:r w:rsidRPr="002C36F8">
              <w:rPr>
                <w:rFonts w:ascii="Calibri" w:hAnsi="Calibri"/>
                <w:color w:val="000000"/>
              </w:rPr>
              <w:t>1527</w:t>
            </w:r>
          </w:p>
        </w:tc>
        <w:tc>
          <w:tcPr>
            <w:tcW w:w="1454" w:type="dxa"/>
            <w:shd w:val="clear" w:color="auto" w:fill="auto"/>
            <w:vAlign w:val="bottom"/>
          </w:tcPr>
          <w:p w14:paraId="1D4B7CF4" w14:textId="77777777" w:rsidR="00DD4C17" w:rsidRPr="002C36F8" w:rsidRDefault="00DD4C17" w:rsidP="00DD4C17">
            <w:pPr>
              <w:jc w:val="right"/>
              <w:rPr>
                <w:rFonts w:ascii="Calibri" w:hAnsi="Calibri"/>
                <w:color w:val="000000"/>
              </w:rPr>
            </w:pPr>
            <w:r w:rsidRPr="002C36F8">
              <w:rPr>
                <w:rFonts w:ascii="Calibri" w:hAnsi="Calibri"/>
                <w:color w:val="000000"/>
              </w:rPr>
              <w:t>79</w:t>
            </w:r>
          </w:p>
        </w:tc>
        <w:tc>
          <w:tcPr>
            <w:tcW w:w="1205" w:type="dxa"/>
            <w:shd w:val="clear" w:color="auto" w:fill="auto"/>
            <w:vAlign w:val="bottom"/>
          </w:tcPr>
          <w:p w14:paraId="740563BF" w14:textId="77777777" w:rsidR="00DD4C17" w:rsidRPr="002C36F8" w:rsidRDefault="00DD4C17" w:rsidP="00DD4C17">
            <w:pPr>
              <w:jc w:val="right"/>
              <w:rPr>
                <w:rFonts w:ascii="Calibri" w:hAnsi="Calibri"/>
                <w:color w:val="000000"/>
              </w:rPr>
            </w:pPr>
            <w:r w:rsidRPr="002C36F8">
              <w:rPr>
                <w:rFonts w:ascii="Calibri" w:hAnsi="Calibri"/>
                <w:color w:val="000000"/>
              </w:rPr>
              <w:t>119</w:t>
            </w:r>
          </w:p>
        </w:tc>
      </w:tr>
      <w:tr w:rsidR="00DD4C17" w:rsidRPr="002C36F8" w14:paraId="4C7CA652" w14:textId="77777777" w:rsidTr="00DD4C17">
        <w:tc>
          <w:tcPr>
            <w:tcW w:w="2079" w:type="dxa"/>
          </w:tcPr>
          <w:p w14:paraId="1298F9C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Водород </w:t>
            </w:r>
          </w:p>
        </w:tc>
        <w:tc>
          <w:tcPr>
            <w:tcW w:w="1460" w:type="dxa"/>
            <w:shd w:val="clear" w:color="auto" w:fill="auto"/>
            <w:vAlign w:val="bottom"/>
          </w:tcPr>
          <w:p w14:paraId="11B35150" w14:textId="77777777" w:rsidR="00DD4C17" w:rsidRPr="002C36F8" w:rsidRDefault="00DD4C17" w:rsidP="00DD4C17">
            <w:pPr>
              <w:jc w:val="right"/>
              <w:rPr>
                <w:rFonts w:ascii="Calibri" w:hAnsi="Calibri"/>
                <w:color w:val="000000"/>
              </w:rPr>
            </w:pPr>
            <w:r w:rsidRPr="002C36F8">
              <w:rPr>
                <w:rFonts w:ascii="Calibri" w:hAnsi="Calibri"/>
                <w:color w:val="000000"/>
              </w:rPr>
              <w:t>0</w:t>
            </w:r>
          </w:p>
        </w:tc>
        <w:tc>
          <w:tcPr>
            <w:tcW w:w="1432" w:type="dxa"/>
            <w:shd w:val="clear" w:color="auto" w:fill="auto"/>
            <w:vAlign w:val="bottom"/>
          </w:tcPr>
          <w:p w14:paraId="274333DE" w14:textId="77777777" w:rsidR="00DD4C17" w:rsidRPr="002C36F8" w:rsidRDefault="00DD4C17" w:rsidP="00DD4C17">
            <w:pPr>
              <w:jc w:val="right"/>
              <w:rPr>
                <w:rFonts w:ascii="Calibri" w:hAnsi="Calibri"/>
                <w:color w:val="000000"/>
              </w:rPr>
            </w:pPr>
            <w:r w:rsidRPr="002C36F8">
              <w:rPr>
                <w:rFonts w:ascii="Calibri" w:hAnsi="Calibri"/>
                <w:color w:val="000000"/>
              </w:rPr>
              <w:t>0</w:t>
            </w:r>
          </w:p>
        </w:tc>
        <w:tc>
          <w:tcPr>
            <w:tcW w:w="1432" w:type="dxa"/>
            <w:shd w:val="clear" w:color="auto" w:fill="auto"/>
            <w:vAlign w:val="bottom"/>
          </w:tcPr>
          <w:p w14:paraId="5829A244" w14:textId="77777777" w:rsidR="00DD4C17" w:rsidRPr="002C36F8" w:rsidRDefault="00DD4C17" w:rsidP="00DD4C17">
            <w:pPr>
              <w:jc w:val="right"/>
              <w:rPr>
                <w:rFonts w:ascii="Calibri" w:hAnsi="Calibri"/>
                <w:color w:val="000000"/>
              </w:rPr>
            </w:pPr>
            <w:r w:rsidRPr="002C36F8">
              <w:rPr>
                <w:rFonts w:ascii="Calibri" w:hAnsi="Calibri"/>
                <w:color w:val="000000"/>
              </w:rPr>
              <w:t>0</w:t>
            </w:r>
          </w:p>
        </w:tc>
        <w:tc>
          <w:tcPr>
            <w:tcW w:w="1454" w:type="dxa"/>
            <w:shd w:val="clear" w:color="auto" w:fill="auto"/>
            <w:vAlign w:val="bottom"/>
          </w:tcPr>
          <w:p w14:paraId="5042E3A4" w14:textId="77777777" w:rsidR="00DD4C17" w:rsidRPr="002C36F8" w:rsidRDefault="00DD4C17" w:rsidP="00DD4C17">
            <w:pPr>
              <w:jc w:val="right"/>
              <w:rPr>
                <w:rFonts w:ascii="Calibri" w:hAnsi="Calibri"/>
                <w:color w:val="000000"/>
              </w:rPr>
            </w:pPr>
            <w:r w:rsidRPr="002C36F8">
              <w:rPr>
                <w:rFonts w:ascii="Calibri" w:hAnsi="Calibri"/>
                <w:color w:val="000000"/>
              </w:rPr>
              <w:t xml:space="preserve">0 </w:t>
            </w:r>
          </w:p>
        </w:tc>
        <w:tc>
          <w:tcPr>
            <w:tcW w:w="1205" w:type="dxa"/>
            <w:shd w:val="clear" w:color="auto" w:fill="auto"/>
            <w:vAlign w:val="bottom"/>
          </w:tcPr>
          <w:p w14:paraId="3123FBB9" w14:textId="77777777" w:rsidR="00DD4C17" w:rsidRPr="002C36F8" w:rsidRDefault="00DD4C17" w:rsidP="00DD4C17">
            <w:pPr>
              <w:jc w:val="right"/>
              <w:rPr>
                <w:rFonts w:ascii="Calibri" w:hAnsi="Calibri"/>
                <w:color w:val="000000"/>
              </w:rPr>
            </w:pPr>
            <w:r w:rsidRPr="002C36F8">
              <w:rPr>
                <w:rFonts w:ascii="Calibri" w:hAnsi="Calibri"/>
                <w:color w:val="000000"/>
              </w:rPr>
              <w:t>0</w:t>
            </w:r>
          </w:p>
        </w:tc>
      </w:tr>
      <w:tr w:rsidR="00DD4C17" w:rsidRPr="002C36F8" w14:paraId="1565DED8" w14:textId="77777777" w:rsidTr="00DD4C17">
        <w:tc>
          <w:tcPr>
            <w:tcW w:w="2079" w:type="dxa"/>
          </w:tcPr>
          <w:p w14:paraId="650587E1"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Бензин/Природен газ</w:t>
            </w:r>
          </w:p>
        </w:tc>
        <w:tc>
          <w:tcPr>
            <w:tcW w:w="1460" w:type="dxa"/>
            <w:shd w:val="clear" w:color="auto" w:fill="auto"/>
            <w:vAlign w:val="bottom"/>
          </w:tcPr>
          <w:p w14:paraId="203AB8C1" w14:textId="77777777" w:rsidR="00DD4C17" w:rsidRPr="002C36F8" w:rsidRDefault="00DD4C17" w:rsidP="00DD4C17">
            <w:pPr>
              <w:jc w:val="right"/>
              <w:rPr>
                <w:rFonts w:ascii="Calibri" w:hAnsi="Calibri"/>
                <w:color w:val="000000"/>
              </w:rPr>
            </w:pPr>
            <w:r w:rsidRPr="002C36F8">
              <w:rPr>
                <w:rFonts w:ascii="Calibri" w:hAnsi="Calibri"/>
                <w:color w:val="000000"/>
              </w:rPr>
              <w:t>14 412</w:t>
            </w:r>
          </w:p>
        </w:tc>
        <w:tc>
          <w:tcPr>
            <w:tcW w:w="1432" w:type="dxa"/>
            <w:shd w:val="clear" w:color="auto" w:fill="auto"/>
            <w:vAlign w:val="bottom"/>
          </w:tcPr>
          <w:p w14:paraId="07CE7AD1" w14:textId="77777777" w:rsidR="00DD4C17" w:rsidRPr="002C36F8" w:rsidRDefault="00DD4C17" w:rsidP="00DD4C17">
            <w:pPr>
              <w:jc w:val="right"/>
              <w:rPr>
                <w:rFonts w:ascii="Calibri" w:hAnsi="Calibri"/>
                <w:color w:val="000000"/>
              </w:rPr>
            </w:pPr>
            <w:r w:rsidRPr="002C36F8">
              <w:rPr>
                <w:rFonts w:ascii="Calibri" w:hAnsi="Calibri"/>
                <w:color w:val="000000"/>
              </w:rPr>
              <w:t>12 923</w:t>
            </w:r>
          </w:p>
        </w:tc>
        <w:tc>
          <w:tcPr>
            <w:tcW w:w="1432" w:type="dxa"/>
            <w:shd w:val="clear" w:color="auto" w:fill="auto"/>
            <w:vAlign w:val="bottom"/>
          </w:tcPr>
          <w:p w14:paraId="174A47F8" w14:textId="77777777" w:rsidR="00DD4C17" w:rsidRPr="002C36F8" w:rsidRDefault="00DD4C17" w:rsidP="00DD4C17">
            <w:pPr>
              <w:jc w:val="right"/>
              <w:rPr>
                <w:rFonts w:ascii="Calibri" w:hAnsi="Calibri"/>
                <w:color w:val="000000"/>
              </w:rPr>
            </w:pPr>
            <w:r w:rsidRPr="002C36F8">
              <w:rPr>
                <w:rFonts w:ascii="Calibri" w:hAnsi="Calibri"/>
                <w:color w:val="000000"/>
              </w:rPr>
              <w:t>1 430</w:t>
            </w:r>
          </w:p>
        </w:tc>
        <w:tc>
          <w:tcPr>
            <w:tcW w:w="1454" w:type="dxa"/>
            <w:shd w:val="clear" w:color="auto" w:fill="auto"/>
            <w:vAlign w:val="bottom"/>
          </w:tcPr>
          <w:p w14:paraId="17B7B6BC" w14:textId="77777777" w:rsidR="00DD4C17" w:rsidRPr="002C36F8" w:rsidRDefault="00DD4C17" w:rsidP="00DD4C17">
            <w:pPr>
              <w:jc w:val="right"/>
              <w:rPr>
                <w:rFonts w:ascii="Calibri" w:hAnsi="Calibri"/>
                <w:color w:val="000000"/>
              </w:rPr>
            </w:pPr>
            <w:r w:rsidRPr="002C36F8">
              <w:rPr>
                <w:rFonts w:ascii="Calibri" w:hAnsi="Calibri"/>
                <w:color w:val="000000"/>
              </w:rPr>
              <w:t>46</w:t>
            </w:r>
          </w:p>
        </w:tc>
        <w:tc>
          <w:tcPr>
            <w:tcW w:w="1205" w:type="dxa"/>
            <w:shd w:val="clear" w:color="auto" w:fill="auto"/>
            <w:vAlign w:val="bottom"/>
          </w:tcPr>
          <w:p w14:paraId="7DEA0244" w14:textId="77777777" w:rsidR="00DD4C17" w:rsidRPr="002C36F8" w:rsidRDefault="00DD4C17" w:rsidP="00DD4C17">
            <w:pPr>
              <w:jc w:val="right"/>
              <w:rPr>
                <w:rFonts w:ascii="Calibri" w:hAnsi="Calibri"/>
                <w:color w:val="000000"/>
              </w:rPr>
            </w:pPr>
            <w:r w:rsidRPr="002C36F8">
              <w:rPr>
                <w:rFonts w:ascii="Calibri" w:hAnsi="Calibri"/>
                <w:color w:val="000000"/>
              </w:rPr>
              <w:t>13</w:t>
            </w:r>
          </w:p>
        </w:tc>
      </w:tr>
      <w:tr w:rsidR="00DD4C17" w:rsidRPr="002C36F8" w14:paraId="6553F10E" w14:textId="77777777" w:rsidTr="00DD4C17">
        <w:tc>
          <w:tcPr>
            <w:tcW w:w="2079" w:type="dxa"/>
          </w:tcPr>
          <w:p w14:paraId="0022CCEE"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lastRenderedPageBreak/>
              <w:t>Бензин/Втечнен газ</w:t>
            </w:r>
          </w:p>
        </w:tc>
        <w:tc>
          <w:tcPr>
            <w:tcW w:w="1460" w:type="dxa"/>
            <w:shd w:val="clear" w:color="auto" w:fill="auto"/>
            <w:vAlign w:val="bottom"/>
          </w:tcPr>
          <w:p w14:paraId="521C6C60" w14:textId="77777777" w:rsidR="00DD4C17" w:rsidRPr="002C36F8" w:rsidRDefault="00DD4C17" w:rsidP="00DD4C17">
            <w:pPr>
              <w:jc w:val="right"/>
              <w:rPr>
                <w:rFonts w:ascii="Calibri" w:hAnsi="Calibri"/>
                <w:color w:val="000000"/>
              </w:rPr>
            </w:pPr>
            <w:r w:rsidRPr="002C36F8">
              <w:rPr>
                <w:rFonts w:ascii="Calibri" w:hAnsi="Calibri"/>
                <w:color w:val="000000"/>
              </w:rPr>
              <w:t>140 176</w:t>
            </w:r>
          </w:p>
        </w:tc>
        <w:tc>
          <w:tcPr>
            <w:tcW w:w="1432" w:type="dxa"/>
            <w:shd w:val="clear" w:color="000000" w:fill="FFFF00"/>
            <w:vAlign w:val="bottom"/>
          </w:tcPr>
          <w:p w14:paraId="27767545" w14:textId="77777777" w:rsidR="00DD4C17" w:rsidRPr="002C36F8" w:rsidRDefault="00DD4C17" w:rsidP="00DD4C17">
            <w:pPr>
              <w:jc w:val="right"/>
              <w:rPr>
                <w:rFonts w:ascii="Calibri" w:hAnsi="Calibri"/>
                <w:color w:val="000000"/>
              </w:rPr>
            </w:pPr>
            <w:r w:rsidRPr="002C36F8">
              <w:rPr>
                <w:rFonts w:ascii="Calibri" w:hAnsi="Calibri"/>
                <w:color w:val="000000"/>
              </w:rPr>
              <w:t>135 456</w:t>
            </w:r>
          </w:p>
        </w:tc>
        <w:tc>
          <w:tcPr>
            <w:tcW w:w="1432" w:type="dxa"/>
            <w:shd w:val="clear" w:color="auto" w:fill="auto"/>
            <w:vAlign w:val="bottom"/>
          </w:tcPr>
          <w:p w14:paraId="067DAA7E" w14:textId="77777777" w:rsidR="00DD4C17" w:rsidRPr="002C36F8" w:rsidRDefault="00DD4C17" w:rsidP="00DD4C17">
            <w:pPr>
              <w:jc w:val="right"/>
              <w:rPr>
                <w:rFonts w:ascii="Calibri" w:hAnsi="Calibri"/>
                <w:color w:val="000000"/>
              </w:rPr>
            </w:pPr>
            <w:r w:rsidRPr="002C36F8">
              <w:rPr>
                <w:rFonts w:ascii="Calibri" w:hAnsi="Calibri"/>
                <w:color w:val="000000"/>
              </w:rPr>
              <w:t>4 467</w:t>
            </w:r>
          </w:p>
        </w:tc>
        <w:tc>
          <w:tcPr>
            <w:tcW w:w="1454" w:type="dxa"/>
            <w:shd w:val="clear" w:color="auto" w:fill="auto"/>
            <w:vAlign w:val="bottom"/>
          </w:tcPr>
          <w:p w14:paraId="1E024FC2" w14:textId="77777777" w:rsidR="00DD4C17" w:rsidRPr="002C36F8" w:rsidRDefault="00DD4C17" w:rsidP="00DD4C17">
            <w:pPr>
              <w:jc w:val="right"/>
              <w:rPr>
                <w:rFonts w:ascii="Calibri" w:hAnsi="Calibri"/>
                <w:color w:val="000000"/>
              </w:rPr>
            </w:pPr>
            <w:r w:rsidRPr="002C36F8">
              <w:rPr>
                <w:rFonts w:ascii="Calibri" w:hAnsi="Calibri"/>
                <w:color w:val="000000"/>
              </w:rPr>
              <w:t>225</w:t>
            </w:r>
          </w:p>
        </w:tc>
        <w:tc>
          <w:tcPr>
            <w:tcW w:w="1205" w:type="dxa"/>
            <w:shd w:val="clear" w:color="auto" w:fill="auto"/>
            <w:vAlign w:val="bottom"/>
          </w:tcPr>
          <w:p w14:paraId="59BA90DA" w14:textId="77777777" w:rsidR="00DD4C17" w:rsidRPr="002C36F8" w:rsidRDefault="00DD4C17" w:rsidP="00DD4C17">
            <w:pPr>
              <w:jc w:val="right"/>
              <w:rPr>
                <w:rFonts w:ascii="Calibri" w:hAnsi="Calibri"/>
                <w:color w:val="000000"/>
              </w:rPr>
            </w:pPr>
            <w:r w:rsidRPr="002C36F8">
              <w:rPr>
                <w:rFonts w:ascii="Calibri" w:hAnsi="Calibri"/>
                <w:color w:val="000000"/>
              </w:rPr>
              <w:t>28</w:t>
            </w:r>
          </w:p>
        </w:tc>
      </w:tr>
      <w:tr w:rsidR="00DD4C17" w:rsidRPr="002C36F8" w14:paraId="65660BD1" w14:textId="77777777" w:rsidTr="00DD4C17">
        <w:tc>
          <w:tcPr>
            <w:tcW w:w="2079" w:type="dxa"/>
          </w:tcPr>
          <w:p w14:paraId="60539B9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Природен газ</w:t>
            </w:r>
          </w:p>
        </w:tc>
        <w:tc>
          <w:tcPr>
            <w:tcW w:w="1460" w:type="dxa"/>
            <w:shd w:val="clear" w:color="auto" w:fill="auto"/>
            <w:vAlign w:val="bottom"/>
          </w:tcPr>
          <w:p w14:paraId="0284290D" w14:textId="77777777" w:rsidR="00DD4C17" w:rsidRPr="002C36F8" w:rsidRDefault="00DD4C17" w:rsidP="00DD4C17">
            <w:pPr>
              <w:jc w:val="right"/>
              <w:rPr>
                <w:rFonts w:ascii="Calibri" w:hAnsi="Calibri"/>
                <w:color w:val="000000"/>
              </w:rPr>
            </w:pPr>
            <w:r w:rsidRPr="002C36F8">
              <w:rPr>
                <w:rFonts w:ascii="Calibri" w:hAnsi="Calibri"/>
                <w:color w:val="000000"/>
              </w:rPr>
              <w:t>2 101</w:t>
            </w:r>
          </w:p>
        </w:tc>
        <w:tc>
          <w:tcPr>
            <w:tcW w:w="1432" w:type="dxa"/>
            <w:shd w:val="clear" w:color="auto" w:fill="auto"/>
            <w:vAlign w:val="bottom"/>
          </w:tcPr>
          <w:p w14:paraId="2327989D" w14:textId="77777777" w:rsidR="00DD4C17" w:rsidRPr="002C36F8" w:rsidRDefault="00DD4C17" w:rsidP="00DD4C17">
            <w:pPr>
              <w:jc w:val="right"/>
              <w:rPr>
                <w:rFonts w:ascii="Calibri" w:hAnsi="Calibri"/>
                <w:color w:val="000000"/>
              </w:rPr>
            </w:pPr>
            <w:r w:rsidRPr="002C36F8">
              <w:rPr>
                <w:rFonts w:ascii="Calibri" w:hAnsi="Calibri"/>
                <w:color w:val="000000"/>
              </w:rPr>
              <w:t>1 126</w:t>
            </w:r>
          </w:p>
        </w:tc>
        <w:tc>
          <w:tcPr>
            <w:tcW w:w="1432" w:type="dxa"/>
            <w:shd w:val="clear" w:color="auto" w:fill="auto"/>
            <w:vAlign w:val="bottom"/>
          </w:tcPr>
          <w:p w14:paraId="41167E0D" w14:textId="77777777" w:rsidR="00DD4C17" w:rsidRPr="002C36F8" w:rsidRDefault="00DD4C17" w:rsidP="00DD4C17">
            <w:pPr>
              <w:jc w:val="right"/>
              <w:rPr>
                <w:rFonts w:ascii="Calibri" w:hAnsi="Calibri"/>
                <w:color w:val="000000"/>
              </w:rPr>
            </w:pPr>
            <w:r w:rsidRPr="002C36F8">
              <w:rPr>
                <w:rFonts w:ascii="Calibri" w:hAnsi="Calibri"/>
                <w:color w:val="000000"/>
              </w:rPr>
              <w:t>561</w:t>
            </w:r>
          </w:p>
        </w:tc>
        <w:tc>
          <w:tcPr>
            <w:tcW w:w="1454" w:type="dxa"/>
            <w:shd w:val="clear" w:color="auto" w:fill="auto"/>
            <w:vAlign w:val="bottom"/>
          </w:tcPr>
          <w:p w14:paraId="16EEA05A" w14:textId="77777777" w:rsidR="00DD4C17" w:rsidRPr="002C36F8" w:rsidRDefault="00DD4C17" w:rsidP="00DD4C17">
            <w:pPr>
              <w:jc w:val="right"/>
              <w:rPr>
                <w:rFonts w:ascii="Calibri" w:hAnsi="Calibri"/>
                <w:color w:val="000000"/>
              </w:rPr>
            </w:pPr>
            <w:r w:rsidRPr="002C36F8">
              <w:rPr>
                <w:rFonts w:ascii="Calibri" w:hAnsi="Calibri"/>
                <w:color w:val="000000"/>
              </w:rPr>
              <w:t>23</w:t>
            </w:r>
          </w:p>
        </w:tc>
        <w:tc>
          <w:tcPr>
            <w:tcW w:w="1205" w:type="dxa"/>
            <w:shd w:val="clear" w:color="auto" w:fill="auto"/>
            <w:vAlign w:val="bottom"/>
          </w:tcPr>
          <w:p w14:paraId="5B8A5830" w14:textId="77777777" w:rsidR="00DD4C17" w:rsidRPr="002C36F8" w:rsidRDefault="00DD4C17" w:rsidP="00DD4C17">
            <w:pPr>
              <w:jc w:val="right"/>
              <w:rPr>
                <w:rFonts w:ascii="Calibri" w:hAnsi="Calibri"/>
                <w:color w:val="000000"/>
              </w:rPr>
            </w:pPr>
            <w:r w:rsidRPr="002C36F8">
              <w:rPr>
                <w:rFonts w:ascii="Calibri" w:hAnsi="Calibri"/>
                <w:color w:val="000000"/>
              </w:rPr>
              <w:t>347</w:t>
            </w:r>
          </w:p>
        </w:tc>
      </w:tr>
      <w:tr w:rsidR="00DD4C17" w:rsidRPr="002C36F8" w14:paraId="193ED4C3" w14:textId="77777777" w:rsidTr="00DD4C17">
        <w:tc>
          <w:tcPr>
            <w:tcW w:w="2079" w:type="dxa"/>
          </w:tcPr>
          <w:p w14:paraId="16E03DB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Дизел/Електр.</w:t>
            </w:r>
          </w:p>
        </w:tc>
        <w:tc>
          <w:tcPr>
            <w:tcW w:w="1460" w:type="dxa"/>
            <w:shd w:val="clear" w:color="auto" w:fill="auto"/>
            <w:vAlign w:val="bottom"/>
          </w:tcPr>
          <w:p w14:paraId="33ACB228" w14:textId="77777777" w:rsidR="00DD4C17" w:rsidRPr="002C36F8" w:rsidRDefault="00DD4C17" w:rsidP="00DD4C17">
            <w:pPr>
              <w:jc w:val="right"/>
              <w:rPr>
                <w:rFonts w:ascii="Calibri" w:hAnsi="Calibri"/>
                <w:color w:val="000000"/>
              </w:rPr>
            </w:pPr>
            <w:r w:rsidRPr="002C36F8">
              <w:rPr>
                <w:rFonts w:ascii="Calibri" w:hAnsi="Calibri"/>
                <w:color w:val="000000"/>
              </w:rPr>
              <w:t>61</w:t>
            </w:r>
          </w:p>
        </w:tc>
        <w:tc>
          <w:tcPr>
            <w:tcW w:w="1432" w:type="dxa"/>
            <w:shd w:val="clear" w:color="auto" w:fill="auto"/>
            <w:vAlign w:val="bottom"/>
          </w:tcPr>
          <w:p w14:paraId="033B7B1B" w14:textId="77777777" w:rsidR="00DD4C17" w:rsidRPr="002C36F8" w:rsidRDefault="00DD4C17" w:rsidP="00DD4C17">
            <w:pPr>
              <w:jc w:val="right"/>
              <w:rPr>
                <w:rFonts w:ascii="Calibri" w:hAnsi="Calibri"/>
                <w:color w:val="000000"/>
              </w:rPr>
            </w:pPr>
            <w:r w:rsidRPr="002C36F8">
              <w:rPr>
                <w:rFonts w:ascii="Calibri" w:hAnsi="Calibri"/>
                <w:color w:val="000000"/>
              </w:rPr>
              <w:t>54</w:t>
            </w:r>
          </w:p>
        </w:tc>
        <w:tc>
          <w:tcPr>
            <w:tcW w:w="1432" w:type="dxa"/>
            <w:shd w:val="clear" w:color="auto" w:fill="auto"/>
            <w:vAlign w:val="bottom"/>
          </w:tcPr>
          <w:p w14:paraId="1BEE74BB" w14:textId="77777777" w:rsidR="00DD4C17" w:rsidRPr="002C36F8" w:rsidRDefault="00DD4C17" w:rsidP="00DD4C17">
            <w:pPr>
              <w:jc w:val="right"/>
              <w:rPr>
                <w:rFonts w:ascii="Calibri" w:hAnsi="Calibri"/>
                <w:color w:val="000000"/>
              </w:rPr>
            </w:pPr>
            <w:r w:rsidRPr="002C36F8">
              <w:rPr>
                <w:rFonts w:ascii="Calibri" w:hAnsi="Calibri"/>
                <w:color w:val="000000"/>
              </w:rPr>
              <w:t>4</w:t>
            </w:r>
          </w:p>
        </w:tc>
        <w:tc>
          <w:tcPr>
            <w:tcW w:w="1454" w:type="dxa"/>
            <w:shd w:val="clear" w:color="auto" w:fill="auto"/>
            <w:vAlign w:val="bottom"/>
          </w:tcPr>
          <w:p w14:paraId="2600ED13" w14:textId="77777777" w:rsidR="00DD4C17" w:rsidRPr="002C36F8" w:rsidRDefault="00DD4C17" w:rsidP="00DD4C17">
            <w:pPr>
              <w:jc w:val="right"/>
              <w:rPr>
                <w:rFonts w:ascii="Calibri" w:hAnsi="Calibri"/>
                <w:color w:val="000000"/>
              </w:rPr>
            </w:pPr>
            <w:r w:rsidRPr="002C36F8">
              <w:rPr>
                <w:rFonts w:ascii="Calibri" w:hAnsi="Calibri"/>
                <w:color w:val="000000"/>
              </w:rPr>
              <w:t>1</w:t>
            </w:r>
          </w:p>
        </w:tc>
        <w:tc>
          <w:tcPr>
            <w:tcW w:w="1205" w:type="dxa"/>
            <w:shd w:val="clear" w:color="auto" w:fill="auto"/>
            <w:vAlign w:val="bottom"/>
          </w:tcPr>
          <w:p w14:paraId="0C93B2CB" w14:textId="77777777" w:rsidR="00DD4C17" w:rsidRPr="002C36F8" w:rsidRDefault="00DD4C17" w:rsidP="00DD4C17">
            <w:pPr>
              <w:jc w:val="right"/>
              <w:rPr>
                <w:rFonts w:ascii="Calibri" w:hAnsi="Calibri"/>
                <w:color w:val="000000"/>
              </w:rPr>
            </w:pPr>
            <w:r w:rsidRPr="002C36F8">
              <w:rPr>
                <w:rFonts w:ascii="Calibri" w:hAnsi="Calibri"/>
                <w:color w:val="000000"/>
              </w:rPr>
              <w:t>2</w:t>
            </w:r>
          </w:p>
        </w:tc>
      </w:tr>
      <w:tr w:rsidR="00DD4C17" w:rsidRPr="002C36F8" w14:paraId="311D4C3E" w14:textId="77777777" w:rsidTr="00DD4C17">
        <w:tc>
          <w:tcPr>
            <w:tcW w:w="2079" w:type="dxa"/>
          </w:tcPr>
          <w:p w14:paraId="1A750D77"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Бензин/Електр.</w:t>
            </w:r>
          </w:p>
        </w:tc>
        <w:tc>
          <w:tcPr>
            <w:tcW w:w="1460" w:type="dxa"/>
            <w:shd w:val="clear" w:color="auto" w:fill="auto"/>
            <w:vAlign w:val="bottom"/>
          </w:tcPr>
          <w:p w14:paraId="179252CB" w14:textId="77777777" w:rsidR="00DD4C17" w:rsidRPr="002C36F8" w:rsidRDefault="00DD4C17" w:rsidP="00DD4C17">
            <w:pPr>
              <w:jc w:val="right"/>
              <w:rPr>
                <w:rFonts w:ascii="Calibri" w:hAnsi="Calibri"/>
                <w:color w:val="000000"/>
              </w:rPr>
            </w:pPr>
            <w:r w:rsidRPr="002C36F8">
              <w:rPr>
                <w:rFonts w:ascii="Calibri" w:hAnsi="Calibri"/>
                <w:color w:val="000000"/>
              </w:rPr>
              <w:t>2 048</w:t>
            </w:r>
          </w:p>
        </w:tc>
        <w:tc>
          <w:tcPr>
            <w:tcW w:w="1432" w:type="dxa"/>
            <w:shd w:val="clear" w:color="auto" w:fill="auto"/>
            <w:vAlign w:val="bottom"/>
          </w:tcPr>
          <w:p w14:paraId="637EF0F0" w14:textId="77777777" w:rsidR="00DD4C17" w:rsidRPr="002C36F8" w:rsidRDefault="00DD4C17" w:rsidP="00DD4C17">
            <w:pPr>
              <w:jc w:val="right"/>
              <w:rPr>
                <w:rFonts w:ascii="Calibri" w:hAnsi="Calibri"/>
                <w:color w:val="000000"/>
              </w:rPr>
            </w:pPr>
            <w:r w:rsidRPr="002C36F8">
              <w:rPr>
                <w:rFonts w:ascii="Calibri" w:hAnsi="Calibri"/>
                <w:color w:val="000000"/>
              </w:rPr>
              <w:t>1694</w:t>
            </w:r>
          </w:p>
        </w:tc>
        <w:tc>
          <w:tcPr>
            <w:tcW w:w="1432" w:type="dxa"/>
            <w:shd w:val="clear" w:color="auto" w:fill="auto"/>
            <w:vAlign w:val="bottom"/>
          </w:tcPr>
          <w:p w14:paraId="17EE1410" w14:textId="77777777" w:rsidR="00DD4C17" w:rsidRPr="002C36F8" w:rsidRDefault="00DD4C17" w:rsidP="00DD4C17">
            <w:pPr>
              <w:jc w:val="right"/>
              <w:rPr>
                <w:rFonts w:ascii="Calibri" w:hAnsi="Calibri"/>
                <w:color w:val="000000"/>
              </w:rPr>
            </w:pPr>
            <w:r w:rsidRPr="002C36F8">
              <w:rPr>
                <w:rFonts w:ascii="Calibri" w:hAnsi="Calibri"/>
                <w:color w:val="000000"/>
              </w:rPr>
              <w:t>354</w:t>
            </w:r>
          </w:p>
        </w:tc>
        <w:tc>
          <w:tcPr>
            <w:tcW w:w="1454" w:type="dxa"/>
            <w:shd w:val="clear" w:color="auto" w:fill="auto"/>
            <w:vAlign w:val="bottom"/>
          </w:tcPr>
          <w:p w14:paraId="23845A5E" w14:textId="77777777" w:rsidR="00DD4C17" w:rsidRPr="002C36F8" w:rsidRDefault="00DD4C17" w:rsidP="00DD4C17">
            <w:pPr>
              <w:jc w:val="right"/>
              <w:rPr>
                <w:rFonts w:ascii="Calibri" w:hAnsi="Calibri"/>
                <w:color w:val="000000"/>
              </w:rPr>
            </w:pPr>
            <w:r w:rsidRPr="002C36F8">
              <w:rPr>
                <w:rFonts w:ascii="Calibri" w:hAnsi="Calibri"/>
                <w:color w:val="000000"/>
              </w:rPr>
              <w:t>0</w:t>
            </w:r>
          </w:p>
        </w:tc>
        <w:tc>
          <w:tcPr>
            <w:tcW w:w="1205" w:type="dxa"/>
            <w:shd w:val="clear" w:color="auto" w:fill="auto"/>
            <w:vAlign w:val="bottom"/>
          </w:tcPr>
          <w:p w14:paraId="278B969A" w14:textId="77777777" w:rsidR="00DD4C17" w:rsidRPr="002C36F8" w:rsidRDefault="00DD4C17" w:rsidP="00DD4C17">
            <w:pPr>
              <w:jc w:val="right"/>
              <w:rPr>
                <w:rFonts w:ascii="Calibri" w:hAnsi="Calibri"/>
                <w:color w:val="000000"/>
              </w:rPr>
            </w:pPr>
            <w:r w:rsidRPr="002C36F8">
              <w:rPr>
                <w:rFonts w:ascii="Calibri" w:hAnsi="Calibri"/>
                <w:color w:val="000000"/>
              </w:rPr>
              <w:t>0</w:t>
            </w:r>
          </w:p>
        </w:tc>
      </w:tr>
      <w:tr w:rsidR="00DD4C17" w:rsidRPr="002C36F8" w14:paraId="1A55AB45" w14:textId="77777777" w:rsidTr="00DD4C17">
        <w:tc>
          <w:tcPr>
            <w:tcW w:w="2079" w:type="dxa"/>
          </w:tcPr>
          <w:p w14:paraId="4C02A623"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Биогориво </w:t>
            </w:r>
          </w:p>
        </w:tc>
        <w:tc>
          <w:tcPr>
            <w:tcW w:w="1460" w:type="dxa"/>
            <w:shd w:val="clear" w:color="auto" w:fill="auto"/>
            <w:vAlign w:val="bottom"/>
          </w:tcPr>
          <w:p w14:paraId="1CAC6EB9" w14:textId="77777777" w:rsidR="00DD4C17" w:rsidRPr="002C36F8" w:rsidRDefault="00DD4C17" w:rsidP="00DD4C17">
            <w:pPr>
              <w:jc w:val="right"/>
              <w:rPr>
                <w:rFonts w:ascii="Calibri" w:hAnsi="Calibri"/>
                <w:color w:val="000000"/>
              </w:rPr>
            </w:pPr>
            <w:r w:rsidRPr="002C36F8">
              <w:rPr>
                <w:rFonts w:ascii="Calibri" w:hAnsi="Calibri"/>
                <w:color w:val="000000"/>
              </w:rPr>
              <w:t>15</w:t>
            </w:r>
          </w:p>
        </w:tc>
        <w:tc>
          <w:tcPr>
            <w:tcW w:w="1432" w:type="dxa"/>
            <w:shd w:val="clear" w:color="auto" w:fill="auto"/>
            <w:vAlign w:val="bottom"/>
          </w:tcPr>
          <w:p w14:paraId="1E20792A" w14:textId="77777777" w:rsidR="00DD4C17" w:rsidRPr="002C36F8" w:rsidRDefault="00DD4C17" w:rsidP="00DD4C17">
            <w:pPr>
              <w:jc w:val="right"/>
              <w:rPr>
                <w:rFonts w:ascii="Calibri" w:hAnsi="Calibri"/>
                <w:color w:val="000000"/>
              </w:rPr>
            </w:pPr>
            <w:r w:rsidRPr="002C36F8">
              <w:rPr>
                <w:rFonts w:ascii="Calibri" w:hAnsi="Calibri"/>
                <w:color w:val="000000"/>
              </w:rPr>
              <w:t>4</w:t>
            </w:r>
          </w:p>
        </w:tc>
        <w:tc>
          <w:tcPr>
            <w:tcW w:w="1432" w:type="dxa"/>
            <w:shd w:val="clear" w:color="auto" w:fill="auto"/>
            <w:vAlign w:val="bottom"/>
          </w:tcPr>
          <w:p w14:paraId="5ED4FE72" w14:textId="77777777" w:rsidR="00DD4C17" w:rsidRPr="002C36F8" w:rsidRDefault="00DD4C17" w:rsidP="00DD4C17">
            <w:pPr>
              <w:jc w:val="right"/>
              <w:rPr>
                <w:rFonts w:ascii="Calibri" w:hAnsi="Calibri"/>
                <w:color w:val="000000"/>
              </w:rPr>
            </w:pPr>
            <w:r w:rsidRPr="002C36F8">
              <w:rPr>
                <w:rFonts w:ascii="Calibri" w:hAnsi="Calibri"/>
                <w:color w:val="000000"/>
              </w:rPr>
              <w:t>5</w:t>
            </w:r>
          </w:p>
        </w:tc>
        <w:tc>
          <w:tcPr>
            <w:tcW w:w="1454" w:type="dxa"/>
            <w:shd w:val="clear" w:color="auto" w:fill="auto"/>
            <w:vAlign w:val="bottom"/>
          </w:tcPr>
          <w:p w14:paraId="2C32527A" w14:textId="77777777" w:rsidR="00DD4C17" w:rsidRPr="002C36F8" w:rsidRDefault="00DD4C17" w:rsidP="00DD4C17">
            <w:pPr>
              <w:jc w:val="right"/>
              <w:rPr>
                <w:rFonts w:ascii="Calibri" w:hAnsi="Calibri"/>
                <w:color w:val="000000"/>
              </w:rPr>
            </w:pPr>
            <w:r w:rsidRPr="002C36F8">
              <w:rPr>
                <w:rFonts w:ascii="Calibri" w:hAnsi="Calibri"/>
                <w:color w:val="000000"/>
              </w:rPr>
              <w:t>2</w:t>
            </w:r>
          </w:p>
        </w:tc>
        <w:tc>
          <w:tcPr>
            <w:tcW w:w="1205" w:type="dxa"/>
            <w:shd w:val="clear" w:color="auto" w:fill="auto"/>
            <w:vAlign w:val="bottom"/>
          </w:tcPr>
          <w:p w14:paraId="2192DDDA" w14:textId="77777777" w:rsidR="00DD4C17" w:rsidRPr="002C36F8" w:rsidRDefault="00DD4C17" w:rsidP="00DD4C17">
            <w:pPr>
              <w:jc w:val="right"/>
              <w:rPr>
                <w:rFonts w:ascii="Calibri" w:hAnsi="Calibri"/>
                <w:color w:val="000000"/>
              </w:rPr>
            </w:pPr>
            <w:r w:rsidRPr="002C36F8">
              <w:rPr>
                <w:rFonts w:ascii="Calibri" w:hAnsi="Calibri"/>
                <w:color w:val="000000"/>
              </w:rPr>
              <w:t>4</w:t>
            </w:r>
          </w:p>
        </w:tc>
      </w:tr>
      <w:tr w:rsidR="00DD4C17" w:rsidRPr="002C36F8" w14:paraId="66A56ED2" w14:textId="77777777" w:rsidTr="00DD4C17">
        <w:tc>
          <w:tcPr>
            <w:tcW w:w="2079" w:type="dxa"/>
          </w:tcPr>
          <w:p w14:paraId="63983CF2"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Втечнен газ</w:t>
            </w:r>
          </w:p>
        </w:tc>
        <w:tc>
          <w:tcPr>
            <w:tcW w:w="1460" w:type="dxa"/>
            <w:shd w:val="clear" w:color="auto" w:fill="auto"/>
            <w:vAlign w:val="bottom"/>
          </w:tcPr>
          <w:p w14:paraId="626709AC" w14:textId="77777777" w:rsidR="00DD4C17" w:rsidRPr="002C36F8" w:rsidRDefault="00DD4C17" w:rsidP="00DD4C17">
            <w:pPr>
              <w:jc w:val="right"/>
              <w:rPr>
                <w:sz w:val="20"/>
                <w:szCs w:val="20"/>
              </w:rPr>
            </w:pPr>
            <w:r w:rsidRPr="002C36F8">
              <w:rPr>
                <w:sz w:val="20"/>
                <w:szCs w:val="20"/>
              </w:rPr>
              <w:t>233</w:t>
            </w:r>
          </w:p>
        </w:tc>
        <w:tc>
          <w:tcPr>
            <w:tcW w:w="1432" w:type="dxa"/>
            <w:shd w:val="clear" w:color="auto" w:fill="auto"/>
            <w:vAlign w:val="bottom"/>
          </w:tcPr>
          <w:p w14:paraId="25EAEBB2" w14:textId="77777777" w:rsidR="00DD4C17" w:rsidRPr="002C36F8" w:rsidRDefault="00DD4C17" w:rsidP="00DD4C17">
            <w:pPr>
              <w:jc w:val="right"/>
              <w:rPr>
                <w:rFonts w:ascii="Calibri" w:hAnsi="Calibri"/>
                <w:color w:val="000000"/>
              </w:rPr>
            </w:pPr>
            <w:r w:rsidRPr="002C36F8">
              <w:rPr>
                <w:rFonts w:ascii="Calibri" w:hAnsi="Calibri"/>
                <w:color w:val="000000"/>
              </w:rPr>
              <w:t>210</w:t>
            </w:r>
          </w:p>
        </w:tc>
        <w:tc>
          <w:tcPr>
            <w:tcW w:w="1432" w:type="dxa"/>
            <w:shd w:val="clear" w:color="auto" w:fill="auto"/>
            <w:vAlign w:val="bottom"/>
          </w:tcPr>
          <w:p w14:paraId="4060C7D5" w14:textId="77777777" w:rsidR="00DD4C17" w:rsidRPr="002C36F8" w:rsidRDefault="00DD4C17" w:rsidP="00DD4C17">
            <w:pPr>
              <w:jc w:val="right"/>
              <w:rPr>
                <w:sz w:val="20"/>
                <w:szCs w:val="20"/>
              </w:rPr>
            </w:pPr>
            <w:r w:rsidRPr="002C36F8">
              <w:rPr>
                <w:sz w:val="20"/>
                <w:szCs w:val="20"/>
              </w:rPr>
              <w:t>17</w:t>
            </w:r>
          </w:p>
        </w:tc>
        <w:tc>
          <w:tcPr>
            <w:tcW w:w="1454" w:type="dxa"/>
            <w:shd w:val="clear" w:color="auto" w:fill="auto"/>
            <w:vAlign w:val="bottom"/>
          </w:tcPr>
          <w:p w14:paraId="5BDF0ABF" w14:textId="77777777" w:rsidR="00DD4C17" w:rsidRPr="002C36F8" w:rsidRDefault="00DD4C17" w:rsidP="00DD4C17">
            <w:pPr>
              <w:jc w:val="right"/>
              <w:rPr>
                <w:rFonts w:ascii="Calibri" w:hAnsi="Calibri"/>
                <w:color w:val="000000"/>
              </w:rPr>
            </w:pPr>
            <w:r w:rsidRPr="002C36F8">
              <w:rPr>
                <w:rFonts w:ascii="Calibri" w:hAnsi="Calibri"/>
                <w:color w:val="000000"/>
              </w:rPr>
              <w:t>1</w:t>
            </w:r>
          </w:p>
        </w:tc>
        <w:tc>
          <w:tcPr>
            <w:tcW w:w="1205" w:type="dxa"/>
            <w:shd w:val="clear" w:color="auto" w:fill="auto"/>
            <w:vAlign w:val="bottom"/>
          </w:tcPr>
          <w:p w14:paraId="16AC2F76" w14:textId="77777777" w:rsidR="00DD4C17" w:rsidRPr="002C36F8" w:rsidRDefault="00DD4C17" w:rsidP="00DD4C17">
            <w:pPr>
              <w:jc w:val="right"/>
              <w:rPr>
                <w:rFonts w:ascii="Calibri" w:hAnsi="Calibri"/>
                <w:color w:val="000000"/>
              </w:rPr>
            </w:pPr>
            <w:r w:rsidRPr="002C36F8">
              <w:rPr>
                <w:rFonts w:ascii="Calibri" w:hAnsi="Calibri"/>
                <w:color w:val="000000"/>
              </w:rPr>
              <w:t>5</w:t>
            </w:r>
          </w:p>
        </w:tc>
      </w:tr>
      <w:tr w:rsidR="00DD4C17" w:rsidRPr="002C36F8" w14:paraId="23A6E00E" w14:textId="77777777" w:rsidTr="00DD4C17">
        <w:tc>
          <w:tcPr>
            <w:tcW w:w="2079" w:type="dxa"/>
          </w:tcPr>
          <w:p w14:paraId="73996DE4"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Газ </w:t>
            </w:r>
          </w:p>
        </w:tc>
        <w:tc>
          <w:tcPr>
            <w:tcW w:w="1460" w:type="dxa"/>
            <w:shd w:val="clear" w:color="auto" w:fill="auto"/>
            <w:vAlign w:val="bottom"/>
          </w:tcPr>
          <w:p w14:paraId="6019AA7A" w14:textId="77777777" w:rsidR="00DD4C17" w:rsidRPr="002C36F8" w:rsidRDefault="00DD4C17" w:rsidP="00DD4C17">
            <w:pPr>
              <w:jc w:val="right"/>
              <w:rPr>
                <w:sz w:val="20"/>
                <w:szCs w:val="20"/>
              </w:rPr>
            </w:pPr>
            <w:r w:rsidRPr="002C36F8">
              <w:rPr>
                <w:sz w:val="20"/>
                <w:szCs w:val="20"/>
              </w:rPr>
              <w:t>128</w:t>
            </w:r>
          </w:p>
        </w:tc>
        <w:tc>
          <w:tcPr>
            <w:tcW w:w="1432" w:type="dxa"/>
            <w:shd w:val="clear" w:color="auto" w:fill="auto"/>
            <w:vAlign w:val="bottom"/>
          </w:tcPr>
          <w:p w14:paraId="53AE04D4" w14:textId="77777777" w:rsidR="00DD4C17" w:rsidRPr="002C36F8" w:rsidRDefault="00DD4C17" w:rsidP="00DD4C17">
            <w:pPr>
              <w:jc w:val="right"/>
              <w:rPr>
                <w:rFonts w:ascii="Calibri" w:hAnsi="Calibri"/>
                <w:color w:val="000000"/>
              </w:rPr>
            </w:pPr>
            <w:r w:rsidRPr="002C36F8">
              <w:rPr>
                <w:rFonts w:ascii="Calibri" w:hAnsi="Calibri"/>
                <w:color w:val="000000"/>
              </w:rPr>
              <w:t>39</w:t>
            </w:r>
          </w:p>
        </w:tc>
        <w:tc>
          <w:tcPr>
            <w:tcW w:w="1432" w:type="dxa"/>
            <w:shd w:val="clear" w:color="auto" w:fill="auto"/>
            <w:vAlign w:val="bottom"/>
          </w:tcPr>
          <w:p w14:paraId="55FC122E" w14:textId="77777777" w:rsidR="00DD4C17" w:rsidRPr="002C36F8" w:rsidRDefault="00DD4C17" w:rsidP="00DD4C17">
            <w:pPr>
              <w:jc w:val="right"/>
              <w:rPr>
                <w:sz w:val="20"/>
                <w:szCs w:val="20"/>
              </w:rPr>
            </w:pPr>
            <w:r w:rsidRPr="002C36F8">
              <w:rPr>
                <w:sz w:val="20"/>
                <w:szCs w:val="20"/>
              </w:rPr>
              <w:t>30</w:t>
            </w:r>
          </w:p>
        </w:tc>
        <w:tc>
          <w:tcPr>
            <w:tcW w:w="1454" w:type="dxa"/>
            <w:shd w:val="clear" w:color="auto" w:fill="auto"/>
            <w:vAlign w:val="bottom"/>
          </w:tcPr>
          <w:p w14:paraId="42524E65" w14:textId="77777777" w:rsidR="00DD4C17" w:rsidRPr="002C36F8" w:rsidRDefault="00DD4C17" w:rsidP="00DD4C17">
            <w:pPr>
              <w:jc w:val="right"/>
              <w:rPr>
                <w:sz w:val="20"/>
                <w:szCs w:val="20"/>
              </w:rPr>
            </w:pPr>
            <w:r w:rsidRPr="002C36F8">
              <w:rPr>
                <w:sz w:val="20"/>
                <w:szCs w:val="20"/>
              </w:rPr>
              <w:t>1</w:t>
            </w:r>
          </w:p>
        </w:tc>
        <w:tc>
          <w:tcPr>
            <w:tcW w:w="1205" w:type="dxa"/>
            <w:shd w:val="clear" w:color="auto" w:fill="auto"/>
            <w:vAlign w:val="bottom"/>
          </w:tcPr>
          <w:p w14:paraId="6A9650CE" w14:textId="77777777" w:rsidR="00DD4C17" w:rsidRPr="002C36F8" w:rsidRDefault="00DD4C17" w:rsidP="00DD4C17">
            <w:pPr>
              <w:jc w:val="right"/>
              <w:rPr>
                <w:rFonts w:ascii="Calibri" w:hAnsi="Calibri"/>
                <w:color w:val="000000"/>
              </w:rPr>
            </w:pPr>
            <w:r w:rsidRPr="002C36F8">
              <w:rPr>
                <w:rFonts w:ascii="Calibri" w:hAnsi="Calibri"/>
                <w:color w:val="000000"/>
              </w:rPr>
              <w:t>58</w:t>
            </w:r>
          </w:p>
        </w:tc>
      </w:tr>
      <w:tr w:rsidR="00DD4C17" w:rsidRPr="002C36F8" w14:paraId="4526C69B" w14:textId="77777777" w:rsidTr="00DD4C17">
        <w:tc>
          <w:tcPr>
            <w:tcW w:w="2079" w:type="dxa"/>
          </w:tcPr>
          <w:p w14:paraId="53EE3E2B"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Електрически двигател</w:t>
            </w:r>
          </w:p>
        </w:tc>
        <w:tc>
          <w:tcPr>
            <w:tcW w:w="1460" w:type="dxa"/>
            <w:shd w:val="clear" w:color="auto" w:fill="auto"/>
            <w:vAlign w:val="bottom"/>
          </w:tcPr>
          <w:p w14:paraId="75D3E397" w14:textId="77777777" w:rsidR="00DD4C17" w:rsidRPr="002C36F8" w:rsidRDefault="00DD4C17" w:rsidP="00DD4C17">
            <w:pPr>
              <w:jc w:val="right"/>
              <w:rPr>
                <w:rFonts w:ascii="Calibri" w:hAnsi="Calibri"/>
                <w:color w:val="000000"/>
              </w:rPr>
            </w:pPr>
            <w:r w:rsidRPr="002C36F8">
              <w:rPr>
                <w:rFonts w:ascii="Calibri" w:hAnsi="Calibri"/>
                <w:color w:val="000000"/>
              </w:rPr>
              <w:t>228</w:t>
            </w:r>
          </w:p>
        </w:tc>
        <w:tc>
          <w:tcPr>
            <w:tcW w:w="1432" w:type="dxa"/>
            <w:shd w:val="clear" w:color="auto" w:fill="auto"/>
            <w:vAlign w:val="bottom"/>
          </w:tcPr>
          <w:p w14:paraId="5CCF0E3E" w14:textId="77777777" w:rsidR="00DD4C17" w:rsidRPr="002C36F8" w:rsidRDefault="00DD4C17" w:rsidP="00DD4C17">
            <w:pPr>
              <w:jc w:val="right"/>
              <w:rPr>
                <w:rFonts w:ascii="Calibri" w:hAnsi="Calibri"/>
                <w:color w:val="000000"/>
              </w:rPr>
            </w:pPr>
            <w:r w:rsidRPr="002C36F8">
              <w:rPr>
                <w:rFonts w:ascii="Calibri" w:hAnsi="Calibri"/>
                <w:color w:val="000000"/>
              </w:rPr>
              <w:t>183</w:t>
            </w:r>
          </w:p>
        </w:tc>
        <w:tc>
          <w:tcPr>
            <w:tcW w:w="1432" w:type="dxa"/>
            <w:shd w:val="clear" w:color="auto" w:fill="auto"/>
            <w:vAlign w:val="bottom"/>
          </w:tcPr>
          <w:p w14:paraId="0E623A11" w14:textId="77777777" w:rsidR="00DD4C17" w:rsidRPr="002C36F8" w:rsidRDefault="00DD4C17" w:rsidP="00DD4C17">
            <w:pPr>
              <w:jc w:val="right"/>
              <w:rPr>
                <w:rFonts w:ascii="Calibri" w:hAnsi="Calibri"/>
                <w:color w:val="000000"/>
              </w:rPr>
            </w:pPr>
            <w:r w:rsidRPr="002C36F8">
              <w:rPr>
                <w:rFonts w:ascii="Calibri" w:hAnsi="Calibri"/>
                <w:color w:val="000000"/>
              </w:rPr>
              <w:t>43</w:t>
            </w:r>
          </w:p>
        </w:tc>
        <w:tc>
          <w:tcPr>
            <w:tcW w:w="1454" w:type="dxa"/>
            <w:shd w:val="clear" w:color="auto" w:fill="auto"/>
            <w:vAlign w:val="bottom"/>
          </w:tcPr>
          <w:p w14:paraId="695A53F9" w14:textId="77777777" w:rsidR="00DD4C17" w:rsidRPr="002C36F8" w:rsidRDefault="00DD4C17" w:rsidP="00DD4C17">
            <w:pPr>
              <w:jc w:val="right"/>
              <w:rPr>
                <w:sz w:val="20"/>
                <w:szCs w:val="20"/>
              </w:rPr>
            </w:pPr>
            <w:r w:rsidRPr="002C36F8">
              <w:rPr>
                <w:sz w:val="20"/>
                <w:szCs w:val="20"/>
              </w:rPr>
              <w:t>0</w:t>
            </w:r>
          </w:p>
        </w:tc>
        <w:tc>
          <w:tcPr>
            <w:tcW w:w="1205" w:type="dxa"/>
            <w:shd w:val="clear" w:color="auto" w:fill="auto"/>
            <w:vAlign w:val="bottom"/>
          </w:tcPr>
          <w:p w14:paraId="49546155" w14:textId="77777777" w:rsidR="00DD4C17" w:rsidRPr="002C36F8" w:rsidRDefault="00DD4C17" w:rsidP="00DD4C17">
            <w:pPr>
              <w:jc w:val="right"/>
              <w:rPr>
                <w:rFonts w:ascii="Calibri" w:hAnsi="Calibri"/>
                <w:color w:val="000000"/>
              </w:rPr>
            </w:pPr>
            <w:r w:rsidRPr="002C36F8">
              <w:rPr>
                <w:rFonts w:ascii="Calibri" w:hAnsi="Calibri"/>
                <w:color w:val="000000"/>
              </w:rPr>
              <w:t>2</w:t>
            </w:r>
          </w:p>
        </w:tc>
      </w:tr>
      <w:tr w:rsidR="00DD4C17" w:rsidRPr="002C36F8" w14:paraId="164C1CE6" w14:textId="77777777" w:rsidTr="00DD4C17">
        <w:tc>
          <w:tcPr>
            <w:tcW w:w="2079" w:type="dxa"/>
          </w:tcPr>
          <w:p w14:paraId="7B9E0225"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Дизел/Газ</w:t>
            </w:r>
          </w:p>
        </w:tc>
        <w:tc>
          <w:tcPr>
            <w:tcW w:w="1460" w:type="dxa"/>
            <w:shd w:val="clear" w:color="auto" w:fill="auto"/>
            <w:vAlign w:val="bottom"/>
          </w:tcPr>
          <w:p w14:paraId="77C53D79" w14:textId="77777777" w:rsidR="00DD4C17" w:rsidRPr="002C36F8" w:rsidRDefault="00DD4C17" w:rsidP="00DD4C17">
            <w:pPr>
              <w:jc w:val="right"/>
              <w:rPr>
                <w:rFonts w:ascii="Calibri" w:hAnsi="Calibri"/>
                <w:color w:val="000000"/>
              </w:rPr>
            </w:pPr>
            <w:r w:rsidRPr="002C36F8">
              <w:rPr>
                <w:rFonts w:ascii="Calibri" w:hAnsi="Calibri"/>
                <w:color w:val="000000"/>
              </w:rPr>
              <w:t>79</w:t>
            </w:r>
          </w:p>
        </w:tc>
        <w:tc>
          <w:tcPr>
            <w:tcW w:w="1432" w:type="dxa"/>
            <w:shd w:val="clear" w:color="auto" w:fill="auto"/>
            <w:vAlign w:val="bottom"/>
          </w:tcPr>
          <w:p w14:paraId="64D44ADC" w14:textId="77777777" w:rsidR="00DD4C17" w:rsidRPr="002C36F8" w:rsidRDefault="00DD4C17" w:rsidP="00DD4C17">
            <w:pPr>
              <w:jc w:val="right"/>
              <w:rPr>
                <w:rFonts w:ascii="Calibri" w:hAnsi="Calibri"/>
                <w:color w:val="000000"/>
              </w:rPr>
            </w:pPr>
            <w:r w:rsidRPr="002C36F8">
              <w:rPr>
                <w:rFonts w:ascii="Calibri" w:hAnsi="Calibri"/>
                <w:color w:val="000000"/>
              </w:rPr>
              <w:t>29</w:t>
            </w:r>
          </w:p>
        </w:tc>
        <w:tc>
          <w:tcPr>
            <w:tcW w:w="1432" w:type="dxa"/>
            <w:shd w:val="clear" w:color="auto" w:fill="auto"/>
            <w:vAlign w:val="bottom"/>
          </w:tcPr>
          <w:p w14:paraId="3F48B629" w14:textId="77777777" w:rsidR="00DD4C17" w:rsidRPr="002C36F8" w:rsidRDefault="00DD4C17" w:rsidP="00DD4C17">
            <w:pPr>
              <w:jc w:val="right"/>
              <w:rPr>
                <w:rFonts w:ascii="Calibri" w:hAnsi="Calibri"/>
                <w:color w:val="000000"/>
              </w:rPr>
            </w:pPr>
            <w:r w:rsidRPr="002C36F8">
              <w:rPr>
                <w:rFonts w:ascii="Calibri" w:hAnsi="Calibri"/>
                <w:color w:val="000000"/>
              </w:rPr>
              <w:t>29</w:t>
            </w:r>
          </w:p>
        </w:tc>
        <w:tc>
          <w:tcPr>
            <w:tcW w:w="1454" w:type="dxa"/>
            <w:shd w:val="clear" w:color="auto" w:fill="auto"/>
            <w:vAlign w:val="bottom"/>
          </w:tcPr>
          <w:p w14:paraId="63810D5F" w14:textId="77777777" w:rsidR="00DD4C17" w:rsidRPr="002C36F8" w:rsidRDefault="00DD4C17" w:rsidP="00DD4C17">
            <w:pPr>
              <w:jc w:val="right"/>
              <w:rPr>
                <w:sz w:val="20"/>
                <w:szCs w:val="20"/>
              </w:rPr>
            </w:pPr>
            <w:r w:rsidRPr="002C36F8">
              <w:rPr>
                <w:sz w:val="20"/>
                <w:szCs w:val="20"/>
              </w:rPr>
              <w:t>7</w:t>
            </w:r>
          </w:p>
        </w:tc>
        <w:tc>
          <w:tcPr>
            <w:tcW w:w="1205" w:type="dxa"/>
            <w:shd w:val="clear" w:color="auto" w:fill="auto"/>
            <w:vAlign w:val="bottom"/>
          </w:tcPr>
          <w:p w14:paraId="68EAE47A" w14:textId="77777777" w:rsidR="00DD4C17" w:rsidRPr="002C36F8" w:rsidRDefault="00DD4C17" w:rsidP="00DD4C17">
            <w:pPr>
              <w:jc w:val="right"/>
              <w:rPr>
                <w:rFonts w:ascii="Calibri" w:hAnsi="Calibri"/>
                <w:color w:val="000000"/>
              </w:rPr>
            </w:pPr>
            <w:r w:rsidRPr="002C36F8">
              <w:rPr>
                <w:rFonts w:ascii="Calibri" w:hAnsi="Calibri"/>
                <w:color w:val="000000"/>
              </w:rPr>
              <w:t>11</w:t>
            </w:r>
          </w:p>
        </w:tc>
      </w:tr>
      <w:tr w:rsidR="00DD4C17" w:rsidRPr="002C36F8" w14:paraId="1590A5F2" w14:textId="77777777" w:rsidTr="00DD4C17">
        <w:tc>
          <w:tcPr>
            <w:tcW w:w="2079" w:type="dxa"/>
          </w:tcPr>
          <w:p w14:paraId="00FD71B6"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Дизел </w:t>
            </w:r>
          </w:p>
        </w:tc>
        <w:tc>
          <w:tcPr>
            <w:tcW w:w="1460" w:type="dxa"/>
            <w:shd w:val="clear" w:color="auto" w:fill="auto"/>
            <w:vAlign w:val="bottom"/>
          </w:tcPr>
          <w:p w14:paraId="15FFF18A" w14:textId="77777777" w:rsidR="00DD4C17" w:rsidRPr="002C36F8" w:rsidRDefault="00DD4C17" w:rsidP="00DD4C17">
            <w:pPr>
              <w:jc w:val="right"/>
              <w:rPr>
                <w:rFonts w:ascii="Calibri" w:hAnsi="Calibri"/>
                <w:color w:val="000000"/>
              </w:rPr>
            </w:pPr>
            <w:r w:rsidRPr="002C36F8">
              <w:rPr>
                <w:rFonts w:ascii="Calibri" w:hAnsi="Calibri"/>
                <w:color w:val="000000"/>
              </w:rPr>
              <w:t>1 662 364</w:t>
            </w:r>
          </w:p>
        </w:tc>
        <w:tc>
          <w:tcPr>
            <w:tcW w:w="1432" w:type="dxa"/>
            <w:shd w:val="clear" w:color="000000" w:fill="FFFF00"/>
            <w:vAlign w:val="bottom"/>
          </w:tcPr>
          <w:p w14:paraId="16E20B3C" w14:textId="77777777" w:rsidR="00DD4C17" w:rsidRPr="002C36F8" w:rsidRDefault="00DD4C17" w:rsidP="00DD4C17">
            <w:pPr>
              <w:jc w:val="right"/>
              <w:rPr>
                <w:rFonts w:ascii="Calibri" w:hAnsi="Calibri"/>
                <w:color w:val="000000"/>
              </w:rPr>
            </w:pPr>
            <w:r w:rsidRPr="002C36F8">
              <w:rPr>
                <w:rFonts w:ascii="Calibri" w:hAnsi="Calibri"/>
                <w:color w:val="000000"/>
              </w:rPr>
              <w:t>1 222 207</w:t>
            </w:r>
          </w:p>
        </w:tc>
        <w:tc>
          <w:tcPr>
            <w:tcW w:w="1432" w:type="dxa"/>
            <w:shd w:val="clear" w:color="auto" w:fill="auto"/>
            <w:vAlign w:val="bottom"/>
          </w:tcPr>
          <w:p w14:paraId="78D5C271" w14:textId="77777777" w:rsidR="00DD4C17" w:rsidRPr="002C36F8" w:rsidRDefault="00DD4C17" w:rsidP="00DD4C17">
            <w:pPr>
              <w:jc w:val="right"/>
              <w:rPr>
                <w:rFonts w:ascii="Calibri" w:hAnsi="Calibri"/>
                <w:color w:val="000000"/>
              </w:rPr>
            </w:pPr>
            <w:r w:rsidRPr="002C36F8">
              <w:rPr>
                <w:rFonts w:ascii="Calibri" w:hAnsi="Calibri"/>
                <w:color w:val="000000"/>
              </w:rPr>
              <w:t>337 726</w:t>
            </w:r>
          </w:p>
        </w:tc>
        <w:tc>
          <w:tcPr>
            <w:tcW w:w="1454" w:type="dxa"/>
            <w:shd w:val="clear" w:color="auto" w:fill="auto"/>
            <w:vAlign w:val="bottom"/>
          </w:tcPr>
          <w:p w14:paraId="3B914FBE" w14:textId="77777777" w:rsidR="00DD4C17" w:rsidRPr="002C36F8" w:rsidRDefault="00DD4C17" w:rsidP="00DD4C17">
            <w:pPr>
              <w:jc w:val="right"/>
              <w:rPr>
                <w:rFonts w:ascii="Calibri" w:hAnsi="Calibri"/>
                <w:color w:val="000000"/>
              </w:rPr>
            </w:pPr>
            <w:r w:rsidRPr="002C36F8">
              <w:rPr>
                <w:rFonts w:ascii="Calibri" w:hAnsi="Calibri"/>
                <w:color w:val="000000"/>
              </w:rPr>
              <w:t>31 247</w:t>
            </w:r>
          </w:p>
        </w:tc>
        <w:tc>
          <w:tcPr>
            <w:tcW w:w="1205" w:type="dxa"/>
            <w:shd w:val="clear" w:color="auto" w:fill="auto"/>
            <w:vAlign w:val="bottom"/>
          </w:tcPr>
          <w:p w14:paraId="50ACF06F" w14:textId="77777777" w:rsidR="00DD4C17" w:rsidRPr="002C36F8" w:rsidRDefault="00DD4C17" w:rsidP="00DD4C17">
            <w:pPr>
              <w:jc w:val="right"/>
              <w:rPr>
                <w:rFonts w:ascii="Calibri" w:hAnsi="Calibri"/>
                <w:color w:val="000000"/>
              </w:rPr>
            </w:pPr>
            <w:r w:rsidRPr="002C36F8">
              <w:rPr>
                <w:rFonts w:ascii="Calibri" w:hAnsi="Calibri"/>
                <w:color w:val="000000"/>
              </w:rPr>
              <w:t>21 279</w:t>
            </w:r>
          </w:p>
        </w:tc>
      </w:tr>
      <w:tr w:rsidR="00DD4C17" w:rsidRPr="002C36F8" w14:paraId="3CDA323C" w14:textId="77777777" w:rsidTr="00DD4C17">
        <w:tc>
          <w:tcPr>
            <w:tcW w:w="2079" w:type="dxa"/>
          </w:tcPr>
          <w:p w14:paraId="693B03A9"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Бензин/Газ</w:t>
            </w:r>
          </w:p>
        </w:tc>
        <w:tc>
          <w:tcPr>
            <w:tcW w:w="1460" w:type="dxa"/>
            <w:shd w:val="clear" w:color="auto" w:fill="auto"/>
            <w:vAlign w:val="bottom"/>
          </w:tcPr>
          <w:p w14:paraId="180866EE" w14:textId="77777777" w:rsidR="00DD4C17" w:rsidRPr="002C36F8" w:rsidRDefault="00DD4C17" w:rsidP="00DD4C17">
            <w:pPr>
              <w:jc w:val="right"/>
              <w:rPr>
                <w:rFonts w:ascii="Calibri" w:hAnsi="Calibri"/>
                <w:color w:val="000000"/>
              </w:rPr>
            </w:pPr>
            <w:r w:rsidRPr="002C36F8">
              <w:rPr>
                <w:rFonts w:ascii="Calibri" w:hAnsi="Calibri"/>
                <w:color w:val="000000"/>
              </w:rPr>
              <w:t>62 018</w:t>
            </w:r>
          </w:p>
        </w:tc>
        <w:tc>
          <w:tcPr>
            <w:tcW w:w="1432" w:type="dxa"/>
            <w:shd w:val="clear" w:color="000000" w:fill="FFFF00"/>
            <w:vAlign w:val="bottom"/>
          </w:tcPr>
          <w:p w14:paraId="15616798" w14:textId="77777777" w:rsidR="00DD4C17" w:rsidRPr="002C36F8" w:rsidRDefault="00DD4C17" w:rsidP="00DD4C17">
            <w:pPr>
              <w:jc w:val="right"/>
              <w:rPr>
                <w:rFonts w:ascii="Calibri" w:hAnsi="Calibri"/>
                <w:color w:val="000000"/>
              </w:rPr>
            </w:pPr>
            <w:r w:rsidRPr="002C36F8">
              <w:rPr>
                <w:rFonts w:ascii="Calibri" w:hAnsi="Calibri"/>
                <w:color w:val="000000"/>
              </w:rPr>
              <w:t>58 826</w:t>
            </w:r>
          </w:p>
        </w:tc>
        <w:tc>
          <w:tcPr>
            <w:tcW w:w="1432" w:type="dxa"/>
            <w:shd w:val="clear" w:color="auto" w:fill="auto"/>
            <w:vAlign w:val="bottom"/>
          </w:tcPr>
          <w:p w14:paraId="54CFEF5C" w14:textId="77777777" w:rsidR="00DD4C17" w:rsidRPr="002C36F8" w:rsidRDefault="00DD4C17" w:rsidP="00DD4C17">
            <w:pPr>
              <w:jc w:val="right"/>
              <w:rPr>
                <w:rFonts w:ascii="Calibri" w:hAnsi="Calibri"/>
                <w:color w:val="000000"/>
              </w:rPr>
            </w:pPr>
            <w:r w:rsidRPr="002C36F8">
              <w:rPr>
                <w:rFonts w:ascii="Calibri" w:hAnsi="Calibri"/>
                <w:color w:val="000000"/>
              </w:rPr>
              <w:t>2 997</w:t>
            </w:r>
          </w:p>
        </w:tc>
        <w:tc>
          <w:tcPr>
            <w:tcW w:w="1454" w:type="dxa"/>
            <w:shd w:val="clear" w:color="auto" w:fill="auto"/>
            <w:vAlign w:val="bottom"/>
          </w:tcPr>
          <w:p w14:paraId="481E7EA7" w14:textId="77777777" w:rsidR="00DD4C17" w:rsidRPr="002C36F8" w:rsidRDefault="00DD4C17" w:rsidP="00DD4C17">
            <w:pPr>
              <w:jc w:val="right"/>
              <w:rPr>
                <w:rFonts w:ascii="Calibri" w:hAnsi="Calibri"/>
                <w:color w:val="000000"/>
              </w:rPr>
            </w:pPr>
            <w:r w:rsidRPr="002C36F8">
              <w:rPr>
                <w:rFonts w:ascii="Calibri" w:hAnsi="Calibri"/>
                <w:color w:val="000000"/>
              </w:rPr>
              <w:t>146</w:t>
            </w:r>
          </w:p>
        </w:tc>
        <w:tc>
          <w:tcPr>
            <w:tcW w:w="1205" w:type="dxa"/>
            <w:shd w:val="clear" w:color="auto" w:fill="auto"/>
            <w:vAlign w:val="bottom"/>
          </w:tcPr>
          <w:p w14:paraId="54EDAB87" w14:textId="77777777" w:rsidR="00DD4C17" w:rsidRPr="002C36F8" w:rsidRDefault="00DD4C17" w:rsidP="00DD4C17">
            <w:pPr>
              <w:jc w:val="right"/>
              <w:rPr>
                <w:rFonts w:ascii="Calibri" w:hAnsi="Calibri"/>
                <w:color w:val="000000"/>
              </w:rPr>
            </w:pPr>
            <w:r w:rsidRPr="002C36F8">
              <w:rPr>
                <w:rFonts w:ascii="Calibri" w:hAnsi="Calibri"/>
                <w:color w:val="000000"/>
              </w:rPr>
              <w:t>48</w:t>
            </w:r>
          </w:p>
        </w:tc>
      </w:tr>
      <w:tr w:rsidR="00DD4C17" w:rsidRPr="002C36F8" w14:paraId="5D8050A3" w14:textId="77777777" w:rsidTr="00DD4C17">
        <w:tc>
          <w:tcPr>
            <w:tcW w:w="2079" w:type="dxa"/>
          </w:tcPr>
          <w:p w14:paraId="19C5F99F" w14:textId="77777777" w:rsidR="00DD4C17" w:rsidRPr="002C36F8" w:rsidRDefault="00DD4C17" w:rsidP="00DD4C17">
            <w:pPr>
              <w:rPr>
                <w:rFonts w:ascii="Times New Roman" w:hAnsi="Times New Roman" w:cs="Times New Roman"/>
                <w:sz w:val="24"/>
                <w:szCs w:val="24"/>
              </w:rPr>
            </w:pPr>
            <w:r w:rsidRPr="002C36F8">
              <w:rPr>
                <w:rFonts w:ascii="Times New Roman" w:hAnsi="Times New Roman" w:cs="Times New Roman"/>
                <w:sz w:val="24"/>
                <w:szCs w:val="24"/>
              </w:rPr>
              <w:t xml:space="preserve">Бензин </w:t>
            </w:r>
          </w:p>
        </w:tc>
        <w:tc>
          <w:tcPr>
            <w:tcW w:w="1460" w:type="dxa"/>
            <w:shd w:val="clear" w:color="auto" w:fill="auto"/>
            <w:vAlign w:val="bottom"/>
          </w:tcPr>
          <w:p w14:paraId="5B0609B9" w14:textId="77777777" w:rsidR="00DD4C17" w:rsidRPr="002C36F8" w:rsidRDefault="00DD4C17" w:rsidP="00DD4C17">
            <w:pPr>
              <w:jc w:val="right"/>
              <w:rPr>
                <w:rFonts w:ascii="Calibri" w:hAnsi="Calibri"/>
                <w:color w:val="000000"/>
              </w:rPr>
            </w:pPr>
            <w:r w:rsidRPr="002C36F8">
              <w:rPr>
                <w:rFonts w:ascii="Calibri" w:hAnsi="Calibri"/>
                <w:color w:val="000000"/>
              </w:rPr>
              <w:t>1 828 585</w:t>
            </w:r>
          </w:p>
        </w:tc>
        <w:tc>
          <w:tcPr>
            <w:tcW w:w="1432" w:type="dxa"/>
            <w:shd w:val="clear" w:color="000000" w:fill="FFFF00"/>
            <w:vAlign w:val="bottom"/>
          </w:tcPr>
          <w:p w14:paraId="11AFEA8E" w14:textId="77777777" w:rsidR="00DD4C17" w:rsidRPr="002C36F8" w:rsidRDefault="00DD4C17" w:rsidP="00DD4C17">
            <w:pPr>
              <w:jc w:val="right"/>
              <w:rPr>
                <w:rFonts w:ascii="Calibri" w:hAnsi="Calibri"/>
                <w:color w:val="000000"/>
              </w:rPr>
            </w:pPr>
            <w:r w:rsidRPr="002C36F8">
              <w:rPr>
                <w:rFonts w:ascii="Calibri" w:hAnsi="Calibri"/>
                <w:color w:val="000000"/>
              </w:rPr>
              <w:t>1 758 656</w:t>
            </w:r>
          </w:p>
        </w:tc>
        <w:tc>
          <w:tcPr>
            <w:tcW w:w="1432" w:type="dxa"/>
            <w:shd w:val="clear" w:color="auto" w:fill="auto"/>
            <w:vAlign w:val="bottom"/>
          </w:tcPr>
          <w:p w14:paraId="24C61617" w14:textId="77777777" w:rsidR="00DD4C17" w:rsidRPr="002C36F8" w:rsidRDefault="00DD4C17" w:rsidP="00DD4C17">
            <w:pPr>
              <w:jc w:val="right"/>
              <w:rPr>
                <w:rFonts w:ascii="Calibri" w:hAnsi="Calibri"/>
                <w:color w:val="000000"/>
              </w:rPr>
            </w:pPr>
            <w:r w:rsidRPr="002C36F8">
              <w:rPr>
                <w:rFonts w:ascii="Calibri" w:hAnsi="Calibri"/>
                <w:color w:val="000000"/>
              </w:rPr>
              <w:t>60 946</w:t>
            </w:r>
          </w:p>
        </w:tc>
        <w:tc>
          <w:tcPr>
            <w:tcW w:w="1454" w:type="dxa"/>
            <w:shd w:val="clear" w:color="auto" w:fill="auto"/>
            <w:vAlign w:val="bottom"/>
          </w:tcPr>
          <w:p w14:paraId="5E4A354A" w14:textId="77777777" w:rsidR="00DD4C17" w:rsidRPr="002C36F8" w:rsidRDefault="00DD4C17" w:rsidP="00DD4C17">
            <w:pPr>
              <w:jc w:val="right"/>
              <w:rPr>
                <w:rFonts w:ascii="Calibri" w:hAnsi="Calibri"/>
                <w:color w:val="000000"/>
              </w:rPr>
            </w:pPr>
            <w:r w:rsidRPr="002C36F8">
              <w:rPr>
                <w:rFonts w:ascii="Calibri" w:hAnsi="Calibri"/>
                <w:color w:val="000000"/>
              </w:rPr>
              <w:t>6 408</w:t>
            </w:r>
          </w:p>
        </w:tc>
        <w:tc>
          <w:tcPr>
            <w:tcW w:w="1205" w:type="dxa"/>
            <w:shd w:val="clear" w:color="auto" w:fill="auto"/>
            <w:vAlign w:val="bottom"/>
          </w:tcPr>
          <w:p w14:paraId="5FEB35EB" w14:textId="77777777" w:rsidR="00DD4C17" w:rsidRPr="002C36F8" w:rsidRDefault="00DD4C17" w:rsidP="00DD4C17">
            <w:pPr>
              <w:jc w:val="right"/>
              <w:rPr>
                <w:rFonts w:ascii="Calibri" w:hAnsi="Calibri"/>
                <w:color w:val="000000"/>
              </w:rPr>
            </w:pPr>
            <w:r w:rsidRPr="002C36F8">
              <w:rPr>
                <w:rFonts w:ascii="Calibri" w:hAnsi="Calibri"/>
                <w:color w:val="000000"/>
              </w:rPr>
              <w:t>1 744</w:t>
            </w:r>
          </w:p>
        </w:tc>
      </w:tr>
      <w:tr w:rsidR="00DD4C17" w:rsidRPr="002C36F8" w14:paraId="141C1A1B" w14:textId="77777777" w:rsidTr="00DD4C17">
        <w:tc>
          <w:tcPr>
            <w:tcW w:w="2079" w:type="dxa"/>
          </w:tcPr>
          <w:p w14:paraId="1EA25602" w14:textId="77777777" w:rsidR="00DD4C17" w:rsidRPr="002C36F8" w:rsidRDefault="00DD4C17" w:rsidP="00DD4C17">
            <w:pPr>
              <w:rPr>
                <w:rFonts w:ascii="Times New Roman" w:hAnsi="Times New Roman" w:cs="Times New Roman"/>
                <w:sz w:val="24"/>
                <w:szCs w:val="24"/>
              </w:rPr>
            </w:pPr>
          </w:p>
        </w:tc>
        <w:tc>
          <w:tcPr>
            <w:tcW w:w="1460" w:type="dxa"/>
            <w:shd w:val="clear" w:color="auto" w:fill="auto"/>
            <w:vAlign w:val="bottom"/>
          </w:tcPr>
          <w:p w14:paraId="54CA4791" w14:textId="77777777" w:rsidR="00DD4C17" w:rsidRPr="002C36F8" w:rsidRDefault="00DD4C17" w:rsidP="00DD4C17">
            <w:pPr>
              <w:jc w:val="right"/>
              <w:rPr>
                <w:rFonts w:ascii="Calibri" w:hAnsi="Calibri"/>
                <w:color w:val="000000"/>
              </w:rPr>
            </w:pPr>
          </w:p>
        </w:tc>
        <w:tc>
          <w:tcPr>
            <w:tcW w:w="1432" w:type="dxa"/>
            <w:shd w:val="clear" w:color="000000" w:fill="FFFF00"/>
            <w:vAlign w:val="bottom"/>
          </w:tcPr>
          <w:p w14:paraId="6F287265" w14:textId="77777777" w:rsidR="00DD4C17" w:rsidRPr="002C36F8" w:rsidRDefault="00DD4C17" w:rsidP="00DD4C17">
            <w:pPr>
              <w:jc w:val="right"/>
              <w:rPr>
                <w:rFonts w:ascii="Calibri" w:hAnsi="Calibri"/>
                <w:color w:val="000000"/>
              </w:rPr>
            </w:pPr>
          </w:p>
        </w:tc>
        <w:tc>
          <w:tcPr>
            <w:tcW w:w="1432" w:type="dxa"/>
            <w:shd w:val="clear" w:color="auto" w:fill="auto"/>
            <w:vAlign w:val="bottom"/>
          </w:tcPr>
          <w:p w14:paraId="7DB97C08" w14:textId="77777777" w:rsidR="00DD4C17" w:rsidRPr="002C36F8" w:rsidRDefault="00DD4C17" w:rsidP="00DD4C17">
            <w:pPr>
              <w:jc w:val="right"/>
              <w:rPr>
                <w:rFonts w:ascii="Calibri" w:hAnsi="Calibri"/>
                <w:color w:val="000000"/>
              </w:rPr>
            </w:pPr>
          </w:p>
        </w:tc>
        <w:tc>
          <w:tcPr>
            <w:tcW w:w="1454" w:type="dxa"/>
            <w:shd w:val="clear" w:color="auto" w:fill="auto"/>
            <w:vAlign w:val="bottom"/>
          </w:tcPr>
          <w:p w14:paraId="4FD83C1C" w14:textId="77777777" w:rsidR="00DD4C17" w:rsidRPr="002C36F8" w:rsidRDefault="00DD4C17" w:rsidP="00DD4C17">
            <w:pPr>
              <w:jc w:val="right"/>
              <w:rPr>
                <w:rFonts w:ascii="Calibri" w:hAnsi="Calibri"/>
                <w:color w:val="000000"/>
              </w:rPr>
            </w:pPr>
          </w:p>
        </w:tc>
        <w:tc>
          <w:tcPr>
            <w:tcW w:w="1205" w:type="dxa"/>
            <w:shd w:val="clear" w:color="auto" w:fill="auto"/>
            <w:vAlign w:val="bottom"/>
          </w:tcPr>
          <w:p w14:paraId="3586EC18" w14:textId="77777777" w:rsidR="00DD4C17" w:rsidRPr="002C36F8" w:rsidRDefault="00DD4C17" w:rsidP="00DD4C17">
            <w:pPr>
              <w:jc w:val="right"/>
              <w:rPr>
                <w:rFonts w:ascii="Calibri" w:hAnsi="Calibri"/>
                <w:color w:val="000000"/>
              </w:rPr>
            </w:pPr>
          </w:p>
        </w:tc>
      </w:tr>
    </w:tbl>
    <w:p w14:paraId="152238EE" w14:textId="77777777" w:rsidR="00DD4C17" w:rsidRPr="002C36F8" w:rsidRDefault="00DD4C17" w:rsidP="00DD4C17">
      <w:pPr>
        <w:rPr>
          <w:rFonts w:ascii="Times New Roman" w:hAnsi="Times New Roman" w:cs="Times New Roman"/>
          <w:i/>
          <w:sz w:val="20"/>
          <w:szCs w:val="20"/>
        </w:rPr>
      </w:pPr>
      <w:r w:rsidRPr="002C36F8">
        <w:rPr>
          <w:rFonts w:ascii="Times New Roman" w:hAnsi="Times New Roman" w:cs="Times New Roman"/>
          <w:i/>
          <w:sz w:val="20"/>
          <w:szCs w:val="20"/>
        </w:rPr>
        <w:t>Източник: ГД „Национална полиция“ – МВР</w:t>
      </w:r>
    </w:p>
    <w:p w14:paraId="5CEEC200" w14:textId="77777777" w:rsidR="00DD4C17" w:rsidRPr="002C36F8" w:rsidRDefault="00DD4C17" w:rsidP="00854C9D">
      <w:pPr>
        <w:spacing w:after="0" w:line="240" w:lineRule="auto"/>
        <w:ind w:firstLine="567"/>
        <w:rPr>
          <w:rFonts w:ascii="Times New Roman" w:hAnsi="Times New Roman" w:cs="Times New Roman"/>
          <w:sz w:val="24"/>
          <w:szCs w:val="24"/>
        </w:rPr>
      </w:pPr>
      <w:r w:rsidRPr="002C36F8">
        <w:rPr>
          <w:rFonts w:ascii="Times New Roman" w:hAnsi="Times New Roman" w:cs="Times New Roman"/>
          <w:sz w:val="24"/>
          <w:szCs w:val="24"/>
        </w:rPr>
        <w:t>Данните показват, че:</w:t>
      </w:r>
    </w:p>
    <w:p w14:paraId="4E95550A" w14:textId="77777777" w:rsidR="00DD4C17" w:rsidRPr="002C36F8" w:rsidRDefault="00DD4C17" w:rsidP="001A0506">
      <w:pPr>
        <w:numPr>
          <w:ilvl w:val="0"/>
          <w:numId w:val="17"/>
        </w:numPr>
        <w:spacing w:after="0" w:line="240" w:lineRule="auto"/>
        <w:ind w:left="567" w:hanging="425"/>
        <w:contextualSpacing/>
        <w:rPr>
          <w:rFonts w:ascii="Times New Roman" w:hAnsi="Times New Roman" w:cs="Times New Roman"/>
          <w:sz w:val="24"/>
          <w:szCs w:val="24"/>
        </w:rPr>
      </w:pPr>
      <w:r w:rsidRPr="002C36F8">
        <w:rPr>
          <w:rFonts w:ascii="Times New Roman" w:hAnsi="Times New Roman" w:cs="Times New Roman"/>
          <w:sz w:val="24"/>
          <w:szCs w:val="24"/>
        </w:rPr>
        <w:t>От общия брой регистрирани автомобили, 48,71% са на бензин, а на дизел – 44,4%</w:t>
      </w:r>
    </w:p>
    <w:p w14:paraId="51EC2EB5" w14:textId="77777777" w:rsidR="00DD4C17" w:rsidRPr="002C36F8" w:rsidRDefault="00DD4C17" w:rsidP="001A0506">
      <w:pPr>
        <w:numPr>
          <w:ilvl w:val="0"/>
          <w:numId w:val="17"/>
        </w:numPr>
        <w:spacing w:after="0" w:line="240" w:lineRule="auto"/>
        <w:ind w:left="567" w:hanging="425"/>
        <w:contextualSpacing/>
        <w:rPr>
          <w:rFonts w:ascii="Times New Roman" w:hAnsi="Times New Roman" w:cs="Times New Roman"/>
          <w:sz w:val="24"/>
          <w:szCs w:val="24"/>
        </w:rPr>
      </w:pPr>
      <w:r w:rsidRPr="002C36F8">
        <w:rPr>
          <w:rFonts w:ascii="Times New Roman" w:hAnsi="Times New Roman" w:cs="Times New Roman"/>
          <w:sz w:val="24"/>
          <w:szCs w:val="24"/>
        </w:rPr>
        <w:t>От общия брой регистрирани леки автомобили с най-голям дял са автомобилите на бензин - 54,43%, следвани от тези на дизелово гориво- 37,83%</w:t>
      </w:r>
    </w:p>
    <w:p w14:paraId="6CC8B9EE" w14:textId="77777777" w:rsidR="00DD4C17" w:rsidRPr="002C36F8" w:rsidRDefault="00DD4C17" w:rsidP="001A0506">
      <w:pPr>
        <w:numPr>
          <w:ilvl w:val="0"/>
          <w:numId w:val="17"/>
        </w:numPr>
        <w:spacing w:after="0" w:line="240" w:lineRule="auto"/>
        <w:ind w:left="567" w:hanging="425"/>
        <w:contextualSpacing/>
        <w:rPr>
          <w:rFonts w:ascii="Times New Roman" w:hAnsi="Times New Roman" w:cs="Times New Roman"/>
          <w:sz w:val="24"/>
          <w:szCs w:val="24"/>
        </w:rPr>
      </w:pPr>
      <w:r w:rsidRPr="002C36F8">
        <w:rPr>
          <w:rFonts w:ascii="Times New Roman" w:hAnsi="Times New Roman" w:cs="Times New Roman"/>
          <w:sz w:val="24"/>
          <w:szCs w:val="24"/>
        </w:rPr>
        <w:t>В общия брой регистрирани товарни автомобили преобладават дизеловите с дял от 82,34%, следвани от тези на бензин - 14,86%</w:t>
      </w:r>
    </w:p>
    <w:p w14:paraId="6B91DA0B" w14:textId="77777777" w:rsidR="00DD4C17" w:rsidRDefault="00DD4C17" w:rsidP="001A0506">
      <w:pPr>
        <w:numPr>
          <w:ilvl w:val="0"/>
          <w:numId w:val="17"/>
        </w:numPr>
        <w:spacing w:after="0" w:line="240" w:lineRule="auto"/>
        <w:ind w:left="567" w:hanging="425"/>
        <w:contextualSpacing/>
        <w:rPr>
          <w:rFonts w:ascii="Times New Roman" w:hAnsi="Times New Roman" w:cs="Times New Roman"/>
          <w:sz w:val="24"/>
          <w:szCs w:val="24"/>
        </w:rPr>
      </w:pPr>
      <w:r w:rsidRPr="002C36F8">
        <w:rPr>
          <w:rFonts w:ascii="Times New Roman" w:hAnsi="Times New Roman" w:cs="Times New Roman"/>
          <w:sz w:val="24"/>
          <w:szCs w:val="24"/>
        </w:rPr>
        <w:t>От общия брой регистрирани специални автомобили с най-голям дял са тези на дизелово гориво - 81,83%, следвани от тези на бензин - 16,78%</w:t>
      </w:r>
    </w:p>
    <w:p w14:paraId="7ED500F1" w14:textId="77777777" w:rsidR="00B960DE" w:rsidRDefault="00B960DE" w:rsidP="00280F68">
      <w:pPr>
        <w:spacing w:after="0" w:line="240" w:lineRule="auto"/>
        <w:ind w:left="567"/>
        <w:contextualSpacing/>
        <w:rPr>
          <w:rFonts w:ascii="Times New Roman" w:hAnsi="Times New Roman" w:cs="Times New Roman"/>
          <w:sz w:val="24"/>
          <w:szCs w:val="24"/>
        </w:rPr>
      </w:pPr>
    </w:p>
    <w:p w14:paraId="74577835" w14:textId="77777777" w:rsidR="00B960DE" w:rsidRPr="00280F68" w:rsidRDefault="00B960DE" w:rsidP="00280F68">
      <w:pPr>
        <w:spacing w:after="0" w:line="240" w:lineRule="auto"/>
        <w:jc w:val="both"/>
        <w:rPr>
          <w:rFonts w:ascii="Times New Roman" w:hAnsi="Times New Roman" w:cs="Times New Roman"/>
          <w:sz w:val="20"/>
          <w:szCs w:val="20"/>
        </w:rPr>
      </w:pPr>
      <w:r w:rsidRPr="00280F68">
        <w:rPr>
          <w:rFonts w:ascii="Times New Roman" w:hAnsi="Times New Roman" w:cs="Times New Roman"/>
          <w:sz w:val="24"/>
          <w:szCs w:val="24"/>
        </w:rPr>
        <w:t>От данните е видно, че общият брой на автомобилите с електрическо задвижване е 228, а на тези с хибридно задвижване – 2109. Леките автомобили с електрическо задвижване са съответно 183 бр., а тези с хибридно задвижване – 1748 бр. Общият брой на регистрираните мотоциклети с електрически двигател е 514, от които 403 мотопеда, 5 мотоциклета, 1 пътническа мототриколка, четири триколесни пътни превозни средства и 101 четириколесни пътни превозни средства.</w:t>
      </w:r>
      <w:r w:rsidRPr="00280F68">
        <w:rPr>
          <w:rFonts w:ascii="Times New Roman" w:hAnsi="Times New Roman" w:cs="Times New Roman"/>
          <w:sz w:val="20"/>
          <w:szCs w:val="20"/>
        </w:rPr>
        <w:t xml:space="preserve"> </w:t>
      </w:r>
    </w:p>
    <w:p w14:paraId="5AAB7BBE" w14:textId="77777777" w:rsidR="00B960DE" w:rsidRPr="00280F68" w:rsidRDefault="00B960DE" w:rsidP="00280F68">
      <w:pPr>
        <w:spacing w:after="0" w:line="240" w:lineRule="auto"/>
        <w:jc w:val="both"/>
        <w:rPr>
          <w:rFonts w:ascii="Times New Roman" w:hAnsi="Times New Roman" w:cs="Times New Roman"/>
          <w:sz w:val="20"/>
          <w:szCs w:val="20"/>
        </w:rPr>
      </w:pPr>
    </w:p>
    <w:p w14:paraId="00612080" w14:textId="77777777" w:rsidR="00A6350D" w:rsidRDefault="00A6350D" w:rsidP="00280F68">
      <w:pPr>
        <w:spacing w:after="0" w:line="240" w:lineRule="auto"/>
        <w:jc w:val="both"/>
        <w:rPr>
          <w:rFonts w:ascii="Times New Roman" w:hAnsi="Times New Roman" w:cs="Times New Roman"/>
          <w:sz w:val="20"/>
          <w:szCs w:val="20"/>
        </w:rPr>
      </w:pPr>
    </w:p>
    <w:p w14:paraId="7FB716D7" w14:textId="77777777" w:rsidR="00B960DE" w:rsidRPr="00280F68" w:rsidRDefault="00B960DE" w:rsidP="00280F68">
      <w:pPr>
        <w:spacing w:after="0" w:line="240" w:lineRule="auto"/>
        <w:jc w:val="both"/>
        <w:rPr>
          <w:rFonts w:ascii="Times New Roman" w:hAnsi="Times New Roman" w:cs="Times New Roman"/>
          <w:sz w:val="20"/>
          <w:szCs w:val="20"/>
        </w:rPr>
      </w:pPr>
      <w:r w:rsidRPr="00280F68">
        <w:rPr>
          <w:rFonts w:ascii="Times New Roman" w:hAnsi="Times New Roman" w:cs="Times New Roman"/>
          <w:sz w:val="20"/>
          <w:szCs w:val="20"/>
        </w:rPr>
        <w:t xml:space="preserve">Таблица 12 Превозни средства с електрическо и хибридно задвижване към 15.09.2016 г. </w:t>
      </w:r>
    </w:p>
    <w:p w14:paraId="6B09A32E" w14:textId="77777777" w:rsidR="00651835" w:rsidRDefault="00651835" w:rsidP="00280F68">
      <w:pPr>
        <w:spacing w:after="0" w:line="240" w:lineRule="auto"/>
        <w:contextualSpacing/>
        <w:rPr>
          <w:rFonts w:ascii="Times New Roman" w:hAnsi="Times New Roman" w:cs="Times New Roman"/>
          <w:sz w:val="24"/>
          <w:szCs w:val="24"/>
        </w:rPr>
      </w:pPr>
    </w:p>
    <w:tbl>
      <w:tblPr>
        <w:tblStyle w:val="TableGrid22"/>
        <w:tblpPr w:leftFromText="141" w:rightFromText="141" w:vertAnchor="page" w:horzAnchor="margin" w:tblpXSpec="center" w:tblpY="1996"/>
        <w:tblW w:w="8328" w:type="dxa"/>
        <w:tblLayout w:type="fixed"/>
        <w:tblLook w:val="04A0" w:firstRow="1" w:lastRow="0" w:firstColumn="1" w:lastColumn="0" w:noHBand="0" w:noVBand="1"/>
      </w:tblPr>
      <w:tblGrid>
        <w:gridCol w:w="4018"/>
        <w:gridCol w:w="1485"/>
        <w:gridCol w:w="2825"/>
      </w:tblGrid>
      <w:tr w:rsidR="00651835" w:rsidRPr="006249CE" w14:paraId="40EB45BB" w14:textId="77777777" w:rsidTr="00280F68">
        <w:trPr>
          <w:trHeight w:val="478"/>
        </w:trPr>
        <w:tc>
          <w:tcPr>
            <w:tcW w:w="4018" w:type="dxa"/>
            <w:vMerge w:val="restart"/>
          </w:tcPr>
          <w:p w14:paraId="6BD86131"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lastRenderedPageBreak/>
              <w:t>Тип превозно средство</w:t>
            </w:r>
          </w:p>
        </w:tc>
        <w:tc>
          <w:tcPr>
            <w:tcW w:w="4310" w:type="dxa"/>
            <w:gridSpan w:val="2"/>
          </w:tcPr>
          <w:p w14:paraId="67158DBC"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2016</w:t>
            </w:r>
          </w:p>
        </w:tc>
      </w:tr>
      <w:tr w:rsidR="00651835" w:rsidRPr="006249CE" w14:paraId="4BF3F7BE" w14:textId="77777777" w:rsidTr="00280F68">
        <w:trPr>
          <w:trHeight w:val="477"/>
        </w:trPr>
        <w:tc>
          <w:tcPr>
            <w:tcW w:w="4018" w:type="dxa"/>
            <w:vMerge/>
          </w:tcPr>
          <w:p w14:paraId="1CDEE802"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p>
        </w:tc>
        <w:tc>
          <w:tcPr>
            <w:tcW w:w="1485" w:type="dxa"/>
          </w:tcPr>
          <w:p w14:paraId="2E775CBC"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Електрически</w:t>
            </w:r>
          </w:p>
        </w:tc>
        <w:tc>
          <w:tcPr>
            <w:tcW w:w="2825" w:type="dxa"/>
          </w:tcPr>
          <w:p w14:paraId="342D6121"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 xml:space="preserve">Хибридни </w:t>
            </w:r>
          </w:p>
        </w:tc>
      </w:tr>
      <w:tr w:rsidR="00651835" w:rsidRPr="006249CE" w14:paraId="4F5CFFA5" w14:textId="77777777" w:rsidTr="00280F68">
        <w:trPr>
          <w:trHeight w:val="595"/>
        </w:trPr>
        <w:tc>
          <w:tcPr>
            <w:tcW w:w="4018" w:type="dxa"/>
          </w:tcPr>
          <w:p w14:paraId="69741C2C"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 xml:space="preserve">Мотопед </w:t>
            </w:r>
          </w:p>
        </w:tc>
        <w:tc>
          <w:tcPr>
            <w:tcW w:w="1485" w:type="dxa"/>
          </w:tcPr>
          <w:p w14:paraId="2669B042"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403</w:t>
            </w:r>
          </w:p>
        </w:tc>
        <w:tc>
          <w:tcPr>
            <w:tcW w:w="2825" w:type="dxa"/>
          </w:tcPr>
          <w:p w14:paraId="3F9B9983"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w:t>
            </w:r>
          </w:p>
        </w:tc>
      </w:tr>
      <w:tr w:rsidR="00651835" w:rsidRPr="006249CE" w14:paraId="24EE87D9" w14:textId="77777777" w:rsidTr="00280F68">
        <w:trPr>
          <w:trHeight w:val="577"/>
        </w:trPr>
        <w:tc>
          <w:tcPr>
            <w:tcW w:w="4018" w:type="dxa"/>
          </w:tcPr>
          <w:p w14:paraId="3DC83A9A"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 xml:space="preserve">Мотоциклет </w:t>
            </w:r>
          </w:p>
        </w:tc>
        <w:tc>
          <w:tcPr>
            <w:tcW w:w="1485" w:type="dxa"/>
          </w:tcPr>
          <w:p w14:paraId="457D01BC"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5</w:t>
            </w:r>
          </w:p>
        </w:tc>
        <w:tc>
          <w:tcPr>
            <w:tcW w:w="2825" w:type="dxa"/>
          </w:tcPr>
          <w:p w14:paraId="67B85054"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w:t>
            </w:r>
          </w:p>
        </w:tc>
      </w:tr>
      <w:tr w:rsidR="00651835" w:rsidRPr="006249CE" w14:paraId="1466B6C4" w14:textId="77777777" w:rsidTr="00280F68">
        <w:trPr>
          <w:trHeight w:val="577"/>
        </w:trPr>
        <w:tc>
          <w:tcPr>
            <w:tcW w:w="4018" w:type="dxa"/>
          </w:tcPr>
          <w:p w14:paraId="6DDE67CC"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Мототриколка пътническа</w:t>
            </w:r>
          </w:p>
        </w:tc>
        <w:tc>
          <w:tcPr>
            <w:tcW w:w="1485" w:type="dxa"/>
          </w:tcPr>
          <w:p w14:paraId="0840E065"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1</w:t>
            </w:r>
          </w:p>
        </w:tc>
        <w:tc>
          <w:tcPr>
            <w:tcW w:w="2825" w:type="dxa"/>
          </w:tcPr>
          <w:p w14:paraId="3BED29BB"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w:t>
            </w:r>
          </w:p>
        </w:tc>
      </w:tr>
      <w:tr w:rsidR="00651835" w:rsidRPr="006249CE" w14:paraId="55A94C58" w14:textId="77777777" w:rsidTr="00280F68">
        <w:trPr>
          <w:trHeight w:val="577"/>
        </w:trPr>
        <w:tc>
          <w:tcPr>
            <w:tcW w:w="4018" w:type="dxa"/>
          </w:tcPr>
          <w:p w14:paraId="437E29C9"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Триколесно пътно превозно средство</w:t>
            </w:r>
          </w:p>
        </w:tc>
        <w:tc>
          <w:tcPr>
            <w:tcW w:w="1485" w:type="dxa"/>
          </w:tcPr>
          <w:p w14:paraId="5A15E0C8"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4</w:t>
            </w:r>
          </w:p>
        </w:tc>
        <w:tc>
          <w:tcPr>
            <w:tcW w:w="2825" w:type="dxa"/>
          </w:tcPr>
          <w:p w14:paraId="145D2D8E"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w:t>
            </w:r>
          </w:p>
        </w:tc>
      </w:tr>
      <w:tr w:rsidR="00651835" w:rsidRPr="006249CE" w14:paraId="0FADB8C2" w14:textId="77777777" w:rsidTr="00280F68">
        <w:trPr>
          <w:trHeight w:val="577"/>
        </w:trPr>
        <w:tc>
          <w:tcPr>
            <w:tcW w:w="4018" w:type="dxa"/>
          </w:tcPr>
          <w:p w14:paraId="5AE2A8CE"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Четириколесно превозно средство</w:t>
            </w:r>
          </w:p>
        </w:tc>
        <w:tc>
          <w:tcPr>
            <w:tcW w:w="1485" w:type="dxa"/>
          </w:tcPr>
          <w:p w14:paraId="4472C2B3"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101</w:t>
            </w:r>
          </w:p>
        </w:tc>
        <w:tc>
          <w:tcPr>
            <w:tcW w:w="2825" w:type="dxa"/>
          </w:tcPr>
          <w:p w14:paraId="01A41B08"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w:t>
            </w:r>
          </w:p>
        </w:tc>
      </w:tr>
      <w:tr w:rsidR="00651835" w:rsidRPr="006249CE" w14:paraId="27DE2B87" w14:textId="77777777" w:rsidTr="00280F68">
        <w:trPr>
          <w:trHeight w:val="595"/>
        </w:trPr>
        <w:tc>
          <w:tcPr>
            <w:tcW w:w="4018" w:type="dxa"/>
          </w:tcPr>
          <w:p w14:paraId="16959C75"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 xml:space="preserve">Лек автомобил </w:t>
            </w:r>
          </w:p>
        </w:tc>
        <w:tc>
          <w:tcPr>
            <w:tcW w:w="1485" w:type="dxa"/>
          </w:tcPr>
          <w:p w14:paraId="049FF968"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183</w:t>
            </w:r>
          </w:p>
        </w:tc>
        <w:tc>
          <w:tcPr>
            <w:tcW w:w="2825" w:type="dxa"/>
          </w:tcPr>
          <w:p w14:paraId="082FABCA"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1748</w:t>
            </w:r>
          </w:p>
        </w:tc>
      </w:tr>
      <w:tr w:rsidR="00651835" w:rsidRPr="006249CE" w14:paraId="5DAC23B4" w14:textId="77777777" w:rsidTr="00280F68">
        <w:trPr>
          <w:trHeight w:val="577"/>
        </w:trPr>
        <w:tc>
          <w:tcPr>
            <w:tcW w:w="4018" w:type="dxa"/>
          </w:tcPr>
          <w:p w14:paraId="1138B2A6"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Товарен автомобил</w:t>
            </w:r>
          </w:p>
        </w:tc>
        <w:tc>
          <w:tcPr>
            <w:tcW w:w="1485" w:type="dxa"/>
          </w:tcPr>
          <w:p w14:paraId="472A48E8"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43</w:t>
            </w:r>
          </w:p>
        </w:tc>
        <w:tc>
          <w:tcPr>
            <w:tcW w:w="2825" w:type="dxa"/>
          </w:tcPr>
          <w:p w14:paraId="3C3BD020"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358</w:t>
            </w:r>
          </w:p>
        </w:tc>
      </w:tr>
      <w:tr w:rsidR="00651835" w:rsidRPr="006249CE" w14:paraId="52E77366" w14:textId="77777777" w:rsidTr="00280F68">
        <w:trPr>
          <w:trHeight w:val="577"/>
        </w:trPr>
        <w:tc>
          <w:tcPr>
            <w:tcW w:w="4018" w:type="dxa"/>
          </w:tcPr>
          <w:p w14:paraId="2FE2A68E"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Специален автомобил</w:t>
            </w:r>
          </w:p>
        </w:tc>
        <w:tc>
          <w:tcPr>
            <w:tcW w:w="1485" w:type="dxa"/>
          </w:tcPr>
          <w:p w14:paraId="251C5A39"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0</w:t>
            </w:r>
          </w:p>
        </w:tc>
        <w:tc>
          <w:tcPr>
            <w:tcW w:w="2825" w:type="dxa"/>
          </w:tcPr>
          <w:p w14:paraId="4BBDFEDE"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1</w:t>
            </w:r>
          </w:p>
        </w:tc>
      </w:tr>
      <w:tr w:rsidR="00651835" w:rsidRPr="006249CE" w14:paraId="15D30E2F" w14:textId="77777777" w:rsidTr="00280F68">
        <w:trPr>
          <w:trHeight w:val="595"/>
        </w:trPr>
        <w:tc>
          <w:tcPr>
            <w:tcW w:w="4018" w:type="dxa"/>
            <w:tcBorders>
              <w:bottom w:val="single" w:sz="4" w:space="0" w:color="auto"/>
            </w:tcBorders>
          </w:tcPr>
          <w:p w14:paraId="1442E759"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 xml:space="preserve">Автобус </w:t>
            </w:r>
          </w:p>
        </w:tc>
        <w:tc>
          <w:tcPr>
            <w:tcW w:w="1485" w:type="dxa"/>
            <w:tcBorders>
              <w:bottom w:val="single" w:sz="4" w:space="0" w:color="auto"/>
            </w:tcBorders>
          </w:tcPr>
          <w:p w14:paraId="65B20C42"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2</w:t>
            </w:r>
          </w:p>
        </w:tc>
        <w:tc>
          <w:tcPr>
            <w:tcW w:w="2825" w:type="dxa"/>
            <w:tcBorders>
              <w:bottom w:val="single" w:sz="4" w:space="0" w:color="auto"/>
            </w:tcBorders>
          </w:tcPr>
          <w:p w14:paraId="7A8D3264"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2</w:t>
            </w:r>
          </w:p>
        </w:tc>
      </w:tr>
      <w:tr w:rsidR="00651835" w:rsidRPr="006249CE" w14:paraId="579EB136" w14:textId="77777777" w:rsidTr="00280F68">
        <w:trPr>
          <w:trHeight w:val="577"/>
        </w:trPr>
        <w:tc>
          <w:tcPr>
            <w:tcW w:w="4018" w:type="dxa"/>
            <w:tcBorders>
              <w:bottom w:val="single" w:sz="4" w:space="0" w:color="auto"/>
            </w:tcBorders>
          </w:tcPr>
          <w:p w14:paraId="5CD3CB42"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Общо:</w:t>
            </w:r>
          </w:p>
        </w:tc>
        <w:tc>
          <w:tcPr>
            <w:tcW w:w="1485" w:type="dxa"/>
            <w:tcBorders>
              <w:bottom w:val="single" w:sz="4" w:space="0" w:color="auto"/>
            </w:tcBorders>
          </w:tcPr>
          <w:p w14:paraId="442986EE"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228</w:t>
            </w:r>
          </w:p>
        </w:tc>
        <w:tc>
          <w:tcPr>
            <w:tcW w:w="2825" w:type="dxa"/>
            <w:tcBorders>
              <w:bottom w:val="single" w:sz="4" w:space="0" w:color="auto"/>
            </w:tcBorders>
          </w:tcPr>
          <w:p w14:paraId="082A3E24" w14:textId="77777777" w:rsidR="00651835" w:rsidRPr="006249CE" w:rsidRDefault="00651835" w:rsidP="00651835">
            <w:pPr>
              <w:spacing w:before="120" w:after="120" w:line="259" w:lineRule="auto"/>
              <w:jc w:val="both"/>
              <w:rPr>
                <w:rFonts w:ascii="Times New Roman" w:eastAsia="Times New Roman" w:hAnsi="Times New Roman" w:cs="Times New Roman"/>
                <w:noProof/>
                <w:sz w:val="20"/>
                <w:szCs w:val="20"/>
                <w:lang w:eastAsia="en-GB"/>
              </w:rPr>
            </w:pPr>
            <w:r w:rsidRPr="006249CE">
              <w:rPr>
                <w:rFonts w:ascii="Times New Roman" w:eastAsia="Times New Roman" w:hAnsi="Times New Roman" w:cs="Times New Roman"/>
                <w:noProof/>
                <w:sz w:val="20"/>
                <w:szCs w:val="20"/>
                <w:lang w:eastAsia="en-GB"/>
              </w:rPr>
              <w:t>2109</w:t>
            </w:r>
          </w:p>
        </w:tc>
      </w:tr>
    </w:tbl>
    <w:p w14:paraId="1AC125D4" w14:textId="77777777" w:rsidR="00B960DE" w:rsidRDefault="00B960DE" w:rsidP="00280F68">
      <w:pPr>
        <w:spacing w:after="0" w:line="240" w:lineRule="auto"/>
        <w:contextualSpacing/>
        <w:rPr>
          <w:rFonts w:ascii="Times New Roman" w:hAnsi="Times New Roman" w:cs="Times New Roman"/>
          <w:sz w:val="24"/>
          <w:szCs w:val="24"/>
        </w:rPr>
      </w:pPr>
    </w:p>
    <w:p w14:paraId="5940E051" w14:textId="77777777" w:rsidR="00651835" w:rsidRDefault="00651835" w:rsidP="00280F68">
      <w:pPr>
        <w:spacing w:after="0" w:line="240" w:lineRule="auto"/>
        <w:ind w:left="567"/>
        <w:contextualSpacing/>
        <w:rPr>
          <w:rFonts w:ascii="Times New Roman" w:hAnsi="Times New Roman" w:cs="Times New Roman"/>
          <w:sz w:val="24"/>
          <w:szCs w:val="24"/>
        </w:rPr>
      </w:pPr>
    </w:p>
    <w:p w14:paraId="28EA601D" w14:textId="77777777" w:rsidR="00651835" w:rsidRDefault="00651835" w:rsidP="00280F68">
      <w:pPr>
        <w:spacing w:after="0" w:line="240" w:lineRule="auto"/>
        <w:ind w:left="567"/>
        <w:contextualSpacing/>
        <w:rPr>
          <w:rFonts w:ascii="Times New Roman" w:hAnsi="Times New Roman" w:cs="Times New Roman"/>
          <w:sz w:val="24"/>
          <w:szCs w:val="24"/>
        </w:rPr>
      </w:pPr>
    </w:p>
    <w:p w14:paraId="42760676" w14:textId="77777777" w:rsidR="00651835" w:rsidRDefault="00651835" w:rsidP="00280F68">
      <w:pPr>
        <w:spacing w:after="0" w:line="240" w:lineRule="auto"/>
        <w:ind w:left="567"/>
        <w:contextualSpacing/>
        <w:rPr>
          <w:rFonts w:ascii="Times New Roman" w:hAnsi="Times New Roman" w:cs="Times New Roman"/>
          <w:sz w:val="24"/>
          <w:szCs w:val="24"/>
        </w:rPr>
      </w:pPr>
    </w:p>
    <w:p w14:paraId="5566B821" w14:textId="77777777" w:rsidR="00DD4C17" w:rsidRPr="002C36F8" w:rsidRDefault="00DD4C17" w:rsidP="00280F68">
      <w:pPr>
        <w:spacing w:after="0" w:line="240" w:lineRule="auto"/>
        <w:ind w:left="567"/>
        <w:contextualSpacing/>
        <w:rPr>
          <w:rFonts w:ascii="Times New Roman" w:hAnsi="Times New Roman" w:cs="Times New Roman"/>
          <w:sz w:val="24"/>
          <w:szCs w:val="24"/>
        </w:rPr>
      </w:pPr>
      <w:r w:rsidRPr="002C36F8">
        <w:rPr>
          <w:rFonts w:ascii="Times New Roman" w:hAnsi="Times New Roman" w:cs="Times New Roman"/>
          <w:sz w:val="24"/>
          <w:szCs w:val="24"/>
        </w:rPr>
        <w:t>От общия брой регистрирани автобуси с най-висок дял са тези на дизел - 89,93%. Делът на автобусите на бензин е съответно 7,37%.</w:t>
      </w:r>
    </w:p>
    <w:p w14:paraId="60B2A5A0" w14:textId="7F77C518" w:rsidR="00DD4C17" w:rsidRPr="002C36F8" w:rsidRDefault="00DD4C17" w:rsidP="00280F68">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Информация за броя на пътни превозни средства с електрическо и хибридно задвижване към 15.09.2016 г. е представена в отделна таблица за по-голяма прегледност.</w:t>
      </w:r>
    </w:p>
    <w:p w14:paraId="5A802039" w14:textId="77777777" w:rsidR="00A6350D" w:rsidRDefault="00A6350D" w:rsidP="00B960DE">
      <w:pPr>
        <w:spacing w:after="0" w:line="240" w:lineRule="auto"/>
        <w:ind w:firstLine="567"/>
        <w:jc w:val="both"/>
        <w:rPr>
          <w:rFonts w:ascii="Times New Roman" w:hAnsi="Times New Roman" w:cs="Times New Roman"/>
          <w:sz w:val="24"/>
          <w:szCs w:val="24"/>
        </w:rPr>
      </w:pPr>
    </w:p>
    <w:p w14:paraId="2E2F15EA" w14:textId="65837AF8" w:rsidR="00E67B50" w:rsidRDefault="00DD4C17" w:rsidP="00B960DE">
      <w:pPr>
        <w:spacing w:after="0" w:line="240" w:lineRule="auto"/>
        <w:ind w:firstLine="567"/>
        <w:jc w:val="both"/>
        <w:rPr>
          <w:rFonts w:ascii="Times New Roman" w:hAnsi="Times New Roman" w:cs="Times New Roman"/>
          <w:sz w:val="20"/>
          <w:szCs w:val="20"/>
        </w:rPr>
      </w:pPr>
      <w:r w:rsidRPr="002C36F8">
        <w:rPr>
          <w:rFonts w:ascii="Times New Roman" w:hAnsi="Times New Roman" w:cs="Times New Roman"/>
          <w:sz w:val="24"/>
          <w:szCs w:val="24"/>
        </w:rPr>
        <w:t>От данните е видно, че общият брой на автомобилите с електрическо задвижване е 228, а на тези с хибридно задвижване – 2109. Леките автомобили с електрическо задвижване са съответно 183 бр., а тези с хибридно задвижване – 1748 бр. Общият брой на регистрираните мотоциклети с електрически двигател е 514, от които 403 мотопеда, 5 мотоциклета, 1 пътническа мототриколка, четири триколесни пътни превозни средства и 101 четириколесни пътни превозни средства.</w:t>
      </w:r>
      <w:r w:rsidR="00854C9D" w:rsidRPr="002C36F8">
        <w:rPr>
          <w:rFonts w:ascii="Times New Roman" w:hAnsi="Times New Roman" w:cs="Times New Roman"/>
          <w:sz w:val="20"/>
          <w:szCs w:val="20"/>
        </w:rPr>
        <w:t xml:space="preserve"> </w:t>
      </w:r>
    </w:p>
    <w:p w14:paraId="20413C27" w14:textId="77777777" w:rsidR="00E67B50" w:rsidRPr="002C36F8" w:rsidRDefault="00E67B50" w:rsidP="00280F68">
      <w:pPr>
        <w:spacing w:after="0" w:line="240" w:lineRule="auto"/>
        <w:jc w:val="both"/>
        <w:rPr>
          <w:rFonts w:ascii="Times New Roman" w:hAnsi="Times New Roman" w:cs="Times New Roman"/>
          <w:sz w:val="20"/>
          <w:szCs w:val="20"/>
        </w:rPr>
      </w:pPr>
    </w:p>
    <w:p w14:paraId="78ED3EC9" w14:textId="4E90B61D" w:rsidR="00DD4C17" w:rsidRPr="008045CD" w:rsidRDefault="00DD4C17" w:rsidP="00280F68">
      <w:pPr>
        <w:spacing w:after="0"/>
        <w:jc w:val="both"/>
        <w:rPr>
          <w:rFonts w:ascii="Times New Roman" w:hAnsi="Times New Roman" w:cs="Times New Roman"/>
          <w:sz w:val="24"/>
          <w:szCs w:val="24"/>
        </w:rPr>
      </w:pPr>
      <w:r w:rsidRPr="002C36F8">
        <w:rPr>
          <w:rFonts w:ascii="Times New Roman" w:hAnsi="Times New Roman" w:cs="Times New Roman"/>
          <w:sz w:val="24"/>
          <w:szCs w:val="24"/>
        </w:rPr>
        <w:t>В отделна таблица е илюстрирано процентното разпределение на пътни превозни средства, задвижвани с различни видове алтернативни горива.</w:t>
      </w:r>
    </w:p>
    <w:p w14:paraId="408E9E2E" w14:textId="77777777" w:rsidR="00854C9D" w:rsidRPr="002C36F8" w:rsidRDefault="00854C9D" w:rsidP="00854C9D">
      <w:pPr>
        <w:spacing w:after="0"/>
        <w:rPr>
          <w:rFonts w:ascii="Times New Roman" w:hAnsi="Times New Roman" w:cs="Times New Roman"/>
          <w:sz w:val="24"/>
          <w:szCs w:val="24"/>
        </w:rPr>
      </w:pPr>
    </w:p>
    <w:p w14:paraId="3A57199C" w14:textId="77777777" w:rsidR="00DD4C17" w:rsidRDefault="00BF41EF" w:rsidP="00280F68">
      <w:pPr>
        <w:spacing w:after="0"/>
        <w:ind w:firstLine="708"/>
        <w:rPr>
          <w:rFonts w:ascii="Times New Roman" w:hAnsi="Times New Roman" w:cs="Times New Roman"/>
          <w:sz w:val="20"/>
          <w:szCs w:val="20"/>
        </w:rPr>
      </w:pPr>
      <w:r>
        <w:rPr>
          <w:rFonts w:ascii="Times New Roman" w:hAnsi="Times New Roman" w:cs="Times New Roman"/>
          <w:sz w:val="20"/>
          <w:szCs w:val="20"/>
        </w:rPr>
        <w:t>Таблица 13</w:t>
      </w:r>
      <w:r w:rsidR="00DD4C17" w:rsidRPr="002C36F8">
        <w:rPr>
          <w:rFonts w:ascii="Times New Roman" w:hAnsi="Times New Roman" w:cs="Times New Roman"/>
          <w:sz w:val="20"/>
          <w:szCs w:val="20"/>
        </w:rPr>
        <w:t xml:space="preserve"> Разпределение на категориите пътни превозни средства, задвижвани с алтернативни горива в % към 15.09.2016 г.</w:t>
      </w:r>
    </w:p>
    <w:p w14:paraId="6986FB14" w14:textId="77777777" w:rsidR="00A6350D" w:rsidRDefault="00A6350D" w:rsidP="00854C9D">
      <w:pPr>
        <w:spacing w:after="0"/>
        <w:rPr>
          <w:rFonts w:ascii="Times New Roman" w:hAnsi="Times New Roman" w:cs="Times New Roman"/>
          <w:sz w:val="20"/>
          <w:szCs w:val="20"/>
        </w:rPr>
      </w:pPr>
    </w:p>
    <w:p w14:paraId="7A5B1E21" w14:textId="77777777" w:rsidR="00A6350D" w:rsidRDefault="00A6350D" w:rsidP="00854C9D">
      <w:pPr>
        <w:spacing w:after="0"/>
        <w:rPr>
          <w:rFonts w:ascii="Times New Roman" w:hAnsi="Times New Roman" w:cs="Times New Roman"/>
          <w:sz w:val="20"/>
          <w:szCs w:val="20"/>
        </w:rPr>
      </w:pPr>
    </w:p>
    <w:p w14:paraId="149FDF76" w14:textId="77777777" w:rsidR="00A6350D" w:rsidRDefault="00A6350D" w:rsidP="00854C9D">
      <w:pPr>
        <w:spacing w:after="0"/>
        <w:rPr>
          <w:rFonts w:ascii="Times New Roman" w:hAnsi="Times New Roman" w:cs="Times New Roman"/>
          <w:sz w:val="20"/>
          <w:szCs w:val="20"/>
        </w:rPr>
      </w:pPr>
    </w:p>
    <w:p w14:paraId="544C74ED" w14:textId="77777777" w:rsidR="00A6350D" w:rsidRPr="002C36F8" w:rsidRDefault="00A6350D" w:rsidP="00854C9D">
      <w:pPr>
        <w:spacing w:after="0"/>
        <w:rPr>
          <w:rFonts w:ascii="Times New Roman" w:hAnsi="Times New Roman" w:cs="Times New Roman"/>
          <w:sz w:val="20"/>
          <w:szCs w:val="20"/>
        </w:rPr>
      </w:pPr>
    </w:p>
    <w:p w14:paraId="3A7E59C7" w14:textId="77777777" w:rsidR="00854C9D" w:rsidRPr="002C36F8" w:rsidRDefault="00854C9D" w:rsidP="00854C9D">
      <w:pPr>
        <w:spacing w:after="0"/>
        <w:rPr>
          <w:rFonts w:ascii="Times New Roman" w:hAnsi="Times New Roman" w:cs="Times New Roman"/>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1"/>
        <w:gridCol w:w="1573"/>
        <w:gridCol w:w="1356"/>
        <w:gridCol w:w="1371"/>
        <w:gridCol w:w="1417"/>
        <w:gridCol w:w="1134"/>
      </w:tblGrid>
      <w:tr w:rsidR="00DD4C17" w:rsidRPr="002C36F8" w14:paraId="08B9AA9F" w14:textId="77777777" w:rsidTr="00DD4C17">
        <w:trPr>
          <w:trHeight w:val="645"/>
        </w:trPr>
        <w:tc>
          <w:tcPr>
            <w:tcW w:w="2221" w:type="dxa"/>
            <w:shd w:val="clear" w:color="auto" w:fill="auto"/>
            <w:vAlign w:val="center"/>
            <w:hideMark/>
          </w:tcPr>
          <w:p w14:paraId="1C46F48C"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lastRenderedPageBreak/>
              <w:t>Вид гориво</w:t>
            </w:r>
          </w:p>
        </w:tc>
        <w:tc>
          <w:tcPr>
            <w:tcW w:w="1573" w:type="dxa"/>
            <w:shd w:val="clear" w:color="auto" w:fill="auto"/>
            <w:vAlign w:val="center"/>
            <w:hideMark/>
          </w:tcPr>
          <w:p w14:paraId="69205CBF" w14:textId="77777777" w:rsidR="00DD4C17" w:rsidRPr="002C36F8" w:rsidRDefault="00DD4C17" w:rsidP="00DD4C17">
            <w:pPr>
              <w:spacing w:after="0" w:line="240" w:lineRule="auto"/>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Общ брой автомобили </w:t>
            </w:r>
          </w:p>
        </w:tc>
        <w:tc>
          <w:tcPr>
            <w:tcW w:w="1356" w:type="dxa"/>
            <w:shd w:val="clear" w:color="auto" w:fill="auto"/>
            <w:vAlign w:val="center"/>
            <w:hideMark/>
          </w:tcPr>
          <w:p w14:paraId="19930CF1" w14:textId="77777777" w:rsidR="00DD4C17" w:rsidRPr="002C36F8" w:rsidRDefault="00DD4C17" w:rsidP="00DD4C17">
            <w:pPr>
              <w:spacing w:after="0" w:line="240" w:lineRule="auto"/>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Леки автомобили</w:t>
            </w:r>
          </w:p>
        </w:tc>
        <w:tc>
          <w:tcPr>
            <w:tcW w:w="1371" w:type="dxa"/>
            <w:shd w:val="clear" w:color="auto" w:fill="auto"/>
            <w:vAlign w:val="center"/>
            <w:hideMark/>
          </w:tcPr>
          <w:p w14:paraId="39642F33" w14:textId="77777777" w:rsidR="00DD4C17" w:rsidRPr="002C36F8" w:rsidRDefault="00DD4C17" w:rsidP="00DD4C17">
            <w:pPr>
              <w:spacing w:after="0" w:line="240" w:lineRule="auto"/>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Товарни автомобили</w:t>
            </w:r>
          </w:p>
        </w:tc>
        <w:tc>
          <w:tcPr>
            <w:tcW w:w="1417" w:type="dxa"/>
            <w:shd w:val="clear" w:color="auto" w:fill="auto"/>
            <w:vAlign w:val="center"/>
            <w:hideMark/>
          </w:tcPr>
          <w:p w14:paraId="53739377" w14:textId="77777777" w:rsidR="00DD4C17" w:rsidRPr="002C36F8" w:rsidRDefault="00DD4C17" w:rsidP="00DD4C17">
            <w:pPr>
              <w:spacing w:after="0" w:line="240" w:lineRule="auto"/>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Специални автомобили</w:t>
            </w:r>
          </w:p>
        </w:tc>
        <w:tc>
          <w:tcPr>
            <w:tcW w:w="1134" w:type="dxa"/>
            <w:shd w:val="clear" w:color="auto" w:fill="auto"/>
            <w:vAlign w:val="center"/>
            <w:hideMark/>
          </w:tcPr>
          <w:p w14:paraId="13ED1134" w14:textId="77777777" w:rsidR="00DD4C17" w:rsidRPr="002C36F8" w:rsidRDefault="00DD4C17" w:rsidP="00DD4C17">
            <w:pPr>
              <w:spacing w:after="0" w:line="240" w:lineRule="auto"/>
              <w:jc w:val="both"/>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Автобуси </w:t>
            </w:r>
          </w:p>
        </w:tc>
      </w:tr>
      <w:tr w:rsidR="00DD4C17" w:rsidRPr="002C36F8" w14:paraId="197AEBD3" w14:textId="77777777" w:rsidTr="00DD4C17">
        <w:trPr>
          <w:trHeight w:val="808"/>
        </w:trPr>
        <w:tc>
          <w:tcPr>
            <w:tcW w:w="2221" w:type="dxa"/>
            <w:shd w:val="clear" w:color="000000" w:fill="FFFFFF"/>
            <w:vAlign w:val="center"/>
            <w:hideMark/>
          </w:tcPr>
          <w:p w14:paraId="55D3481D"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Хибриди:</w:t>
            </w:r>
          </w:p>
          <w:p w14:paraId="25825CC6"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Дизел/Електр.</w:t>
            </w:r>
          </w:p>
          <w:p w14:paraId="152DE269"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Бензин/Електр.</w:t>
            </w:r>
          </w:p>
        </w:tc>
        <w:tc>
          <w:tcPr>
            <w:tcW w:w="1573" w:type="dxa"/>
            <w:shd w:val="clear" w:color="000000" w:fill="FFFFFF"/>
            <w:vAlign w:val="center"/>
            <w:hideMark/>
          </w:tcPr>
          <w:p w14:paraId="1C539EC1"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0,06%</w:t>
            </w:r>
          </w:p>
        </w:tc>
        <w:tc>
          <w:tcPr>
            <w:tcW w:w="1356" w:type="dxa"/>
            <w:shd w:val="clear" w:color="000000" w:fill="FFFFFF"/>
            <w:vAlign w:val="center"/>
            <w:hideMark/>
          </w:tcPr>
          <w:p w14:paraId="4EFE05F7"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0,05%</w:t>
            </w:r>
          </w:p>
        </w:tc>
        <w:tc>
          <w:tcPr>
            <w:tcW w:w="1371" w:type="dxa"/>
            <w:shd w:val="clear" w:color="000000" w:fill="FFFFFF"/>
            <w:vAlign w:val="center"/>
            <w:hideMark/>
          </w:tcPr>
          <w:p w14:paraId="0237A2E3"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0, 09%</w:t>
            </w:r>
          </w:p>
        </w:tc>
        <w:tc>
          <w:tcPr>
            <w:tcW w:w="1417" w:type="dxa"/>
            <w:shd w:val="clear" w:color="000000" w:fill="FFFFFF"/>
            <w:vAlign w:val="center"/>
            <w:hideMark/>
          </w:tcPr>
          <w:p w14:paraId="2B707CE3"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0,003%</w:t>
            </w:r>
          </w:p>
        </w:tc>
        <w:tc>
          <w:tcPr>
            <w:tcW w:w="1134" w:type="dxa"/>
            <w:shd w:val="clear" w:color="000000" w:fill="FFFFFF"/>
            <w:vAlign w:val="center"/>
            <w:hideMark/>
          </w:tcPr>
          <w:p w14:paraId="1573E092"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0,01%</w:t>
            </w:r>
          </w:p>
        </w:tc>
      </w:tr>
      <w:tr w:rsidR="00DD4C17" w:rsidRPr="002C36F8" w14:paraId="45609D27" w14:textId="77777777" w:rsidTr="00DD4C17">
        <w:trPr>
          <w:trHeight w:val="645"/>
        </w:trPr>
        <w:tc>
          <w:tcPr>
            <w:tcW w:w="2221" w:type="dxa"/>
            <w:shd w:val="clear" w:color="000000" w:fill="FFFFFF"/>
            <w:vAlign w:val="center"/>
            <w:hideMark/>
          </w:tcPr>
          <w:p w14:paraId="1BB5CCA1"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Електрически двигател</w:t>
            </w:r>
          </w:p>
        </w:tc>
        <w:tc>
          <w:tcPr>
            <w:tcW w:w="1573" w:type="dxa"/>
            <w:shd w:val="clear" w:color="auto" w:fill="auto"/>
            <w:vAlign w:val="center"/>
            <w:hideMark/>
          </w:tcPr>
          <w:p w14:paraId="28780133"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0,01%</w:t>
            </w:r>
          </w:p>
        </w:tc>
        <w:tc>
          <w:tcPr>
            <w:tcW w:w="1356" w:type="dxa"/>
            <w:shd w:val="clear" w:color="auto" w:fill="auto"/>
            <w:vAlign w:val="center"/>
            <w:hideMark/>
          </w:tcPr>
          <w:p w14:paraId="1ED2CAA9"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0,01%</w:t>
            </w:r>
          </w:p>
        </w:tc>
        <w:tc>
          <w:tcPr>
            <w:tcW w:w="1371" w:type="dxa"/>
            <w:shd w:val="clear" w:color="auto" w:fill="auto"/>
            <w:vAlign w:val="center"/>
            <w:hideMark/>
          </w:tcPr>
          <w:p w14:paraId="17B573AA"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0,01%</w:t>
            </w:r>
          </w:p>
        </w:tc>
        <w:tc>
          <w:tcPr>
            <w:tcW w:w="1417" w:type="dxa"/>
            <w:shd w:val="clear" w:color="auto" w:fill="auto"/>
            <w:vAlign w:val="center"/>
            <w:hideMark/>
          </w:tcPr>
          <w:p w14:paraId="2722F210" w14:textId="77777777" w:rsidR="00DD4C17" w:rsidRPr="002C36F8" w:rsidRDefault="00DD4C17" w:rsidP="00DD4C17">
            <w:pPr>
              <w:spacing w:after="0" w:line="240" w:lineRule="auto"/>
              <w:rPr>
                <w:rFonts w:ascii="Calibri" w:eastAsia="Times New Roman" w:hAnsi="Calibri" w:cs="Times New Roman"/>
                <w:color w:val="000000"/>
                <w:sz w:val="20"/>
                <w:szCs w:val="20"/>
                <w:lang w:eastAsia="bg-BG"/>
              </w:rPr>
            </w:pPr>
            <w:r w:rsidRPr="002C36F8">
              <w:rPr>
                <w:rFonts w:ascii="Calibri" w:eastAsia="Times New Roman" w:hAnsi="Calibri" w:cs="Times New Roman"/>
                <w:color w:val="000000"/>
                <w:sz w:val="20"/>
                <w:szCs w:val="20"/>
                <w:lang w:eastAsia="bg-BG"/>
              </w:rPr>
              <w:t>-</w:t>
            </w:r>
          </w:p>
        </w:tc>
        <w:tc>
          <w:tcPr>
            <w:tcW w:w="1134" w:type="dxa"/>
            <w:shd w:val="clear" w:color="auto" w:fill="auto"/>
            <w:vAlign w:val="center"/>
            <w:hideMark/>
          </w:tcPr>
          <w:p w14:paraId="02AD1739"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0,01%</w:t>
            </w:r>
          </w:p>
        </w:tc>
      </w:tr>
      <w:tr w:rsidR="00DD4C17" w:rsidRPr="002C36F8" w14:paraId="55834876" w14:textId="77777777" w:rsidTr="00DD4C17">
        <w:trPr>
          <w:trHeight w:val="330"/>
        </w:trPr>
        <w:tc>
          <w:tcPr>
            <w:tcW w:w="2221" w:type="dxa"/>
            <w:shd w:val="clear" w:color="auto" w:fill="auto"/>
            <w:vAlign w:val="center"/>
            <w:hideMark/>
          </w:tcPr>
          <w:p w14:paraId="2679CAE5"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 xml:space="preserve">Биогориво </w:t>
            </w:r>
          </w:p>
        </w:tc>
        <w:tc>
          <w:tcPr>
            <w:tcW w:w="1573" w:type="dxa"/>
            <w:shd w:val="clear" w:color="auto" w:fill="auto"/>
            <w:vAlign w:val="center"/>
            <w:hideMark/>
          </w:tcPr>
          <w:p w14:paraId="296988FC" w14:textId="77777777" w:rsidR="00DD4C17" w:rsidRPr="002C36F8" w:rsidRDefault="00DD4C17" w:rsidP="00DD4C17">
            <w:pPr>
              <w:spacing w:after="0" w:line="240" w:lineRule="auto"/>
              <w:rPr>
                <w:rFonts w:ascii="Calibri" w:eastAsia="Times New Roman" w:hAnsi="Calibri" w:cs="Times New Roman"/>
                <w:color w:val="000000"/>
                <w:lang w:eastAsia="bg-BG"/>
              </w:rPr>
            </w:pPr>
          </w:p>
        </w:tc>
        <w:tc>
          <w:tcPr>
            <w:tcW w:w="1356" w:type="dxa"/>
            <w:shd w:val="clear" w:color="auto" w:fill="auto"/>
            <w:vAlign w:val="center"/>
            <w:hideMark/>
          </w:tcPr>
          <w:p w14:paraId="50B90490" w14:textId="77777777" w:rsidR="00DD4C17" w:rsidRPr="002C36F8" w:rsidRDefault="00DD4C17" w:rsidP="00DD4C17">
            <w:pPr>
              <w:spacing w:after="0" w:line="240" w:lineRule="auto"/>
              <w:rPr>
                <w:rFonts w:ascii="Calibri" w:eastAsia="Times New Roman" w:hAnsi="Calibri" w:cs="Times New Roman"/>
                <w:color w:val="000000"/>
                <w:lang w:eastAsia="bg-BG"/>
              </w:rPr>
            </w:pPr>
          </w:p>
        </w:tc>
        <w:tc>
          <w:tcPr>
            <w:tcW w:w="1371" w:type="dxa"/>
            <w:shd w:val="clear" w:color="auto" w:fill="auto"/>
            <w:vAlign w:val="center"/>
            <w:hideMark/>
          </w:tcPr>
          <w:p w14:paraId="64F0DA0F"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0,001%</w:t>
            </w:r>
          </w:p>
        </w:tc>
        <w:tc>
          <w:tcPr>
            <w:tcW w:w="1417" w:type="dxa"/>
            <w:shd w:val="clear" w:color="auto" w:fill="auto"/>
            <w:vAlign w:val="center"/>
            <w:hideMark/>
          </w:tcPr>
          <w:p w14:paraId="06EA51D0"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0,005%</w:t>
            </w:r>
          </w:p>
        </w:tc>
        <w:tc>
          <w:tcPr>
            <w:tcW w:w="1134" w:type="dxa"/>
            <w:shd w:val="clear" w:color="auto" w:fill="auto"/>
            <w:vAlign w:val="center"/>
            <w:hideMark/>
          </w:tcPr>
          <w:p w14:paraId="66513C4D"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0,02%</w:t>
            </w:r>
          </w:p>
        </w:tc>
      </w:tr>
      <w:tr w:rsidR="00DD4C17" w:rsidRPr="002C36F8" w14:paraId="0899852C" w14:textId="77777777" w:rsidTr="00DD4C17">
        <w:trPr>
          <w:trHeight w:val="330"/>
        </w:trPr>
        <w:tc>
          <w:tcPr>
            <w:tcW w:w="2221" w:type="dxa"/>
            <w:shd w:val="clear" w:color="auto" w:fill="auto"/>
            <w:vAlign w:val="center"/>
            <w:hideMark/>
          </w:tcPr>
          <w:p w14:paraId="287FC5B0"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Природен газ</w:t>
            </w:r>
          </w:p>
        </w:tc>
        <w:tc>
          <w:tcPr>
            <w:tcW w:w="1573" w:type="dxa"/>
            <w:shd w:val="clear" w:color="auto" w:fill="auto"/>
            <w:vAlign w:val="center"/>
            <w:hideMark/>
          </w:tcPr>
          <w:p w14:paraId="48CFBD37"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0,06%</w:t>
            </w:r>
          </w:p>
        </w:tc>
        <w:tc>
          <w:tcPr>
            <w:tcW w:w="1356" w:type="dxa"/>
            <w:shd w:val="clear" w:color="auto" w:fill="auto"/>
            <w:vAlign w:val="center"/>
            <w:hideMark/>
          </w:tcPr>
          <w:p w14:paraId="649ABD5F"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0,03%</w:t>
            </w:r>
          </w:p>
        </w:tc>
        <w:tc>
          <w:tcPr>
            <w:tcW w:w="1371" w:type="dxa"/>
            <w:shd w:val="clear" w:color="auto" w:fill="auto"/>
            <w:vAlign w:val="center"/>
            <w:hideMark/>
          </w:tcPr>
          <w:p w14:paraId="1F5FCFEA"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0,14%</w:t>
            </w:r>
          </w:p>
        </w:tc>
        <w:tc>
          <w:tcPr>
            <w:tcW w:w="1417" w:type="dxa"/>
            <w:shd w:val="clear" w:color="auto" w:fill="auto"/>
            <w:vAlign w:val="center"/>
            <w:hideMark/>
          </w:tcPr>
          <w:p w14:paraId="39B7F4C9"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0,06%</w:t>
            </w:r>
          </w:p>
        </w:tc>
        <w:tc>
          <w:tcPr>
            <w:tcW w:w="1134" w:type="dxa"/>
            <w:shd w:val="clear" w:color="auto" w:fill="auto"/>
            <w:vAlign w:val="center"/>
            <w:hideMark/>
          </w:tcPr>
          <w:p w14:paraId="6136A65F"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1,47%</w:t>
            </w:r>
          </w:p>
        </w:tc>
      </w:tr>
      <w:tr w:rsidR="00DD4C17" w:rsidRPr="002C36F8" w14:paraId="684F0B1B" w14:textId="77777777" w:rsidTr="00DD4C17">
        <w:trPr>
          <w:trHeight w:val="330"/>
        </w:trPr>
        <w:tc>
          <w:tcPr>
            <w:tcW w:w="2221" w:type="dxa"/>
            <w:shd w:val="clear" w:color="auto" w:fill="auto"/>
            <w:vAlign w:val="center"/>
          </w:tcPr>
          <w:p w14:paraId="0496A9BA" w14:textId="77777777" w:rsidR="00DD4C17" w:rsidRPr="002C36F8" w:rsidRDefault="00DD4C17" w:rsidP="00DD4C17">
            <w:pPr>
              <w:spacing w:after="0" w:line="240" w:lineRule="auto"/>
              <w:rPr>
                <w:rFonts w:ascii="Times New Roman" w:eastAsia="Times New Roman" w:hAnsi="Times New Roman" w:cs="Times New Roman"/>
                <w:color w:val="000000"/>
                <w:sz w:val="24"/>
                <w:szCs w:val="24"/>
                <w:lang w:eastAsia="bg-BG"/>
              </w:rPr>
            </w:pPr>
            <w:r w:rsidRPr="002C36F8">
              <w:rPr>
                <w:rFonts w:ascii="Times New Roman" w:eastAsia="Times New Roman" w:hAnsi="Times New Roman" w:cs="Times New Roman"/>
                <w:color w:val="000000"/>
                <w:sz w:val="24"/>
                <w:szCs w:val="24"/>
                <w:lang w:eastAsia="bg-BG"/>
              </w:rPr>
              <w:t>Втечнен нефтен газ</w:t>
            </w:r>
          </w:p>
        </w:tc>
        <w:tc>
          <w:tcPr>
            <w:tcW w:w="1573" w:type="dxa"/>
            <w:shd w:val="clear" w:color="auto" w:fill="auto"/>
            <w:vAlign w:val="center"/>
          </w:tcPr>
          <w:p w14:paraId="22F9F5A7"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0,006%</w:t>
            </w:r>
          </w:p>
        </w:tc>
        <w:tc>
          <w:tcPr>
            <w:tcW w:w="1356" w:type="dxa"/>
            <w:shd w:val="clear" w:color="auto" w:fill="auto"/>
            <w:vAlign w:val="center"/>
          </w:tcPr>
          <w:p w14:paraId="6A51BA2B"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0,006%</w:t>
            </w:r>
          </w:p>
        </w:tc>
        <w:tc>
          <w:tcPr>
            <w:tcW w:w="1371" w:type="dxa"/>
            <w:shd w:val="clear" w:color="auto" w:fill="auto"/>
            <w:vAlign w:val="center"/>
          </w:tcPr>
          <w:p w14:paraId="5C5FEDCB"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0,004%</w:t>
            </w:r>
          </w:p>
        </w:tc>
        <w:tc>
          <w:tcPr>
            <w:tcW w:w="1417" w:type="dxa"/>
            <w:shd w:val="clear" w:color="auto" w:fill="auto"/>
            <w:vAlign w:val="center"/>
          </w:tcPr>
          <w:p w14:paraId="67326D58" w14:textId="77777777" w:rsidR="00DD4C17" w:rsidRPr="002C36F8" w:rsidRDefault="00DD4C17" w:rsidP="00DD4C17">
            <w:pPr>
              <w:spacing w:after="0" w:line="240" w:lineRule="auto"/>
              <w:rPr>
                <w:rFonts w:ascii="Calibri" w:eastAsia="Times New Roman" w:hAnsi="Calibri" w:cs="Times New Roman"/>
                <w:color w:val="000000"/>
                <w:lang w:eastAsia="bg-BG"/>
              </w:rPr>
            </w:pPr>
          </w:p>
        </w:tc>
        <w:tc>
          <w:tcPr>
            <w:tcW w:w="1134" w:type="dxa"/>
            <w:shd w:val="clear" w:color="auto" w:fill="auto"/>
            <w:vAlign w:val="center"/>
          </w:tcPr>
          <w:p w14:paraId="1499B8B1" w14:textId="77777777" w:rsidR="00DD4C17" w:rsidRPr="002C36F8" w:rsidRDefault="00DD4C17" w:rsidP="00DD4C17">
            <w:pPr>
              <w:spacing w:after="0" w:line="240" w:lineRule="auto"/>
              <w:rPr>
                <w:rFonts w:ascii="Calibri" w:eastAsia="Times New Roman" w:hAnsi="Calibri" w:cs="Times New Roman"/>
                <w:color w:val="000000"/>
                <w:lang w:eastAsia="bg-BG"/>
              </w:rPr>
            </w:pPr>
            <w:r w:rsidRPr="002C36F8">
              <w:rPr>
                <w:rFonts w:ascii="Calibri" w:eastAsia="Times New Roman" w:hAnsi="Calibri" w:cs="Times New Roman"/>
                <w:color w:val="000000"/>
                <w:lang w:eastAsia="bg-BG"/>
              </w:rPr>
              <w:t>0,02%</w:t>
            </w:r>
          </w:p>
        </w:tc>
      </w:tr>
    </w:tbl>
    <w:p w14:paraId="3B69FC7A" w14:textId="77777777" w:rsidR="00DD4C17" w:rsidRPr="002C36F8" w:rsidRDefault="00DD4C17" w:rsidP="00854C9D">
      <w:pPr>
        <w:spacing w:after="0" w:line="240" w:lineRule="auto"/>
        <w:rPr>
          <w:rFonts w:ascii="Times New Roman" w:hAnsi="Times New Roman" w:cs="Times New Roman"/>
          <w:i/>
          <w:sz w:val="24"/>
          <w:szCs w:val="24"/>
        </w:rPr>
      </w:pPr>
    </w:p>
    <w:p w14:paraId="6C079CD9" w14:textId="77777777" w:rsidR="00DD4C17" w:rsidRPr="002C36F8" w:rsidRDefault="00DD4C17" w:rsidP="00854C9D">
      <w:pPr>
        <w:spacing w:after="0" w:line="240" w:lineRule="auto"/>
        <w:ind w:firstLine="567"/>
        <w:rPr>
          <w:rFonts w:ascii="Times New Roman" w:hAnsi="Times New Roman" w:cs="Times New Roman"/>
          <w:sz w:val="24"/>
          <w:szCs w:val="24"/>
        </w:rPr>
      </w:pPr>
      <w:r w:rsidRPr="002C36F8">
        <w:rPr>
          <w:rFonts w:ascii="Times New Roman" w:hAnsi="Times New Roman" w:cs="Times New Roman"/>
          <w:sz w:val="24"/>
          <w:szCs w:val="24"/>
        </w:rPr>
        <w:t>Видно от представеното разпределение, е че:</w:t>
      </w:r>
    </w:p>
    <w:p w14:paraId="7B192A70"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леките автомобили с хибридно задвижване от регистрираните общо леки автомобили в страната е 0,05%</w:t>
      </w:r>
    </w:p>
    <w:p w14:paraId="0F7E0366"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товарните автомобили с хибридно задвижване от общо регистрираните товарни автомобили в страната е 0,09%</w:t>
      </w:r>
    </w:p>
    <w:p w14:paraId="70552B81"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 xml:space="preserve">Специалните автомобили с хибридно задвижване са с 0,003% дял от общо регистрираните товарни автомобили в страната </w:t>
      </w:r>
    </w:p>
    <w:p w14:paraId="0E72F0B2"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Нищожен е и делът на автобусите с хибридно задвижване от всички регистрирани в страната автобуси - 0,01%</w:t>
      </w:r>
    </w:p>
    <w:p w14:paraId="6A88A7D1" w14:textId="77777777" w:rsidR="00854C9D" w:rsidRPr="002C36F8" w:rsidRDefault="00854C9D" w:rsidP="00854C9D">
      <w:pPr>
        <w:spacing w:after="0" w:line="240" w:lineRule="auto"/>
        <w:ind w:firstLine="567"/>
        <w:jc w:val="both"/>
        <w:rPr>
          <w:rFonts w:ascii="Times New Roman" w:hAnsi="Times New Roman" w:cs="Times New Roman"/>
          <w:sz w:val="24"/>
          <w:szCs w:val="24"/>
        </w:rPr>
      </w:pPr>
    </w:p>
    <w:p w14:paraId="179ADDE3" w14:textId="77777777" w:rsidR="00DD4C17" w:rsidRPr="002C36F8" w:rsidRDefault="00DD4C17" w:rsidP="00854C9D">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Подобна ситуация се наблюдава и при процентното разпределение на превозните средства с електрическо задвижване:</w:t>
      </w:r>
    </w:p>
    <w:p w14:paraId="2B3F0297"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 xml:space="preserve">Делът на леките автомобили с електрическо задвижване от общо регистрираните такива в страната е 0,01% </w:t>
      </w:r>
    </w:p>
    <w:p w14:paraId="2B532C61"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товарните автомобили с електрическо задвижване от общо регистрираните такива в страната е 0,01%</w:t>
      </w:r>
    </w:p>
    <w:p w14:paraId="30DA50B1"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автобусите с електрическо задвижване от общо регистрираните такива в страната е 0,01%.</w:t>
      </w:r>
    </w:p>
    <w:p w14:paraId="42566CC5" w14:textId="77777777" w:rsidR="00854C9D" w:rsidRPr="002C36F8" w:rsidRDefault="00854C9D" w:rsidP="00854C9D">
      <w:pPr>
        <w:spacing w:after="0" w:line="240" w:lineRule="auto"/>
        <w:ind w:firstLine="567"/>
        <w:jc w:val="both"/>
        <w:rPr>
          <w:rFonts w:ascii="Times New Roman" w:hAnsi="Times New Roman" w:cs="Times New Roman"/>
          <w:sz w:val="24"/>
          <w:szCs w:val="24"/>
        </w:rPr>
      </w:pPr>
    </w:p>
    <w:p w14:paraId="08978C93" w14:textId="77777777" w:rsidR="00DD4C17" w:rsidRPr="002C36F8" w:rsidRDefault="00DD4C17" w:rsidP="00854C9D">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Процентното разпределение на превозните средства, задвижвани с биогорива показва, че:</w:t>
      </w:r>
    </w:p>
    <w:p w14:paraId="38F8900F"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 xml:space="preserve">Делът на товарните автомобили, задвижвани с биогорива е едва 0,001% </w:t>
      </w:r>
    </w:p>
    <w:p w14:paraId="32BB732E"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 xml:space="preserve">Делът на специалните автомобили на биогорива е 0,005% </w:t>
      </w:r>
    </w:p>
    <w:p w14:paraId="5C3E7C7B" w14:textId="77777777" w:rsidR="00DD4C17" w:rsidRPr="002C36F8" w:rsidRDefault="00DD4C17" w:rsidP="001A0506">
      <w:pPr>
        <w:numPr>
          <w:ilvl w:val="0"/>
          <w:numId w:val="16"/>
        </w:numPr>
        <w:spacing w:after="0" w:line="240" w:lineRule="auto"/>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автобусите на биогорива е 0,02%.</w:t>
      </w:r>
    </w:p>
    <w:p w14:paraId="643A738B" w14:textId="77777777" w:rsidR="00854C9D" w:rsidRPr="002C36F8" w:rsidRDefault="00854C9D" w:rsidP="00854C9D">
      <w:pPr>
        <w:spacing w:after="0" w:line="240" w:lineRule="auto"/>
        <w:jc w:val="both"/>
        <w:rPr>
          <w:rFonts w:ascii="Times New Roman" w:hAnsi="Times New Roman" w:cs="Times New Roman"/>
          <w:sz w:val="24"/>
          <w:szCs w:val="24"/>
        </w:rPr>
      </w:pPr>
    </w:p>
    <w:p w14:paraId="316F74D0" w14:textId="77777777" w:rsidR="00DD4C17" w:rsidRPr="002C36F8" w:rsidRDefault="00DD4C17" w:rsidP="00854C9D">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t>Разпределението на превозните средства, задвижвани с природен газ е както следва:</w:t>
      </w:r>
    </w:p>
    <w:p w14:paraId="1BE116D2"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автомобилите на природен газ от общия брой регистрирани автомобили е съответно 0,06%.</w:t>
      </w:r>
    </w:p>
    <w:p w14:paraId="2535462A"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леките автомобили на природен газ от регистрираните леки автомобили е 0,03%</w:t>
      </w:r>
    </w:p>
    <w:p w14:paraId="07D184DD"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товарните автомобили на природен газ от общо регистрираните товарни автомобили е 0,14%</w:t>
      </w:r>
    </w:p>
    <w:p w14:paraId="0BE2D054"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специалните автомобили на природен газ от регистрираните специални автомобили е 0,06%</w:t>
      </w:r>
    </w:p>
    <w:p w14:paraId="175EE948"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автобусите на природен газ от всички регистрираните автобуси е 1,47%.</w:t>
      </w:r>
    </w:p>
    <w:p w14:paraId="2F281C90" w14:textId="77777777" w:rsidR="009B1633" w:rsidRPr="002C36F8" w:rsidRDefault="009B1633" w:rsidP="006C5374">
      <w:pPr>
        <w:spacing w:after="0" w:line="240" w:lineRule="auto"/>
        <w:ind w:left="567" w:hanging="425"/>
        <w:jc w:val="both"/>
        <w:rPr>
          <w:rFonts w:ascii="Times New Roman" w:hAnsi="Times New Roman" w:cs="Times New Roman"/>
          <w:sz w:val="24"/>
          <w:szCs w:val="24"/>
        </w:rPr>
      </w:pPr>
    </w:p>
    <w:p w14:paraId="30DC9D00" w14:textId="77777777" w:rsidR="00DD4C17" w:rsidRPr="002C36F8" w:rsidRDefault="00DD4C17" w:rsidP="009B1633">
      <w:pPr>
        <w:spacing w:after="0" w:line="240" w:lineRule="auto"/>
        <w:ind w:firstLine="567"/>
        <w:jc w:val="both"/>
        <w:rPr>
          <w:rFonts w:ascii="Times New Roman" w:hAnsi="Times New Roman" w:cs="Times New Roman"/>
          <w:sz w:val="24"/>
          <w:szCs w:val="24"/>
        </w:rPr>
      </w:pPr>
      <w:r w:rsidRPr="002C36F8">
        <w:rPr>
          <w:rFonts w:ascii="Times New Roman" w:hAnsi="Times New Roman" w:cs="Times New Roman"/>
          <w:sz w:val="24"/>
          <w:szCs w:val="24"/>
        </w:rPr>
        <w:lastRenderedPageBreak/>
        <w:t>При превозните средства, задвижвани с втечнен нефтен газ се наблюдава следното разпределение:</w:t>
      </w:r>
    </w:p>
    <w:p w14:paraId="1A7FD6EE"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 xml:space="preserve">Делът на автомобилите на втечнен нефтен газ от общия брой регистрирани автомобили е 0,006% </w:t>
      </w:r>
    </w:p>
    <w:p w14:paraId="35651857"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леките автомобили на втечнен нефтен газ от регистрираните леки автомобили е 0,006%</w:t>
      </w:r>
    </w:p>
    <w:p w14:paraId="02639E12"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товарните автомобили на втечнен нефтен газ от общо регистрираните товарни автомобили е 0,004%</w:t>
      </w:r>
    </w:p>
    <w:p w14:paraId="42B3D18F" w14:textId="77777777" w:rsidR="00DD4C17" w:rsidRPr="002C36F8" w:rsidRDefault="00DD4C17" w:rsidP="001A0506">
      <w:pPr>
        <w:numPr>
          <w:ilvl w:val="0"/>
          <w:numId w:val="16"/>
        </w:numPr>
        <w:spacing w:after="0" w:line="240" w:lineRule="auto"/>
        <w:ind w:left="567" w:hanging="425"/>
        <w:contextualSpacing/>
        <w:jc w:val="both"/>
        <w:rPr>
          <w:rFonts w:ascii="Times New Roman" w:hAnsi="Times New Roman" w:cs="Times New Roman"/>
          <w:sz w:val="24"/>
          <w:szCs w:val="24"/>
        </w:rPr>
      </w:pPr>
      <w:r w:rsidRPr="002C36F8">
        <w:rPr>
          <w:rFonts w:ascii="Times New Roman" w:hAnsi="Times New Roman" w:cs="Times New Roman"/>
          <w:sz w:val="24"/>
          <w:szCs w:val="24"/>
        </w:rPr>
        <w:t>Делът на автобусите на втечнен нефтен газ от всички регистрираните автобуси е 0,02%.</w:t>
      </w:r>
    </w:p>
    <w:p w14:paraId="077B3D90" w14:textId="77777777" w:rsidR="001F367C" w:rsidRDefault="001F367C" w:rsidP="001F367C">
      <w:pPr>
        <w:ind w:firstLine="567"/>
        <w:jc w:val="both"/>
        <w:rPr>
          <w:rFonts w:ascii="Times New Roman" w:hAnsi="Times New Roman" w:cs="Times New Roman"/>
          <w:sz w:val="24"/>
          <w:szCs w:val="24"/>
        </w:rPr>
      </w:pPr>
    </w:p>
    <w:p w14:paraId="1DF562EE" w14:textId="77777777" w:rsidR="00DD4C17" w:rsidRPr="001F367C" w:rsidRDefault="001F367C" w:rsidP="001F367C">
      <w:pPr>
        <w:ind w:firstLine="567"/>
        <w:jc w:val="both"/>
        <w:rPr>
          <w:rFonts w:ascii="Times New Roman" w:hAnsi="Times New Roman" w:cs="Times New Roman"/>
          <w:sz w:val="24"/>
          <w:szCs w:val="24"/>
        </w:rPr>
      </w:pPr>
      <w:r w:rsidRPr="001F367C">
        <w:rPr>
          <w:rFonts w:ascii="Times New Roman" w:hAnsi="Times New Roman" w:cs="Times New Roman"/>
          <w:sz w:val="24"/>
          <w:szCs w:val="24"/>
        </w:rPr>
        <w:t xml:space="preserve">Към настоящия момент автомобилния парк в страната в огромната си част е съставен от автомобили със средна възраст над 10 години. Това са приблизително 87% от моторните превозни средства в Република България. </w:t>
      </w:r>
    </w:p>
    <w:p w14:paraId="69E0FEFA" w14:textId="77777777" w:rsidR="001B1979" w:rsidRDefault="001F367C" w:rsidP="001B1979">
      <w:pPr>
        <w:jc w:val="both"/>
        <w:rPr>
          <w:rFonts w:ascii="Times New Roman" w:hAnsi="Times New Roman" w:cs="Times New Roman"/>
          <w:sz w:val="24"/>
          <w:szCs w:val="24"/>
        </w:rPr>
      </w:pPr>
      <w:r>
        <w:rPr>
          <w:rFonts w:ascii="Times New Roman" w:hAnsi="Times New Roman" w:cs="Times New Roman"/>
          <w:sz w:val="24"/>
          <w:szCs w:val="24"/>
        </w:rPr>
        <w:t>Н</w:t>
      </w:r>
      <w:r w:rsidR="001B1979">
        <w:rPr>
          <w:rFonts w:ascii="Times New Roman" w:hAnsi="Times New Roman" w:cs="Times New Roman"/>
          <w:sz w:val="24"/>
          <w:szCs w:val="24"/>
        </w:rPr>
        <w:t>еблагоприятна</w:t>
      </w:r>
      <w:r>
        <w:rPr>
          <w:rFonts w:ascii="Times New Roman" w:hAnsi="Times New Roman" w:cs="Times New Roman"/>
          <w:sz w:val="24"/>
          <w:szCs w:val="24"/>
        </w:rPr>
        <w:t>та</w:t>
      </w:r>
      <w:r w:rsidR="001B1979">
        <w:rPr>
          <w:rFonts w:ascii="Times New Roman" w:hAnsi="Times New Roman" w:cs="Times New Roman"/>
          <w:sz w:val="24"/>
          <w:szCs w:val="24"/>
        </w:rPr>
        <w:t xml:space="preserve"> възрастова структура </w:t>
      </w:r>
      <w:r>
        <w:rPr>
          <w:rFonts w:ascii="Times New Roman" w:hAnsi="Times New Roman" w:cs="Times New Roman"/>
          <w:sz w:val="24"/>
          <w:szCs w:val="24"/>
        </w:rPr>
        <w:t>на автомобилния парк е видна</w:t>
      </w:r>
      <w:r w:rsidR="001B1979">
        <w:rPr>
          <w:rFonts w:ascii="Times New Roman" w:hAnsi="Times New Roman" w:cs="Times New Roman"/>
          <w:sz w:val="24"/>
          <w:szCs w:val="24"/>
        </w:rPr>
        <w:t xml:space="preserve"> от таблицата по-долу.</w:t>
      </w:r>
    </w:p>
    <w:p w14:paraId="77A2B7B3" w14:textId="77777777" w:rsidR="001B1979" w:rsidRPr="00BF41EF" w:rsidRDefault="00BF41EF" w:rsidP="001B1979">
      <w:pPr>
        <w:jc w:val="both"/>
        <w:rPr>
          <w:rFonts w:ascii="Times New Roman" w:hAnsi="Times New Roman" w:cs="Times New Roman"/>
          <w:sz w:val="20"/>
          <w:szCs w:val="20"/>
        </w:rPr>
      </w:pPr>
      <w:r w:rsidRPr="00BF41EF">
        <w:rPr>
          <w:rFonts w:ascii="Times New Roman" w:hAnsi="Times New Roman" w:cs="Times New Roman"/>
          <w:sz w:val="20"/>
          <w:szCs w:val="20"/>
        </w:rPr>
        <w:t xml:space="preserve">Таблица 14 </w:t>
      </w:r>
      <w:r w:rsidR="001B1979" w:rsidRPr="00BF41EF">
        <w:rPr>
          <w:rFonts w:ascii="Times New Roman" w:hAnsi="Times New Roman" w:cs="Times New Roman"/>
          <w:sz w:val="20"/>
          <w:szCs w:val="20"/>
        </w:rPr>
        <w:t>Възрастова структура на автопарка в България към 15.09.2016 г.</w:t>
      </w:r>
    </w:p>
    <w:tbl>
      <w:tblPr>
        <w:tblW w:w="8235" w:type="dxa"/>
        <w:tblInd w:w="93" w:type="dxa"/>
        <w:tblLayout w:type="fixed"/>
        <w:tblLook w:val="04A0" w:firstRow="1" w:lastRow="0" w:firstColumn="1" w:lastColumn="0" w:noHBand="0" w:noVBand="1"/>
      </w:tblPr>
      <w:tblGrid>
        <w:gridCol w:w="1299"/>
        <w:gridCol w:w="982"/>
        <w:gridCol w:w="993"/>
        <w:gridCol w:w="1134"/>
        <w:gridCol w:w="1134"/>
        <w:gridCol w:w="1275"/>
        <w:gridCol w:w="1418"/>
      </w:tblGrid>
      <w:tr w:rsidR="001B1979" w:rsidRPr="00BF41EF" w14:paraId="35D5B8A6" w14:textId="77777777" w:rsidTr="001B1979">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86E4A09" w14:textId="77777777" w:rsidR="001B1979" w:rsidRPr="00BF41EF" w:rsidRDefault="001B1979" w:rsidP="001B1979">
            <w:pPr>
              <w:rPr>
                <w:rFonts w:ascii="Times New Roman" w:eastAsia="Times New Roman" w:hAnsi="Times New Roman" w:cs="Times New Roman"/>
                <w:color w:val="000000"/>
                <w:sz w:val="20"/>
                <w:szCs w:val="20"/>
                <w:lang w:val="en-US"/>
              </w:rPr>
            </w:pPr>
            <w:r w:rsidRPr="00BF41EF">
              <w:rPr>
                <w:rFonts w:ascii="Times New Roman" w:eastAsia="Times New Roman" w:hAnsi="Times New Roman" w:cs="Times New Roman"/>
                <w:color w:val="000000"/>
                <w:sz w:val="20"/>
                <w:szCs w:val="20"/>
              </w:rPr>
              <w:t>Възраст</w:t>
            </w:r>
          </w:p>
        </w:tc>
        <w:tc>
          <w:tcPr>
            <w:tcW w:w="983" w:type="dxa"/>
            <w:tcBorders>
              <w:top w:val="single" w:sz="4" w:space="0" w:color="auto"/>
              <w:left w:val="nil"/>
              <w:bottom w:val="single" w:sz="4" w:space="0" w:color="auto"/>
              <w:right w:val="single" w:sz="4" w:space="0" w:color="auto"/>
            </w:tcBorders>
            <w:noWrap/>
            <w:vAlign w:val="bottom"/>
            <w:hideMark/>
          </w:tcPr>
          <w:p w14:paraId="7A1B066B"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0-5 год.</w:t>
            </w:r>
          </w:p>
        </w:tc>
        <w:tc>
          <w:tcPr>
            <w:tcW w:w="993" w:type="dxa"/>
            <w:tcBorders>
              <w:top w:val="single" w:sz="4" w:space="0" w:color="auto"/>
              <w:left w:val="nil"/>
              <w:bottom w:val="single" w:sz="4" w:space="0" w:color="auto"/>
              <w:right w:val="single" w:sz="4" w:space="0" w:color="auto"/>
            </w:tcBorders>
            <w:noWrap/>
            <w:vAlign w:val="bottom"/>
            <w:hideMark/>
          </w:tcPr>
          <w:p w14:paraId="79D23E30"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6-10 год.</w:t>
            </w:r>
          </w:p>
        </w:tc>
        <w:tc>
          <w:tcPr>
            <w:tcW w:w="1134" w:type="dxa"/>
            <w:tcBorders>
              <w:top w:val="single" w:sz="4" w:space="0" w:color="auto"/>
              <w:left w:val="nil"/>
              <w:bottom w:val="single" w:sz="4" w:space="0" w:color="auto"/>
              <w:right w:val="single" w:sz="4" w:space="0" w:color="auto"/>
            </w:tcBorders>
            <w:noWrap/>
            <w:vAlign w:val="bottom"/>
            <w:hideMark/>
          </w:tcPr>
          <w:p w14:paraId="11A8B971"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11-15 год.</w:t>
            </w:r>
          </w:p>
        </w:tc>
        <w:tc>
          <w:tcPr>
            <w:tcW w:w="1134" w:type="dxa"/>
            <w:tcBorders>
              <w:top w:val="single" w:sz="4" w:space="0" w:color="auto"/>
              <w:left w:val="nil"/>
              <w:bottom w:val="single" w:sz="4" w:space="0" w:color="auto"/>
              <w:right w:val="single" w:sz="4" w:space="0" w:color="auto"/>
            </w:tcBorders>
            <w:noWrap/>
            <w:vAlign w:val="bottom"/>
            <w:hideMark/>
          </w:tcPr>
          <w:p w14:paraId="10DEDD39"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15-20 год.</w:t>
            </w:r>
          </w:p>
        </w:tc>
        <w:tc>
          <w:tcPr>
            <w:tcW w:w="1275" w:type="dxa"/>
            <w:tcBorders>
              <w:top w:val="single" w:sz="4" w:space="0" w:color="auto"/>
              <w:left w:val="nil"/>
              <w:bottom w:val="single" w:sz="4" w:space="0" w:color="auto"/>
              <w:right w:val="single" w:sz="4" w:space="0" w:color="auto"/>
            </w:tcBorders>
            <w:noWrap/>
            <w:vAlign w:val="bottom"/>
            <w:hideMark/>
          </w:tcPr>
          <w:p w14:paraId="50D99DE3"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над 20 год.</w:t>
            </w:r>
          </w:p>
        </w:tc>
        <w:tc>
          <w:tcPr>
            <w:tcW w:w="1418" w:type="dxa"/>
            <w:tcBorders>
              <w:top w:val="single" w:sz="4" w:space="0" w:color="auto"/>
              <w:left w:val="nil"/>
              <w:bottom w:val="single" w:sz="4" w:space="0" w:color="auto"/>
              <w:right w:val="single" w:sz="4" w:space="0" w:color="auto"/>
            </w:tcBorders>
            <w:noWrap/>
            <w:vAlign w:val="bottom"/>
            <w:hideMark/>
          </w:tcPr>
          <w:p w14:paraId="478AE08F"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Bсичко</w:t>
            </w:r>
          </w:p>
        </w:tc>
      </w:tr>
      <w:tr w:rsidR="001B1979" w:rsidRPr="00BF41EF" w14:paraId="43DBB2FA" w14:textId="77777777" w:rsidTr="001B1979">
        <w:trPr>
          <w:trHeight w:val="300"/>
        </w:trPr>
        <w:tc>
          <w:tcPr>
            <w:tcW w:w="1300" w:type="dxa"/>
            <w:tcBorders>
              <w:top w:val="nil"/>
              <w:left w:val="single" w:sz="4" w:space="0" w:color="auto"/>
              <w:bottom w:val="single" w:sz="4" w:space="0" w:color="auto"/>
              <w:right w:val="single" w:sz="4" w:space="0" w:color="auto"/>
            </w:tcBorders>
            <w:noWrap/>
            <w:vAlign w:val="bottom"/>
            <w:hideMark/>
          </w:tcPr>
          <w:p w14:paraId="631984F4"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Бройки</w:t>
            </w:r>
          </w:p>
        </w:tc>
        <w:tc>
          <w:tcPr>
            <w:tcW w:w="983" w:type="dxa"/>
            <w:tcBorders>
              <w:top w:val="nil"/>
              <w:left w:val="nil"/>
              <w:bottom w:val="single" w:sz="4" w:space="0" w:color="auto"/>
              <w:right w:val="single" w:sz="4" w:space="0" w:color="auto"/>
            </w:tcBorders>
            <w:noWrap/>
            <w:vAlign w:val="bottom"/>
            <w:hideMark/>
          </w:tcPr>
          <w:p w14:paraId="650E7DDF"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162,095 </w:t>
            </w:r>
          </w:p>
        </w:tc>
        <w:tc>
          <w:tcPr>
            <w:tcW w:w="993" w:type="dxa"/>
            <w:tcBorders>
              <w:top w:val="nil"/>
              <w:left w:val="nil"/>
              <w:bottom w:val="single" w:sz="4" w:space="0" w:color="auto"/>
              <w:right w:val="single" w:sz="4" w:space="0" w:color="auto"/>
            </w:tcBorders>
            <w:noWrap/>
            <w:vAlign w:val="bottom"/>
            <w:hideMark/>
          </w:tcPr>
          <w:p w14:paraId="77FFD02A"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359,312 </w:t>
            </w:r>
          </w:p>
        </w:tc>
        <w:tc>
          <w:tcPr>
            <w:tcW w:w="1134" w:type="dxa"/>
            <w:tcBorders>
              <w:top w:val="nil"/>
              <w:left w:val="nil"/>
              <w:bottom w:val="single" w:sz="4" w:space="0" w:color="auto"/>
              <w:right w:val="single" w:sz="4" w:space="0" w:color="auto"/>
            </w:tcBorders>
            <w:noWrap/>
            <w:vAlign w:val="bottom"/>
            <w:hideMark/>
          </w:tcPr>
          <w:p w14:paraId="2BE1DAA3"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696,136 </w:t>
            </w:r>
          </w:p>
        </w:tc>
        <w:tc>
          <w:tcPr>
            <w:tcW w:w="1134" w:type="dxa"/>
            <w:tcBorders>
              <w:top w:val="nil"/>
              <w:left w:val="nil"/>
              <w:bottom w:val="single" w:sz="4" w:space="0" w:color="auto"/>
              <w:right w:val="single" w:sz="4" w:space="0" w:color="auto"/>
            </w:tcBorders>
            <w:noWrap/>
            <w:vAlign w:val="bottom"/>
            <w:hideMark/>
          </w:tcPr>
          <w:p w14:paraId="128D70F7"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1,163,009 </w:t>
            </w:r>
          </w:p>
        </w:tc>
        <w:tc>
          <w:tcPr>
            <w:tcW w:w="1275" w:type="dxa"/>
            <w:tcBorders>
              <w:top w:val="nil"/>
              <w:left w:val="nil"/>
              <w:bottom w:val="single" w:sz="4" w:space="0" w:color="auto"/>
              <w:right w:val="single" w:sz="4" w:space="0" w:color="auto"/>
            </w:tcBorders>
            <w:noWrap/>
            <w:vAlign w:val="bottom"/>
            <w:hideMark/>
          </w:tcPr>
          <w:p w14:paraId="57336DB9"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1,744,514 </w:t>
            </w:r>
          </w:p>
        </w:tc>
        <w:tc>
          <w:tcPr>
            <w:tcW w:w="1418" w:type="dxa"/>
            <w:tcBorders>
              <w:top w:val="nil"/>
              <w:left w:val="nil"/>
              <w:bottom w:val="single" w:sz="4" w:space="0" w:color="auto"/>
              <w:right w:val="single" w:sz="4" w:space="0" w:color="auto"/>
            </w:tcBorders>
            <w:noWrap/>
            <w:vAlign w:val="bottom"/>
            <w:hideMark/>
          </w:tcPr>
          <w:p w14:paraId="6B0542AC"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 xml:space="preserve"> 4,125,066 </w:t>
            </w:r>
          </w:p>
        </w:tc>
      </w:tr>
      <w:tr w:rsidR="001B1979" w:rsidRPr="00BF41EF" w14:paraId="68A0EDD9" w14:textId="77777777" w:rsidTr="001B1979">
        <w:trPr>
          <w:trHeight w:val="300"/>
        </w:trPr>
        <w:tc>
          <w:tcPr>
            <w:tcW w:w="1300" w:type="dxa"/>
            <w:tcBorders>
              <w:top w:val="nil"/>
              <w:left w:val="single" w:sz="4" w:space="0" w:color="auto"/>
              <w:bottom w:val="single" w:sz="4" w:space="0" w:color="auto"/>
              <w:right w:val="single" w:sz="4" w:space="0" w:color="auto"/>
            </w:tcBorders>
            <w:noWrap/>
            <w:vAlign w:val="bottom"/>
            <w:hideMark/>
          </w:tcPr>
          <w:p w14:paraId="5E6DE946" w14:textId="77777777" w:rsidR="001B1979" w:rsidRPr="00BF41EF" w:rsidRDefault="001B1979" w:rsidP="001B1979">
            <w:pPr>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Дял</w:t>
            </w:r>
          </w:p>
        </w:tc>
        <w:tc>
          <w:tcPr>
            <w:tcW w:w="983" w:type="dxa"/>
            <w:tcBorders>
              <w:top w:val="nil"/>
              <w:left w:val="nil"/>
              <w:bottom w:val="single" w:sz="4" w:space="0" w:color="auto"/>
              <w:right w:val="single" w:sz="4" w:space="0" w:color="auto"/>
            </w:tcBorders>
            <w:noWrap/>
            <w:vAlign w:val="bottom"/>
            <w:hideMark/>
          </w:tcPr>
          <w:p w14:paraId="399B1512"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noWrap/>
            <w:vAlign w:val="bottom"/>
            <w:hideMark/>
          </w:tcPr>
          <w:p w14:paraId="0D8429EF"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noWrap/>
            <w:vAlign w:val="bottom"/>
            <w:hideMark/>
          </w:tcPr>
          <w:p w14:paraId="224979DC"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noWrap/>
            <w:vAlign w:val="bottom"/>
            <w:hideMark/>
          </w:tcPr>
          <w:p w14:paraId="77D4C40F"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28%</w:t>
            </w:r>
          </w:p>
        </w:tc>
        <w:tc>
          <w:tcPr>
            <w:tcW w:w="1275" w:type="dxa"/>
            <w:tcBorders>
              <w:top w:val="nil"/>
              <w:left w:val="nil"/>
              <w:bottom w:val="single" w:sz="4" w:space="0" w:color="auto"/>
              <w:right w:val="single" w:sz="4" w:space="0" w:color="auto"/>
            </w:tcBorders>
            <w:noWrap/>
            <w:vAlign w:val="bottom"/>
            <w:hideMark/>
          </w:tcPr>
          <w:p w14:paraId="38727D2B"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42%</w:t>
            </w:r>
          </w:p>
        </w:tc>
        <w:tc>
          <w:tcPr>
            <w:tcW w:w="1418" w:type="dxa"/>
            <w:tcBorders>
              <w:top w:val="nil"/>
              <w:left w:val="nil"/>
              <w:bottom w:val="single" w:sz="4" w:space="0" w:color="auto"/>
              <w:right w:val="single" w:sz="4" w:space="0" w:color="auto"/>
            </w:tcBorders>
            <w:noWrap/>
            <w:vAlign w:val="bottom"/>
            <w:hideMark/>
          </w:tcPr>
          <w:p w14:paraId="1B38AF11" w14:textId="77777777" w:rsidR="001B1979" w:rsidRPr="00BF41EF" w:rsidRDefault="001B1979" w:rsidP="001B1979">
            <w:pPr>
              <w:jc w:val="right"/>
              <w:rPr>
                <w:rFonts w:ascii="Times New Roman" w:eastAsia="Times New Roman" w:hAnsi="Times New Roman" w:cs="Times New Roman"/>
                <w:color w:val="000000"/>
                <w:sz w:val="20"/>
                <w:szCs w:val="20"/>
              </w:rPr>
            </w:pPr>
            <w:r w:rsidRPr="00BF41EF">
              <w:rPr>
                <w:rFonts w:ascii="Times New Roman" w:eastAsia="Times New Roman" w:hAnsi="Times New Roman" w:cs="Times New Roman"/>
                <w:color w:val="000000"/>
                <w:sz w:val="20"/>
                <w:szCs w:val="20"/>
              </w:rPr>
              <w:t>100%</w:t>
            </w:r>
          </w:p>
        </w:tc>
      </w:tr>
    </w:tbl>
    <w:p w14:paraId="00D19366" w14:textId="77777777" w:rsidR="001B1979" w:rsidRPr="00BF41EF" w:rsidRDefault="001B1979" w:rsidP="001B1979">
      <w:pPr>
        <w:ind w:firstLine="708"/>
        <w:jc w:val="both"/>
        <w:rPr>
          <w:rFonts w:ascii="Times New Roman" w:eastAsiaTheme="minorEastAsia" w:hAnsi="Times New Roman" w:cs="Times New Roman"/>
          <w:i/>
          <w:sz w:val="20"/>
          <w:szCs w:val="20"/>
        </w:rPr>
      </w:pPr>
      <w:r w:rsidRPr="00BF41EF">
        <w:rPr>
          <w:rFonts w:ascii="Times New Roman" w:eastAsiaTheme="minorEastAsia" w:hAnsi="Times New Roman" w:cs="Times New Roman"/>
          <w:i/>
          <w:sz w:val="20"/>
          <w:szCs w:val="20"/>
        </w:rPr>
        <w:t>Източник: МВР</w:t>
      </w:r>
      <w:r w:rsidR="001F367C" w:rsidRPr="00BF41EF">
        <w:rPr>
          <w:rFonts w:ascii="Times New Roman" w:eastAsiaTheme="minorEastAsia" w:hAnsi="Times New Roman" w:cs="Times New Roman"/>
          <w:i/>
          <w:sz w:val="20"/>
          <w:szCs w:val="20"/>
        </w:rPr>
        <w:t xml:space="preserve"> и Българска асоциация Електрически превозни средства</w:t>
      </w:r>
    </w:p>
    <w:p w14:paraId="0310634F" w14:textId="77777777" w:rsidR="00734ACB" w:rsidRDefault="001B1979" w:rsidP="001B1979">
      <w:pPr>
        <w:ind w:firstLine="708"/>
        <w:jc w:val="both"/>
      </w:pPr>
      <w:r w:rsidRPr="00AC503B">
        <w:rPr>
          <w:rFonts w:ascii="Times New Roman" w:hAnsi="Times New Roman" w:cs="Times New Roman"/>
          <w:sz w:val="24"/>
          <w:szCs w:val="24"/>
        </w:rPr>
        <w:t xml:space="preserve">Очевидно, предвид възрастта на автопарка, незначителна част от него отговаря на стандартите за емисии, въведени през последните 10 години. Същевременно, в градовете в България към момента няма въведени зони за достъп само с нискоемисионни превозни средства, което е една от причините 63% от замърсяването на въздуха в София, например, да се дължи на транспорта. Належащото въвеждане на мерки за намаляване замърсяването на въздуха от транспорта може естествено да доведе до извеждане от експлоатация на голяма част от най-остарелите превозни средства. </w:t>
      </w:r>
      <w:r w:rsidR="00734ACB">
        <w:rPr>
          <w:rFonts w:ascii="Times New Roman" w:hAnsi="Times New Roman" w:cs="Times New Roman"/>
          <w:sz w:val="24"/>
          <w:szCs w:val="24"/>
        </w:rPr>
        <w:t>В този смисъл е необходимо да бъде разгледан въпроса с подновяването на автомобилния парк на страната.</w:t>
      </w:r>
      <w:r w:rsidR="00734ACB" w:rsidRPr="00734ACB">
        <w:t xml:space="preserve"> </w:t>
      </w:r>
    </w:p>
    <w:p w14:paraId="26BE8A78" w14:textId="77777777" w:rsidR="00EF6EA4" w:rsidRPr="00EF6EA4" w:rsidRDefault="00EF6EA4" w:rsidP="00EF6EA4">
      <w:pPr>
        <w:ind w:firstLine="426"/>
        <w:jc w:val="both"/>
        <w:rPr>
          <w:rFonts w:ascii="Times New Roman" w:hAnsi="Times New Roman" w:cs="Times New Roman"/>
          <w:color w:val="000000"/>
          <w:sz w:val="24"/>
          <w:szCs w:val="24"/>
        </w:rPr>
      </w:pPr>
      <w:r w:rsidRPr="00EF6EA4">
        <w:rPr>
          <w:rFonts w:ascii="Times New Roman" w:hAnsi="Times New Roman" w:cs="Times New Roman"/>
          <w:sz w:val="24"/>
          <w:szCs w:val="24"/>
        </w:rPr>
        <w:t>За измерване на обновяването на парка с моторни превозни средства за превоз на товари и пътници</w:t>
      </w:r>
      <w:r w:rsidRPr="008045CD">
        <w:rPr>
          <w:rFonts w:ascii="Times New Roman" w:hAnsi="Times New Roman" w:cs="Times New Roman"/>
          <w:sz w:val="24"/>
          <w:szCs w:val="24"/>
        </w:rPr>
        <w:t xml:space="preserve"> </w:t>
      </w:r>
      <w:r w:rsidRPr="00EF6EA4">
        <w:rPr>
          <w:rFonts w:ascii="Times New Roman" w:hAnsi="Times New Roman" w:cs="Times New Roman"/>
          <w:sz w:val="24"/>
          <w:szCs w:val="24"/>
        </w:rPr>
        <w:t xml:space="preserve">националната статистика използва показателя </w:t>
      </w:r>
      <w:r>
        <w:rPr>
          <w:rFonts w:ascii="Times New Roman" w:hAnsi="Times New Roman" w:cs="Times New Roman"/>
          <w:sz w:val="24"/>
          <w:szCs w:val="24"/>
        </w:rPr>
        <w:t>„</w:t>
      </w:r>
      <w:r>
        <w:rPr>
          <w:rFonts w:ascii="Times New Roman" w:hAnsi="Times New Roman" w:cs="Times New Roman"/>
          <w:color w:val="000000"/>
          <w:sz w:val="24"/>
          <w:szCs w:val="24"/>
        </w:rPr>
        <w:t>д</w:t>
      </w:r>
      <w:r w:rsidRPr="00EF6EA4">
        <w:rPr>
          <w:rFonts w:ascii="Times New Roman" w:hAnsi="Times New Roman" w:cs="Times New Roman"/>
          <w:color w:val="000000"/>
          <w:sz w:val="24"/>
          <w:szCs w:val="24"/>
        </w:rPr>
        <w:t>ял на новорегистрираните и регистрираните нови МПС“</w:t>
      </w:r>
    </w:p>
    <w:p w14:paraId="76D2E87B" w14:textId="77777777" w:rsidR="00EF6EA4" w:rsidRPr="00EF6EA4" w:rsidRDefault="00EF6EA4" w:rsidP="00EF6EA4">
      <w:pPr>
        <w:spacing w:before="60" w:after="60"/>
        <w:ind w:firstLine="426"/>
        <w:jc w:val="both"/>
        <w:rPr>
          <w:rFonts w:ascii="Times New Roman" w:hAnsi="Times New Roman" w:cs="Times New Roman"/>
          <w:sz w:val="24"/>
          <w:szCs w:val="24"/>
        </w:rPr>
      </w:pPr>
      <w:r>
        <w:rPr>
          <w:rFonts w:ascii="Times New Roman" w:hAnsi="Times New Roman" w:cs="Times New Roman"/>
          <w:sz w:val="24"/>
          <w:szCs w:val="24"/>
        </w:rPr>
        <w:t>Този показател о</w:t>
      </w:r>
      <w:r w:rsidRPr="00EF6EA4">
        <w:rPr>
          <w:rFonts w:ascii="Times New Roman" w:hAnsi="Times New Roman" w:cs="Times New Roman"/>
          <w:sz w:val="24"/>
          <w:szCs w:val="24"/>
        </w:rPr>
        <w:t>бхваща най-активната част от автомобилния парк, която произвежда най-голям обем парникови газове и по този начин оказва значително въздействие върху околната среда и обществото, както и върху безопасността при движение по пътищата.</w:t>
      </w:r>
    </w:p>
    <w:p w14:paraId="142DA1CC" w14:textId="77777777" w:rsidR="00EF6EA4" w:rsidRPr="00EF6EA4" w:rsidRDefault="00EF6EA4" w:rsidP="00EF6EA4">
      <w:pPr>
        <w:spacing w:before="60" w:after="60"/>
        <w:ind w:firstLine="480"/>
        <w:jc w:val="both"/>
        <w:rPr>
          <w:rFonts w:ascii="Times New Roman" w:hAnsi="Times New Roman" w:cs="Times New Roman"/>
          <w:sz w:val="24"/>
          <w:szCs w:val="24"/>
        </w:rPr>
      </w:pPr>
      <w:r w:rsidRPr="00EF6EA4">
        <w:rPr>
          <w:rFonts w:ascii="Times New Roman" w:hAnsi="Times New Roman" w:cs="Times New Roman"/>
          <w:sz w:val="24"/>
          <w:szCs w:val="24"/>
        </w:rPr>
        <w:t xml:space="preserve">Към 31.12.2014 г. най-голям дял от общо регистрираните в страната моторни превозни средства имат леките автомобили </w:t>
      </w:r>
      <w:r>
        <w:rPr>
          <w:rFonts w:ascii="Times New Roman" w:hAnsi="Times New Roman" w:cs="Times New Roman"/>
          <w:sz w:val="24"/>
          <w:szCs w:val="24"/>
        </w:rPr>
        <w:t>–</w:t>
      </w:r>
      <w:r w:rsidRPr="00EF6EA4">
        <w:rPr>
          <w:rFonts w:ascii="Times New Roman" w:hAnsi="Times New Roman" w:cs="Times New Roman"/>
          <w:sz w:val="24"/>
          <w:szCs w:val="24"/>
        </w:rPr>
        <w:t xml:space="preserve"> 82</w:t>
      </w:r>
      <w:r>
        <w:rPr>
          <w:rFonts w:ascii="Times New Roman" w:hAnsi="Times New Roman" w:cs="Times New Roman"/>
          <w:sz w:val="24"/>
          <w:szCs w:val="24"/>
        </w:rPr>
        <w:t>,</w:t>
      </w:r>
      <w:r w:rsidRPr="00EF6EA4">
        <w:rPr>
          <w:rFonts w:ascii="Times New Roman" w:hAnsi="Times New Roman" w:cs="Times New Roman"/>
          <w:sz w:val="24"/>
          <w:szCs w:val="24"/>
        </w:rPr>
        <w:t xml:space="preserve">8%, следвани от камионите и влекачите </w:t>
      </w:r>
      <w:r>
        <w:rPr>
          <w:rFonts w:ascii="Times New Roman" w:hAnsi="Times New Roman" w:cs="Times New Roman"/>
          <w:sz w:val="24"/>
          <w:szCs w:val="24"/>
        </w:rPr>
        <w:t>–</w:t>
      </w:r>
      <w:r w:rsidRPr="00EF6EA4">
        <w:rPr>
          <w:rFonts w:ascii="Times New Roman" w:hAnsi="Times New Roman" w:cs="Times New Roman"/>
          <w:sz w:val="24"/>
          <w:szCs w:val="24"/>
        </w:rPr>
        <w:t xml:space="preserve"> 11</w:t>
      </w:r>
      <w:r>
        <w:rPr>
          <w:rFonts w:ascii="Times New Roman" w:hAnsi="Times New Roman" w:cs="Times New Roman"/>
          <w:sz w:val="24"/>
          <w:szCs w:val="24"/>
        </w:rPr>
        <w:t>,</w:t>
      </w:r>
      <w:r w:rsidRPr="00EF6EA4">
        <w:rPr>
          <w:rFonts w:ascii="Times New Roman" w:hAnsi="Times New Roman" w:cs="Times New Roman"/>
          <w:sz w:val="24"/>
          <w:szCs w:val="24"/>
        </w:rPr>
        <w:t>3</w:t>
      </w:r>
      <w:r>
        <w:rPr>
          <w:rFonts w:ascii="Times New Roman" w:hAnsi="Times New Roman" w:cs="Times New Roman"/>
          <w:sz w:val="24"/>
          <w:szCs w:val="24"/>
        </w:rPr>
        <w:t>%. Автобусите са 0,</w:t>
      </w:r>
      <w:r w:rsidRPr="00EF6EA4">
        <w:rPr>
          <w:rFonts w:ascii="Times New Roman" w:hAnsi="Times New Roman" w:cs="Times New Roman"/>
          <w:sz w:val="24"/>
          <w:szCs w:val="24"/>
        </w:rPr>
        <w:t>6%, а другите моторни превозни средства, които включват специалните автомобили,</w:t>
      </w:r>
      <w:r>
        <w:rPr>
          <w:rFonts w:ascii="Times New Roman" w:hAnsi="Times New Roman" w:cs="Times New Roman"/>
          <w:sz w:val="24"/>
          <w:szCs w:val="24"/>
        </w:rPr>
        <w:t xml:space="preserve"> мотопедите и мотоциклетите – 5,</w:t>
      </w:r>
      <w:r w:rsidRPr="00EF6EA4">
        <w:rPr>
          <w:rFonts w:ascii="Times New Roman" w:hAnsi="Times New Roman" w:cs="Times New Roman"/>
          <w:sz w:val="24"/>
          <w:szCs w:val="24"/>
        </w:rPr>
        <w:t xml:space="preserve">3% от парка. </w:t>
      </w:r>
    </w:p>
    <w:p w14:paraId="35A4C895" w14:textId="77777777" w:rsidR="00EF6EA4" w:rsidRDefault="00EF6EA4" w:rsidP="00EF6EA4">
      <w:pPr>
        <w:spacing w:before="60" w:after="60"/>
        <w:ind w:firstLine="480"/>
        <w:jc w:val="both"/>
        <w:rPr>
          <w:rFonts w:ascii="Times New Roman" w:hAnsi="Times New Roman" w:cs="Times New Roman"/>
          <w:noProof/>
          <w:sz w:val="24"/>
          <w:szCs w:val="24"/>
        </w:rPr>
      </w:pPr>
      <w:r w:rsidRPr="00EF6EA4">
        <w:rPr>
          <w:rFonts w:ascii="Times New Roman" w:hAnsi="Times New Roman" w:cs="Times New Roman"/>
          <w:noProof/>
          <w:sz w:val="24"/>
          <w:szCs w:val="24"/>
        </w:rPr>
        <w:t>В сравнение с 2013 г. през 2014 г. е отчетено увеличение на новорегистрираните и регистрираните нови моторни превозни средства - съответно със 7</w:t>
      </w:r>
      <w:r>
        <w:rPr>
          <w:rFonts w:ascii="Times New Roman" w:hAnsi="Times New Roman" w:cs="Times New Roman"/>
          <w:noProof/>
          <w:sz w:val="24"/>
          <w:szCs w:val="24"/>
        </w:rPr>
        <w:t>,</w:t>
      </w:r>
      <w:r w:rsidRPr="00EF6EA4">
        <w:rPr>
          <w:rFonts w:ascii="Times New Roman" w:hAnsi="Times New Roman" w:cs="Times New Roman"/>
          <w:noProof/>
          <w:sz w:val="24"/>
          <w:szCs w:val="24"/>
        </w:rPr>
        <w:t>1 и 11</w:t>
      </w:r>
      <w:r>
        <w:rPr>
          <w:rFonts w:ascii="Times New Roman" w:hAnsi="Times New Roman" w:cs="Times New Roman"/>
          <w:noProof/>
          <w:sz w:val="24"/>
          <w:szCs w:val="24"/>
        </w:rPr>
        <w:t>,</w:t>
      </w:r>
      <w:r w:rsidRPr="00EF6EA4">
        <w:rPr>
          <w:rFonts w:ascii="Times New Roman" w:hAnsi="Times New Roman" w:cs="Times New Roman"/>
          <w:noProof/>
          <w:sz w:val="24"/>
          <w:szCs w:val="24"/>
        </w:rPr>
        <w:t xml:space="preserve">3%. Спрямо </w:t>
      </w:r>
      <w:r w:rsidRPr="00EF6EA4">
        <w:rPr>
          <w:rFonts w:ascii="Times New Roman" w:hAnsi="Times New Roman" w:cs="Times New Roman"/>
          <w:noProof/>
          <w:sz w:val="24"/>
          <w:szCs w:val="24"/>
        </w:rPr>
        <w:lastRenderedPageBreak/>
        <w:t xml:space="preserve">2013 г. новорегистрираните товарни превозни средства и леки автомобили отбелязват ръст съответно от </w:t>
      </w:r>
      <w:r>
        <w:rPr>
          <w:rFonts w:ascii="Times New Roman" w:hAnsi="Times New Roman" w:cs="Times New Roman"/>
          <w:noProof/>
          <w:sz w:val="24"/>
          <w:szCs w:val="24"/>
        </w:rPr>
        <w:t>15,</w:t>
      </w:r>
      <w:r w:rsidRPr="00EF6EA4">
        <w:rPr>
          <w:rFonts w:ascii="Times New Roman" w:hAnsi="Times New Roman" w:cs="Times New Roman"/>
          <w:noProof/>
          <w:sz w:val="24"/>
          <w:szCs w:val="24"/>
        </w:rPr>
        <w:t xml:space="preserve">2 и </w:t>
      </w:r>
      <w:r>
        <w:rPr>
          <w:rFonts w:ascii="Times New Roman" w:hAnsi="Times New Roman" w:cs="Times New Roman"/>
          <w:noProof/>
          <w:sz w:val="24"/>
          <w:szCs w:val="24"/>
        </w:rPr>
        <w:t>5,</w:t>
      </w:r>
      <w:r w:rsidRPr="00EF6EA4">
        <w:rPr>
          <w:rFonts w:ascii="Times New Roman" w:hAnsi="Times New Roman" w:cs="Times New Roman"/>
          <w:noProof/>
          <w:sz w:val="24"/>
          <w:szCs w:val="24"/>
        </w:rPr>
        <w:t xml:space="preserve">5%. Регистрираните нови леки автомобили спрямо предходната година се увеличават с </w:t>
      </w:r>
      <w:r>
        <w:rPr>
          <w:rFonts w:ascii="Times New Roman" w:hAnsi="Times New Roman" w:cs="Times New Roman"/>
          <w:noProof/>
          <w:sz w:val="24"/>
          <w:szCs w:val="24"/>
        </w:rPr>
        <w:t>10,</w:t>
      </w:r>
      <w:r w:rsidRPr="00EF6EA4">
        <w:rPr>
          <w:rFonts w:ascii="Times New Roman" w:hAnsi="Times New Roman" w:cs="Times New Roman"/>
          <w:noProof/>
          <w:sz w:val="24"/>
          <w:szCs w:val="24"/>
        </w:rPr>
        <w:t>0%, а регистрираните нови товарни автомобили - с 13</w:t>
      </w:r>
      <w:r>
        <w:rPr>
          <w:rFonts w:ascii="Times New Roman" w:hAnsi="Times New Roman" w:cs="Times New Roman"/>
          <w:noProof/>
          <w:sz w:val="24"/>
          <w:szCs w:val="24"/>
        </w:rPr>
        <w:t>,</w:t>
      </w:r>
      <w:r w:rsidRPr="00EF6EA4">
        <w:rPr>
          <w:rFonts w:ascii="Times New Roman" w:hAnsi="Times New Roman" w:cs="Times New Roman"/>
          <w:noProof/>
          <w:sz w:val="24"/>
          <w:szCs w:val="24"/>
        </w:rPr>
        <w:t>8%. Броят на регистрираните нови автобуси също нараства с 46</w:t>
      </w:r>
      <w:r>
        <w:rPr>
          <w:rFonts w:ascii="Times New Roman" w:hAnsi="Times New Roman" w:cs="Times New Roman"/>
          <w:noProof/>
          <w:sz w:val="24"/>
          <w:szCs w:val="24"/>
        </w:rPr>
        <w:t>,</w:t>
      </w:r>
      <w:r w:rsidRPr="00EF6EA4">
        <w:rPr>
          <w:rFonts w:ascii="Times New Roman" w:hAnsi="Times New Roman" w:cs="Times New Roman"/>
          <w:noProof/>
          <w:sz w:val="24"/>
          <w:szCs w:val="24"/>
        </w:rPr>
        <w:t>7% спрямо предходната година.</w:t>
      </w:r>
    </w:p>
    <w:p w14:paraId="0DAFBBD2" w14:textId="77777777" w:rsidR="00E60601" w:rsidRPr="00E60601" w:rsidRDefault="00E60601" w:rsidP="00E60601">
      <w:pPr>
        <w:jc w:val="both"/>
        <w:rPr>
          <w:rFonts w:ascii="Times New Roman" w:hAnsi="Times New Roman" w:cs="Times New Roman"/>
          <w:color w:val="000000"/>
        </w:rPr>
      </w:pPr>
      <w:r w:rsidRPr="00E60601">
        <w:rPr>
          <w:rFonts w:ascii="Times New Roman" w:hAnsi="Times New Roman" w:cs="Times New Roman"/>
          <w:noProof/>
        </w:rPr>
        <w:t xml:space="preserve">Таблица </w:t>
      </w:r>
      <w:r>
        <w:rPr>
          <w:rFonts w:ascii="Times New Roman" w:hAnsi="Times New Roman" w:cs="Times New Roman"/>
          <w:noProof/>
        </w:rPr>
        <w:t xml:space="preserve">15 </w:t>
      </w:r>
      <w:r w:rsidRPr="00E60601">
        <w:rPr>
          <w:rFonts w:ascii="Times New Roman" w:hAnsi="Times New Roman" w:cs="Times New Roman"/>
          <w:color w:val="000000"/>
        </w:rPr>
        <w:t xml:space="preserve">Дял на новорегистрираните и регистрираните нови МПС </w:t>
      </w:r>
      <w:r>
        <w:rPr>
          <w:rFonts w:ascii="Times New Roman" w:hAnsi="Times New Roman" w:cs="Times New Roman"/>
          <w:color w:val="000000"/>
        </w:rPr>
        <w:t>от съответния вид в %</w:t>
      </w:r>
    </w:p>
    <w:p w14:paraId="29C529E7" w14:textId="77777777" w:rsidR="00E60601" w:rsidRPr="00E60601" w:rsidRDefault="00E60601" w:rsidP="00E60601">
      <w:pPr>
        <w:spacing w:before="60" w:after="60"/>
        <w:jc w:val="both"/>
        <w:rPr>
          <w:rFonts w:ascii="Times New Roman" w:hAnsi="Times New Roman" w:cs="Times New Roman"/>
          <w:sz w:val="24"/>
          <w:szCs w:val="24"/>
        </w:rPr>
      </w:pPr>
    </w:p>
    <w:tbl>
      <w:tblPr>
        <w:tblW w:w="10782" w:type="dxa"/>
        <w:tblInd w:w="-444" w:type="dxa"/>
        <w:tblCellMar>
          <w:left w:w="70" w:type="dxa"/>
          <w:right w:w="70" w:type="dxa"/>
        </w:tblCellMar>
        <w:tblLook w:val="04A0" w:firstRow="1" w:lastRow="0" w:firstColumn="1" w:lastColumn="0" w:noHBand="0" w:noVBand="1"/>
      </w:tblPr>
      <w:tblGrid>
        <w:gridCol w:w="2277"/>
        <w:gridCol w:w="567"/>
        <w:gridCol w:w="567"/>
        <w:gridCol w:w="567"/>
        <w:gridCol w:w="567"/>
        <w:gridCol w:w="567"/>
        <w:gridCol w:w="567"/>
        <w:gridCol w:w="567"/>
        <w:gridCol w:w="567"/>
        <w:gridCol w:w="567"/>
        <w:gridCol w:w="567"/>
        <w:gridCol w:w="567"/>
        <w:gridCol w:w="567"/>
        <w:gridCol w:w="567"/>
        <w:gridCol w:w="567"/>
        <w:gridCol w:w="567"/>
      </w:tblGrid>
      <w:tr w:rsidR="00E60601" w:rsidRPr="008D42D0" w14:paraId="01DBCB80" w14:textId="77777777" w:rsidTr="00E60601">
        <w:trPr>
          <w:trHeight w:val="360"/>
        </w:trPr>
        <w:tc>
          <w:tcPr>
            <w:tcW w:w="2277" w:type="dxa"/>
            <w:tcBorders>
              <w:top w:val="single" w:sz="8" w:space="0" w:color="C0C0C0"/>
              <w:left w:val="single" w:sz="8" w:space="0" w:color="C0C0C0"/>
              <w:bottom w:val="single" w:sz="8" w:space="0" w:color="C0C0C0"/>
              <w:right w:val="single" w:sz="8" w:space="0" w:color="C0C0C0"/>
            </w:tcBorders>
            <w:shd w:val="clear" w:color="000000" w:fill="CCFFFF"/>
            <w:vAlign w:val="center"/>
            <w:hideMark/>
          </w:tcPr>
          <w:p w14:paraId="0BE548C1" w14:textId="77777777" w:rsidR="00E60601" w:rsidRPr="00933948" w:rsidRDefault="00E60601" w:rsidP="00E66958">
            <w:pPr>
              <w:spacing w:after="0" w:line="240" w:lineRule="auto"/>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Видове</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7624D2AD"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2000</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7DB32A62"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2001</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D6DF566"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2002</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E6C3760"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2003</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7895383C"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2004</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0F9B5840"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2005</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5954BDE"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2006</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B8C5B77"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2007</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329DB993"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2008</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67E511F8"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2009</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9EF4191"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2010</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4AB335C9"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2011</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8233F41"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2012</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5B3E7548"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2013</w:t>
            </w:r>
          </w:p>
        </w:tc>
        <w:tc>
          <w:tcPr>
            <w:tcW w:w="567" w:type="dxa"/>
            <w:tcBorders>
              <w:top w:val="single" w:sz="8" w:space="0" w:color="C0C0C0"/>
              <w:left w:val="nil"/>
              <w:bottom w:val="single" w:sz="8" w:space="0" w:color="C0C0C0"/>
              <w:right w:val="single" w:sz="8" w:space="0" w:color="C0C0C0"/>
            </w:tcBorders>
            <w:shd w:val="clear" w:color="000000" w:fill="CCFFFF"/>
            <w:vAlign w:val="center"/>
            <w:hideMark/>
          </w:tcPr>
          <w:p w14:paraId="06262EBD" w14:textId="77777777" w:rsidR="00E60601" w:rsidRPr="00933948" w:rsidRDefault="00E60601" w:rsidP="00E66958">
            <w:pPr>
              <w:spacing w:after="0" w:line="240" w:lineRule="auto"/>
              <w:jc w:val="right"/>
              <w:rPr>
                <w:rFonts w:ascii="Times New Roman" w:eastAsia="Times New Roman" w:hAnsi="Times New Roman" w:cs="Times New Roman"/>
                <w:b/>
                <w:bCs/>
                <w:sz w:val="20"/>
                <w:szCs w:val="20"/>
                <w:lang w:eastAsia="bg-BG"/>
              </w:rPr>
            </w:pPr>
            <w:r w:rsidRPr="00933948">
              <w:rPr>
                <w:rFonts w:ascii="Times New Roman" w:eastAsia="Times New Roman" w:hAnsi="Times New Roman" w:cs="Times New Roman"/>
                <w:b/>
                <w:bCs/>
                <w:sz w:val="20"/>
                <w:szCs w:val="20"/>
                <w:lang w:eastAsia="bg-BG"/>
              </w:rPr>
              <w:t>2014</w:t>
            </w:r>
          </w:p>
        </w:tc>
      </w:tr>
      <w:tr w:rsidR="00E60601" w:rsidRPr="008D42D0" w14:paraId="1A31C27A" w14:textId="77777777" w:rsidTr="00E60601">
        <w:trPr>
          <w:trHeight w:val="360"/>
        </w:trPr>
        <w:tc>
          <w:tcPr>
            <w:tcW w:w="2277" w:type="dxa"/>
            <w:tcBorders>
              <w:top w:val="single" w:sz="8" w:space="0" w:color="969696"/>
              <w:left w:val="single" w:sz="8" w:space="0" w:color="969696"/>
              <w:bottom w:val="single" w:sz="8" w:space="0" w:color="969696"/>
              <w:right w:val="single" w:sz="8" w:space="0" w:color="969696"/>
            </w:tcBorders>
            <w:shd w:val="clear" w:color="000000" w:fill="FFFFFF"/>
            <w:noWrap/>
            <w:vAlign w:val="center"/>
            <w:hideMark/>
          </w:tcPr>
          <w:p w14:paraId="681AA1DF"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Новорегистрирани леки автомобили</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60C0E6F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4,9</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636890DA"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5,6</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3D89EB3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5,6</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6F1165A9"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6,2</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0975E59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6,2</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0AF528E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6,6</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7A2DBF2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10,3</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480A9089"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16,8</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5857A41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14,9</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354016A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8,0</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76B0B809"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7,2</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74912F2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7,1</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00CAA4A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7,0</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791AE75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6,9</w:t>
            </w:r>
          </w:p>
        </w:tc>
        <w:tc>
          <w:tcPr>
            <w:tcW w:w="567" w:type="dxa"/>
            <w:tcBorders>
              <w:top w:val="single" w:sz="8" w:space="0" w:color="969696"/>
              <w:left w:val="nil"/>
              <w:bottom w:val="single" w:sz="8" w:space="0" w:color="969696"/>
              <w:right w:val="single" w:sz="8" w:space="0" w:color="969696"/>
            </w:tcBorders>
            <w:shd w:val="clear" w:color="000000" w:fill="FFFFFF"/>
            <w:noWrap/>
            <w:vAlign w:val="center"/>
            <w:hideMark/>
          </w:tcPr>
          <w:p w14:paraId="1829E48D"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7,0</w:t>
            </w:r>
          </w:p>
        </w:tc>
      </w:tr>
      <w:tr w:rsidR="00E60601" w:rsidRPr="008D42D0" w14:paraId="42F59712"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01FE8037"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Нови леки автомобили</w:t>
            </w:r>
          </w:p>
        </w:tc>
        <w:tc>
          <w:tcPr>
            <w:tcW w:w="567" w:type="dxa"/>
            <w:tcBorders>
              <w:top w:val="nil"/>
              <w:left w:val="nil"/>
              <w:bottom w:val="single" w:sz="8" w:space="0" w:color="969696"/>
              <w:right w:val="single" w:sz="8" w:space="0" w:color="969696"/>
            </w:tcBorders>
            <w:shd w:val="clear" w:color="000000" w:fill="FFFFFF"/>
            <w:noWrap/>
            <w:vAlign w:val="center"/>
            <w:hideMark/>
          </w:tcPr>
          <w:p w14:paraId="1B8972CF"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030624DB"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1DC08BC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7EBEF6D5"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7F103A4B"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2C994542"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1,0</w:t>
            </w:r>
          </w:p>
        </w:tc>
        <w:tc>
          <w:tcPr>
            <w:tcW w:w="567" w:type="dxa"/>
            <w:tcBorders>
              <w:top w:val="nil"/>
              <w:left w:val="nil"/>
              <w:bottom w:val="single" w:sz="8" w:space="0" w:color="969696"/>
              <w:right w:val="single" w:sz="8" w:space="0" w:color="969696"/>
            </w:tcBorders>
            <w:shd w:val="clear" w:color="000000" w:fill="FFFFFF"/>
            <w:noWrap/>
            <w:vAlign w:val="center"/>
            <w:hideMark/>
          </w:tcPr>
          <w:p w14:paraId="0F02D21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2,0</w:t>
            </w:r>
          </w:p>
        </w:tc>
        <w:tc>
          <w:tcPr>
            <w:tcW w:w="567" w:type="dxa"/>
            <w:tcBorders>
              <w:top w:val="nil"/>
              <w:left w:val="nil"/>
              <w:bottom w:val="single" w:sz="8" w:space="0" w:color="969696"/>
              <w:right w:val="single" w:sz="8" w:space="0" w:color="969696"/>
            </w:tcBorders>
            <w:shd w:val="clear" w:color="000000" w:fill="FFFFFF"/>
            <w:noWrap/>
            <w:vAlign w:val="center"/>
            <w:hideMark/>
          </w:tcPr>
          <w:p w14:paraId="7A4373E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2,1</w:t>
            </w:r>
          </w:p>
        </w:tc>
        <w:tc>
          <w:tcPr>
            <w:tcW w:w="567" w:type="dxa"/>
            <w:tcBorders>
              <w:top w:val="nil"/>
              <w:left w:val="nil"/>
              <w:bottom w:val="single" w:sz="8" w:space="0" w:color="969696"/>
              <w:right w:val="single" w:sz="8" w:space="0" w:color="969696"/>
            </w:tcBorders>
            <w:shd w:val="clear" w:color="000000" w:fill="FFFFFF"/>
            <w:noWrap/>
            <w:vAlign w:val="center"/>
            <w:hideMark/>
          </w:tcPr>
          <w:p w14:paraId="08C26F2A"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1,9</w:t>
            </w:r>
          </w:p>
        </w:tc>
        <w:tc>
          <w:tcPr>
            <w:tcW w:w="567" w:type="dxa"/>
            <w:tcBorders>
              <w:top w:val="nil"/>
              <w:left w:val="nil"/>
              <w:bottom w:val="single" w:sz="8" w:space="0" w:color="969696"/>
              <w:right w:val="single" w:sz="8" w:space="0" w:color="969696"/>
            </w:tcBorders>
            <w:shd w:val="clear" w:color="000000" w:fill="FFFFFF"/>
            <w:noWrap/>
            <w:vAlign w:val="center"/>
            <w:hideMark/>
          </w:tcPr>
          <w:p w14:paraId="262F56A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0,8</w:t>
            </w:r>
          </w:p>
        </w:tc>
        <w:tc>
          <w:tcPr>
            <w:tcW w:w="567" w:type="dxa"/>
            <w:tcBorders>
              <w:top w:val="nil"/>
              <w:left w:val="nil"/>
              <w:bottom w:val="single" w:sz="8" w:space="0" w:color="969696"/>
              <w:right w:val="single" w:sz="8" w:space="0" w:color="969696"/>
            </w:tcBorders>
            <w:shd w:val="clear" w:color="000000" w:fill="FFFFFF"/>
            <w:noWrap/>
            <w:vAlign w:val="center"/>
            <w:hideMark/>
          </w:tcPr>
          <w:p w14:paraId="011D227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0,5</w:t>
            </w:r>
          </w:p>
        </w:tc>
        <w:tc>
          <w:tcPr>
            <w:tcW w:w="567" w:type="dxa"/>
            <w:tcBorders>
              <w:top w:val="nil"/>
              <w:left w:val="nil"/>
              <w:bottom w:val="single" w:sz="8" w:space="0" w:color="969696"/>
              <w:right w:val="single" w:sz="8" w:space="0" w:color="969696"/>
            </w:tcBorders>
            <w:shd w:val="clear" w:color="000000" w:fill="FFFFFF"/>
            <w:noWrap/>
            <w:vAlign w:val="center"/>
            <w:hideMark/>
          </w:tcPr>
          <w:p w14:paraId="55BED24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0,5</w:t>
            </w:r>
          </w:p>
        </w:tc>
        <w:tc>
          <w:tcPr>
            <w:tcW w:w="567" w:type="dxa"/>
            <w:tcBorders>
              <w:top w:val="nil"/>
              <w:left w:val="nil"/>
              <w:bottom w:val="single" w:sz="8" w:space="0" w:color="969696"/>
              <w:right w:val="single" w:sz="8" w:space="0" w:color="969696"/>
            </w:tcBorders>
            <w:shd w:val="clear" w:color="000000" w:fill="FFFFFF"/>
            <w:noWrap/>
            <w:vAlign w:val="center"/>
            <w:hideMark/>
          </w:tcPr>
          <w:p w14:paraId="149561A9"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0,5</w:t>
            </w:r>
          </w:p>
        </w:tc>
        <w:tc>
          <w:tcPr>
            <w:tcW w:w="567" w:type="dxa"/>
            <w:tcBorders>
              <w:top w:val="nil"/>
              <w:left w:val="nil"/>
              <w:bottom w:val="single" w:sz="8" w:space="0" w:color="969696"/>
              <w:right w:val="single" w:sz="8" w:space="0" w:color="969696"/>
            </w:tcBorders>
            <w:shd w:val="clear" w:color="000000" w:fill="FFFFFF"/>
            <w:noWrap/>
            <w:vAlign w:val="center"/>
            <w:hideMark/>
          </w:tcPr>
          <w:p w14:paraId="41D03F0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0,5</w:t>
            </w:r>
          </w:p>
        </w:tc>
        <w:tc>
          <w:tcPr>
            <w:tcW w:w="567" w:type="dxa"/>
            <w:tcBorders>
              <w:top w:val="nil"/>
              <w:left w:val="nil"/>
              <w:bottom w:val="single" w:sz="8" w:space="0" w:color="969696"/>
              <w:right w:val="single" w:sz="8" w:space="0" w:color="969696"/>
            </w:tcBorders>
            <w:shd w:val="clear" w:color="000000" w:fill="FFFFFF"/>
            <w:noWrap/>
            <w:vAlign w:val="center"/>
            <w:hideMark/>
          </w:tcPr>
          <w:p w14:paraId="6D0DBC16"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0,6</w:t>
            </w:r>
          </w:p>
        </w:tc>
      </w:tr>
      <w:tr w:rsidR="00E60601" w:rsidRPr="008D42D0" w14:paraId="4909B408"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62B169C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Новорегистрирани автобуси</w:t>
            </w:r>
          </w:p>
        </w:tc>
        <w:tc>
          <w:tcPr>
            <w:tcW w:w="567" w:type="dxa"/>
            <w:tcBorders>
              <w:top w:val="nil"/>
              <w:left w:val="nil"/>
              <w:bottom w:val="single" w:sz="8" w:space="0" w:color="969696"/>
              <w:right w:val="single" w:sz="8" w:space="0" w:color="969696"/>
            </w:tcBorders>
            <w:shd w:val="clear" w:color="000000" w:fill="FFFFFF"/>
            <w:noWrap/>
            <w:vAlign w:val="center"/>
            <w:hideMark/>
          </w:tcPr>
          <w:p w14:paraId="4B33C1C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2,5</w:t>
            </w:r>
          </w:p>
        </w:tc>
        <w:tc>
          <w:tcPr>
            <w:tcW w:w="567" w:type="dxa"/>
            <w:tcBorders>
              <w:top w:val="nil"/>
              <w:left w:val="nil"/>
              <w:bottom w:val="single" w:sz="8" w:space="0" w:color="969696"/>
              <w:right w:val="single" w:sz="8" w:space="0" w:color="969696"/>
            </w:tcBorders>
            <w:shd w:val="clear" w:color="000000" w:fill="FFFFFF"/>
            <w:noWrap/>
            <w:vAlign w:val="center"/>
            <w:hideMark/>
          </w:tcPr>
          <w:p w14:paraId="1B9D918A"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3,0</w:t>
            </w:r>
          </w:p>
        </w:tc>
        <w:tc>
          <w:tcPr>
            <w:tcW w:w="567" w:type="dxa"/>
            <w:tcBorders>
              <w:top w:val="nil"/>
              <w:left w:val="nil"/>
              <w:bottom w:val="single" w:sz="8" w:space="0" w:color="969696"/>
              <w:right w:val="single" w:sz="8" w:space="0" w:color="969696"/>
            </w:tcBorders>
            <w:shd w:val="clear" w:color="000000" w:fill="FFFFFF"/>
            <w:noWrap/>
            <w:vAlign w:val="center"/>
            <w:hideMark/>
          </w:tcPr>
          <w:p w14:paraId="06E50EFD"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2,9</w:t>
            </w:r>
          </w:p>
        </w:tc>
        <w:tc>
          <w:tcPr>
            <w:tcW w:w="567" w:type="dxa"/>
            <w:tcBorders>
              <w:top w:val="nil"/>
              <w:left w:val="nil"/>
              <w:bottom w:val="single" w:sz="8" w:space="0" w:color="969696"/>
              <w:right w:val="single" w:sz="8" w:space="0" w:color="969696"/>
            </w:tcBorders>
            <w:shd w:val="clear" w:color="000000" w:fill="FFFFFF"/>
            <w:noWrap/>
            <w:vAlign w:val="center"/>
            <w:hideMark/>
          </w:tcPr>
          <w:p w14:paraId="1C7CA7B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2,7</w:t>
            </w:r>
          </w:p>
        </w:tc>
        <w:tc>
          <w:tcPr>
            <w:tcW w:w="567" w:type="dxa"/>
            <w:tcBorders>
              <w:top w:val="nil"/>
              <w:left w:val="nil"/>
              <w:bottom w:val="single" w:sz="8" w:space="0" w:color="969696"/>
              <w:right w:val="single" w:sz="8" w:space="0" w:color="969696"/>
            </w:tcBorders>
            <w:shd w:val="clear" w:color="000000" w:fill="FFFFFF"/>
            <w:noWrap/>
            <w:vAlign w:val="center"/>
            <w:hideMark/>
          </w:tcPr>
          <w:p w14:paraId="753A42C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5,4</w:t>
            </w:r>
          </w:p>
        </w:tc>
        <w:tc>
          <w:tcPr>
            <w:tcW w:w="567" w:type="dxa"/>
            <w:tcBorders>
              <w:top w:val="nil"/>
              <w:left w:val="nil"/>
              <w:bottom w:val="single" w:sz="8" w:space="0" w:color="969696"/>
              <w:right w:val="single" w:sz="8" w:space="0" w:color="969696"/>
            </w:tcBorders>
            <w:shd w:val="clear" w:color="000000" w:fill="FFFFFF"/>
            <w:noWrap/>
            <w:vAlign w:val="center"/>
            <w:hideMark/>
          </w:tcPr>
          <w:p w14:paraId="5721F5A9"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5,9</w:t>
            </w:r>
          </w:p>
        </w:tc>
        <w:tc>
          <w:tcPr>
            <w:tcW w:w="567" w:type="dxa"/>
            <w:tcBorders>
              <w:top w:val="nil"/>
              <w:left w:val="nil"/>
              <w:bottom w:val="single" w:sz="8" w:space="0" w:color="969696"/>
              <w:right w:val="single" w:sz="8" w:space="0" w:color="969696"/>
            </w:tcBorders>
            <w:shd w:val="clear" w:color="000000" w:fill="FFFFFF"/>
            <w:noWrap/>
            <w:vAlign w:val="center"/>
            <w:hideMark/>
          </w:tcPr>
          <w:p w14:paraId="4CDA34FA"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6,3</w:t>
            </w:r>
          </w:p>
        </w:tc>
        <w:tc>
          <w:tcPr>
            <w:tcW w:w="567" w:type="dxa"/>
            <w:tcBorders>
              <w:top w:val="nil"/>
              <w:left w:val="nil"/>
              <w:bottom w:val="single" w:sz="8" w:space="0" w:color="969696"/>
              <w:right w:val="single" w:sz="8" w:space="0" w:color="969696"/>
            </w:tcBorders>
            <w:shd w:val="clear" w:color="000000" w:fill="FFFFFF"/>
            <w:noWrap/>
            <w:vAlign w:val="center"/>
            <w:hideMark/>
          </w:tcPr>
          <w:p w14:paraId="6A2F39D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7,8</w:t>
            </w:r>
          </w:p>
        </w:tc>
        <w:tc>
          <w:tcPr>
            <w:tcW w:w="567" w:type="dxa"/>
            <w:tcBorders>
              <w:top w:val="nil"/>
              <w:left w:val="nil"/>
              <w:bottom w:val="single" w:sz="8" w:space="0" w:color="969696"/>
              <w:right w:val="single" w:sz="8" w:space="0" w:color="969696"/>
            </w:tcBorders>
            <w:shd w:val="clear" w:color="000000" w:fill="FFFFFF"/>
            <w:noWrap/>
            <w:vAlign w:val="center"/>
            <w:hideMark/>
          </w:tcPr>
          <w:p w14:paraId="30CA602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9,3</w:t>
            </w:r>
          </w:p>
        </w:tc>
        <w:tc>
          <w:tcPr>
            <w:tcW w:w="567" w:type="dxa"/>
            <w:tcBorders>
              <w:top w:val="nil"/>
              <w:left w:val="nil"/>
              <w:bottom w:val="single" w:sz="8" w:space="0" w:color="969696"/>
              <w:right w:val="single" w:sz="8" w:space="0" w:color="969696"/>
            </w:tcBorders>
            <w:shd w:val="clear" w:color="000000" w:fill="FFFFFF"/>
            <w:noWrap/>
            <w:vAlign w:val="center"/>
            <w:hideMark/>
          </w:tcPr>
          <w:p w14:paraId="5ED7350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4,9</w:t>
            </w:r>
          </w:p>
        </w:tc>
        <w:tc>
          <w:tcPr>
            <w:tcW w:w="567" w:type="dxa"/>
            <w:tcBorders>
              <w:top w:val="nil"/>
              <w:left w:val="nil"/>
              <w:bottom w:val="single" w:sz="8" w:space="0" w:color="969696"/>
              <w:right w:val="single" w:sz="8" w:space="0" w:color="969696"/>
            </w:tcBorders>
            <w:shd w:val="clear" w:color="000000" w:fill="FFFFFF"/>
            <w:noWrap/>
            <w:vAlign w:val="center"/>
            <w:hideMark/>
          </w:tcPr>
          <w:p w14:paraId="0119E8E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3,1</w:t>
            </w:r>
          </w:p>
        </w:tc>
        <w:tc>
          <w:tcPr>
            <w:tcW w:w="567" w:type="dxa"/>
            <w:tcBorders>
              <w:top w:val="nil"/>
              <w:left w:val="nil"/>
              <w:bottom w:val="single" w:sz="8" w:space="0" w:color="969696"/>
              <w:right w:val="single" w:sz="8" w:space="0" w:color="969696"/>
            </w:tcBorders>
            <w:shd w:val="clear" w:color="000000" w:fill="FFFFFF"/>
            <w:noWrap/>
            <w:vAlign w:val="center"/>
            <w:hideMark/>
          </w:tcPr>
          <w:p w14:paraId="5A08582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3,1</w:t>
            </w:r>
          </w:p>
        </w:tc>
        <w:tc>
          <w:tcPr>
            <w:tcW w:w="567" w:type="dxa"/>
            <w:tcBorders>
              <w:top w:val="nil"/>
              <w:left w:val="nil"/>
              <w:bottom w:val="single" w:sz="8" w:space="0" w:color="969696"/>
              <w:right w:val="single" w:sz="8" w:space="0" w:color="969696"/>
            </w:tcBorders>
            <w:shd w:val="clear" w:color="000000" w:fill="FFFFFF"/>
            <w:noWrap/>
            <w:vAlign w:val="center"/>
            <w:hideMark/>
          </w:tcPr>
          <w:p w14:paraId="0D29DA0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3,2</w:t>
            </w:r>
          </w:p>
        </w:tc>
        <w:tc>
          <w:tcPr>
            <w:tcW w:w="567" w:type="dxa"/>
            <w:tcBorders>
              <w:top w:val="nil"/>
              <w:left w:val="nil"/>
              <w:bottom w:val="single" w:sz="8" w:space="0" w:color="969696"/>
              <w:right w:val="single" w:sz="8" w:space="0" w:color="969696"/>
            </w:tcBorders>
            <w:shd w:val="clear" w:color="000000" w:fill="FFFFFF"/>
            <w:noWrap/>
            <w:vAlign w:val="center"/>
            <w:hideMark/>
          </w:tcPr>
          <w:p w14:paraId="199D52E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4,5</w:t>
            </w:r>
          </w:p>
        </w:tc>
        <w:tc>
          <w:tcPr>
            <w:tcW w:w="567" w:type="dxa"/>
            <w:tcBorders>
              <w:top w:val="nil"/>
              <w:left w:val="nil"/>
              <w:bottom w:val="single" w:sz="8" w:space="0" w:color="969696"/>
              <w:right w:val="single" w:sz="8" w:space="0" w:color="969696"/>
            </w:tcBorders>
            <w:shd w:val="clear" w:color="000000" w:fill="FFFFFF"/>
            <w:noWrap/>
            <w:vAlign w:val="center"/>
            <w:hideMark/>
          </w:tcPr>
          <w:p w14:paraId="43810E2D"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5,8</w:t>
            </w:r>
          </w:p>
        </w:tc>
      </w:tr>
      <w:tr w:rsidR="00E60601" w:rsidRPr="008D42D0" w14:paraId="1A1F797E"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144C6F0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Нови автобуси</w:t>
            </w:r>
          </w:p>
        </w:tc>
        <w:tc>
          <w:tcPr>
            <w:tcW w:w="567" w:type="dxa"/>
            <w:tcBorders>
              <w:top w:val="nil"/>
              <w:left w:val="nil"/>
              <w:bottom w:val="single" w:sz="8" w:space="0" w:color="969696"/>
              <w:right w:val="single" w:sz="8" w:space="0" w:color="969696"/>
            </w:tcBorders>
            <w:shd w:val="clear" w:color="000000" w:fill="FFFFFF"/>
            <w:noWrap/>
            <w:vAlign w:val="center"/>
            <w:hideMark/>
          </w:tcPr>
          <w:p w14:paraId="534C0408"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2643925B"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095272AC"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3B05DA25"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6A8E96FA"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7B42F75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2,3</w:t>
            </w:r>
          </w:p>
        </w:tc>
        <w:tc>
          <w:tcPr>
            <w:tcW w:w="567" w:type="dxa"/>
            <w:tcBorders>
              <w:top w:val="nil"/>
              <w:left w:val="nil"/>
              <w:bottom w:val="single" w:sz="8" w:space="0" w:color="969696"/>
              <w:right w:val="single" w:sz="8" w:space="0" w:color="969696"/>
            </w:tcBorders>
            <w:shd w:val="clear" w:color="000000" w:fill="FFFFFF"/>
            <w:noWrap/>
            <w:vAlign w:val="center"/>
            <w:hideMark/>
          </w:tcPr>
          <w:p w14:paraId="5317D4D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3,6</w:t>
            </w:r>
          </w:p>
        </w:tc>
        <w:tc>
          <w:tcPr>
            <w:tcW w:w="567" w:type="dxa"/>
            <w:tcBorders>
              <w:top w:val="nil"/>
              <w:left w:val="nil"/>
              <w:bottom w:val="single" w:sz="8" w:space="0" w:color="969696"/>
              <w:right w:val="single" w:sz="8" w:space="0" w:color="969696"/>
            </w:tcBorders>
            <w:shd w:val="clear" w:color="000000" w:fill="FFFFFF"/>
            <w:noWrap/>
            <w:vAlign w:val="center"/>
            <w:hideMark/>
          </w:tcPr>
          <w:p w14:paraId="544D2F4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2,3</w:t>
            </w:r>
          </w:p>
        </w:tc>
        <w:tc>
          <w:tcPr>
            <w:tcW w:w="567" w:type="dxa"/>
            <w:tcBorders>
              <w:top w:val="nil"/>
              <w:left w:val="nil"/>
              <w:bottom w:val="single" w:sz="8" w:space="0" w:color="969696"/>
              <w:right w:val="single" w:sz="8" w:space="0" w:color="969696"/>
            </w:tcBorders>
            <w:shd w:val="clear" w:color="000000" w:fill="FFFFFF"/>
            <w:noWrap/>
            <w:vAlign w:val="center"/>
            <w:hideMark/>
          </w:tcPr>
          <w:p w14:paraId="301B4AE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4,3</w:t>
            </w:r>
          </w:p>
        </w:tc>
        <w:tc>
          <w:tcPr>
            <w:tcW w:w="567" w:type="dxa"/>
            <w:tcBorders>
              <w:top w:val="nil"/>
              <w:left w:val="nil"/>
              <w:bottom w:val="single" w:sz="8" w:space="0" w:color="969696"/>
              <w:right w:val="single" w:sz="8" w:space="0" w:color="969696"/>
            </w:tcBorders>
            <w:shd w:val="clear" w:color="000000" w:fill="FFFFFF"/>
            <w:noWrap/>
            <w:vAlign w:val="center"/>
            <w:hideMark/>
          </w:tcPr>
          <w:p w14:paraId="221440E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1,7</w:t>
            </w:r>
          </w:p>
        </w:tc>
        <w:tc>
          <w:tcPr>
            <w:tcW w:w="567" w:type="dxa"/>
            <w:tcBorders>
              <w:top w:val="nil"/>
              <w:left w:val="nil"/>
              <w:bottom w:val="single" w:sz="8" w:space="0" w:color="969696"/>
              <w:right w:val="single" w:sz="8" w:space="0" w:color="969696"/>
            </w:tcBorders>
            <w:shd w:val="clear" w:color="000000" w:fill="FFFFFF"/>
            <w:noWrap/>
            <w:vAlign w:val="center"/>
            <w:hideMark/>
          </w:tcPr>
          <w:p w14:paraId="7E0B9DDC"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0,4</w:t>
            </w:r>
          </w:p>
        </w:tc>
        <w:tc>
          <w:tcPr>
            <w:tcW w:w="567" w:type="dxa"/>
            <w:tcBorders>
              <w:top w:val="nil"/>
              <w:left w:val="nil"/>
              <w:bottom w:val="single" w:sz="8" w:space="0" w:color="969696"/>
              <w:right w:val="single" w:sz="8" w:space="0" w:color="969696"/>
            </w:tcBorders>
            <w:shd w:val="clear" w:color="000000" w:fill="FFFFFF"/>
            <w:noWrap/>
            <w:vAlign w:val="center"/>
            <w:hideMark/>
          </w:tcPr>
          <w:p w14:paraId="1EB3F1F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0,2</w:t>
            </w:r>
          </w:p>
        </w:tc>
        <w:tc>
          <w:tcPr>
            <w:tcW w:w="567" w:type="dxa"/>
            <w:tcBorders>
              <w:top w:val="nil"/>
              <w:left w:val="nil"/>
              <w:bottom w:val="single" w:sz="8" w:space="0" w:color="969696"/>
              <w:right w:val="single" w:sz="8" w:space="0" w:color="969696"/>
            </w:tcBorders>
            <w:shd w:val="clear" w:color="000000" w:fill="FFFFFF"/>
            <w:noWrap/>
            <w:vAlign w:val="center"/>
            <w:hideMark/>
          </w:tcPr>
          <w:p w14:paraId="7857547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0,2</w:t>
            </w:r>
          </w:p>
        </w:tc>
        <w:tc>
          <w:tcPr>
            <w:tcW w:w="567" w:type="dxa"/>
            <w:tcBorders>
              <w:top w:val="nil"/>
              <w:left w:val="nil"/>
              <w:bottom w:val="single" w:sz="8" w:space="0" w:color="969696"/>
              <w:right w:val="single" w:sz="8" w:space="0" w:color="969696"/>
            </w:tcBorders>
            <w:shd w:val="clear" w:color="000000" w:fill="FFFFFF"/>
            <w:noWrap/>
            <w:vAlign w:val="center"/>
            <w:hideMark/>
          </w:tcPr>
          <w:p w14:paraId="495160F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1,1</w:t>
            </w:r>
          </w:p>
        </w:tc>
        <w:tc>
          <w:tcPr>
            <w:tcW w:w="567" w:type="dxa"/>
            <w:tcBorders>
              <w:top w:val="nil"/>
              <w:left w:val="nil"/>
              <w:bottom w:val="single" w:sz="8" w:space="0" w:color="969696"/>
              <w:right w:val="single" w:sz="8" w:space="0" w:color="969696"/>
            </w:tcBorders>
            <w:shd w:val="clear" w:color="000000" w:fill="FFFFFF"/>
            <w:noWrap/>
            <w:vAlign w:val="center"/>
            <w:hideMark/>
          </w:tcPr>
          <w:p w14:paraId="5201622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1,6</w:t>
            </w:r>
          </w:p>
        </w:tc>
      </w:tr>
      <w:tr w:rsidR="00E60601" w:rsidRPr="008D42D0" w14:paraId="42ED3FF4"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44848BE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Новорегистрирани камиони и влекачи</w:t>
            </w:r>
          </w:p>
        </w:tc>
        <w:tc>
          <w:tcPr>
            <w:tcW w:w="567" w:type="dxa"/>
            <w:tcBorders>
              <w:top w:val="nil"/>
              <w:left w:val="nil"/>
              <w:bottom w:val="single" w:sz="8" w:space="0" w:color="969696"/>
              <w:right w:val="single" w:sz="8" w:space="0" w:color="969696"/>
            </w:tcBorders>
            <w:shd w:val="clear" w:color="000000" w:fill="FFFFFF"/>
            <w:noWrap/>
            <w:vAlign w:val="center"/>
            <w:hideMark/>
          </w:tcPr>
          <w:p w14:paraId="2BF7C81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3,6</w:t>
            </w:r>
          </w:p>
        </w:tc>
        <w:tc>
          <w:tcPr>
            <w:tcW w:w="567" w:type="dxa"/>
            <w:tcBorders>
              <w:top w:val="nil"/>
              <w:left w:val="nil"/>
              <w:bottom w:val="single" w:sz="8" w:space="0" w:color="969696"/>
              <w:right w:val="single" w:sz="8" w:space="0" w:color="969696"/>
            </w:tcBorders>
            <w:shd w:val="clear" w:color="000000" w:fill="FFFFFF"/>
            <w:noWrap/>
            <w:vAlign w:val="center"/>
            <w:hideMark/>
          </w:tcPr>
          <w:p w14:paraId="5BC372B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4,7</w:t>
            </w:r>
          </w:p>
        </w:tc>
        <w:tc>
          <w:tcPr>
            <w:tcW w:w="567" w:type="dxa"/>
            <w:tcBorders>
              <w:top w:val="nil"/>
              <w:left w:val="nil"/>
              <w:bottom w:val="single" w:sz="8" w:space="0" w:color="969696"/>
              <w:right w:val="single" w:sz="8" w:space="0" w:color="969696"/>
            </w:tcBorders>
            <w:shd w:val="clear" w:color="000000" w:fill="FFFFFF"/>
            <w:noWrap/>
            <w:vAlign w:val="center"/>
            <w:hideMark/>
          </w:tcPr>
          <w:p w14:paraId="7414D34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4,9</w:t>
            </w:r>
          </w:p>
        </w:tc>
        <w:tc>
          <w:tcPr>
            <w:tcW w:w="567" w:type="dxa"/>
            <w:tcBorders>
              <w:top w:val="nil"/>
              <w:left w:val="nil"/>
              <w:bottom w:val="single" w:sz="8" w:space="0" w:color="969696"/>
              <w:right w:val="single" w:sz="8" w:space="0" w:color="969696"/>
            </w:tcBorders>
            <w:shd w:val="clear" w:color="000000" w:fill="FFFFFF"/>
            <w:noWrap/>
            <w:vAlign w:val="center"/>
            <w:hideMark/>
          </w:tcPr>
          <w:p w14:paraId="5DFB6F1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5,3</w:t>
            </w:r>
          </w:p>
        </w:tc>
        <w:tc>
          <w:tcPr>
            <w:tcW w:w="567" w:type="dxa"/>
            <w:tcBorders>
              <w:top w:val="nil"/>
              <w:left w:val="nil"/>
              <w:bottom w:val="single" w:sz="8" w:space="0" w:color="969696"/>
              <w:right w:val="single" w:sz="8" w:space="0" w:color="969696"/>
            </w:tcBorders>
            <w:shd w:val="clear" w:color="000000" w:fill="FFFFFF"/>
            <w:noWrap/>
            <w:vAlign w:val="center"/>
            <w:hideMark/>
          </w:tcPr>
          <w:p w14:paraId="11E0B246"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6,1</w:t>
            </w:r>
          </w:p>
        </w:tc>
        <w:tc>
          <w:tcPr>
            <w:tcW w:w="567" w:type="dxa"/>
            <w:tcBorders>
              <w:top w:val="nil"/>
              <w:left w:val="nil"/>
              <w:bottom w:val="single" w:sz="8" w:space="0" w:color="969696"/>
              <w:right w:val="single" w:sz="8" w:space="0" w:color="969696"/>
            </w:tcBorders>
            <w:shd w:val="clear" w:color="000000" w:fill="FFFFFF"/>
            <w:noWrap/>
            <w:vAlign w:val="center"/>
            <w:hideMark/>
          </w:tcPr>
          <w:p w14:paraId="7423EBC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6,7</w:t>
            </w:r>
          </w:p>
        </w:tc>
        <w:tc>
          <w:tcPr>
            <w:tcW w:w="567" w:type="dxa"/>
            <w:tcBorders>
              <w:top w:val="nil"/>
              <w:left w:val="nil"/>
              <w:bottom w:val="single" w:sz="8" w:space="0" w:color="969696"/>
              <w:right w:val="single" w:sz="8" w:space="0" w:color="969696"/>
            </w:tcBorders>
            <w:shd w:val="clear" w:color="000000" w:fill="FFFFFF"/>
            <w:noWrap/>
            <w:vAlign w:val="center"/>
            <w:hideMark/>
          </w:tcPr>
          <w:p w14:paraId="21188ADB"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10,9</w:t>
            </w:r>
          </w:p>
        </w:tc>
        <w:tc>
          <w:tcPr>
            <w:tcW w:w="567" w:type="dxa"/>
            <w:tcBorders>
              <w:top w:val="nil"/>
              <w:left w:val="nil"/>
              <w:bottom w:val="single" w:sz="8" w:space="0" w:color="969696"/>
              <w:right w:val="single" w:sz="8" w:space="0" w:color="969696"/>
            </w:tcBorders>
            <w:shd w:val="clear" w:color="000000" w:fill="FFFFFF"/>
            <w:noWrap/>
            <w:vAlign w:val="center"/>
            <w:hideMark/>
          </w:tcPr>
          <w:p w14:paraId="4593C68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14,2</w:t>
            </w:r>
          </w:p>
        </w:tc>
        <w:tc>
          <w:tcPr>
            <w:tcW w:w="567" w:type="dxa"/>
            <w:tcBorders>
              <w:top w:val="nil"/>
              <w:left w:val="nil"/>
              <w:bottom w:val="single" w:sz="8" w:space="0" w:color="969696"/>
              <w:right w:val="single" w:sz="8" w:space="0" w:color="969696"/>
            </w:tcBorders>
            <w:shd w:val="clear" w:color="000000" w:fill="FFFFFF"/>
            <w:noWrap/>
            <w:vAlign w:val="center"/>
            <w:hideMark/>
          </w:tcPr>
          <w:p w14:paraId="51331FA0"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14,5</w:t>
            </w:r>
          </w:p>
        </w:tc>
        <w:tc>
          <w:tcPr>
            <w:tcW w:w="567" w:type="dxa"/>
            <w:tcBorders>
              <w:top w:val="nil"/>
              <w:left w:val="nil"/>
              <w:bottom w:val="single" w:sz="8" w:space="0" w:color="969696"/>
              <w:right w:val="single" w:sz="8" w:space="0" w:color="969696"/>
            </w:tcBorders>
            <w:shd w:val="clear" w:color="000000" w:fill="FFFFFF"/>
            <w:noWrap/>
            <w:vAlign w:val="center"/>
            <w:hideMark/>
          </w:tcPr>
          <w:p w14:paraId="3151120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8,2</w:t>
            </w:r>
          </w:p>
        </w:tc>
        <w:tc>
          <w:tcPr>
            <w:tcW w:w="567" w:type="dxa"/>
            <w:tcBorders>
              <w:top w:val="nil"/>
              <w:left w:val="nil"/>
              <w:bottom w:val="single" w:sz="8" w:space="0" w:color="969696"/>
              <w:right w:val="single" w:sz="8" w:space="0" w:color="969696"/>
            </w:tcBorders>
            <w:shd w:val="clear" w:color="000000" w:fill="FFFFFF"/>
            <w:noWrap/>
            <w:vAlign w:val="center"/>
            <w:hideMark/>
          </w:tcPr>
          <w:p w14:paraId="0E2D1BF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8,0</w:t>
            </w:r>
          </w:p>
        </w:tc>
        <w:tc>
          <w:tcPr>
            <w:tcW w:w="567" w:type="dxa"/>
            <w:tcBorders>
              <w:top w:val="nil"/>
              <w:left w:val="nil"/>
              <w:bottom w:val="single" w:sz="8" w:space="0" w:color="969696"/>
              <w:right w:val="single" w:sz="8" w:space="0" w:color="969696"/>
            </w:tcBorders>
            <w:shd w:val="clear" w:color="000000" w:fill="FFFFFF"/>
            <w:noWrap/>
            <w:vAlign w:val="center"/>
            <w:hideMark/>
          </w:tcPr>
          <w:p w14:paraId="7395A30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8,0</w:t>
            </w:r>
          </w:p>
        </w:tc>
        <w:tc>
          <w:tcPr>
            <w:tcW w:w="567" w:type="dxa"/>
            <w:tcBorders>
              <w:top w:val="nil"/>
              <w:left w:val="nil"/>
              <w:bottom w:val="single" w:sz="8" w:space="0" w:color="969696"/>
              <w:right w:val="single" w:sz="8" w:space="0" w:color="969696"/>
            </w:tcBorders>
            <w:shd w:val="clear" w:color="000000" w:fill="FFFFFF"/>
            <w:noWrap/>
            <w:vAlign w:val="center"/>
            <w:hideMark/>
          </w:tcPr>
          <w:p w14:paraId="4E9BF90B"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8,3</w:t>
            </w:r>
          </w:p>
        </w:tc>
        <w:tc>
          <w:tcPr>
            <w:tcW w:w="567" w:type="dxa"/>
            <w:tcBorders>
              <w:top w:val="nil"/>
              <w:left w:val="nil"/>
              <w:bottom w:val="single" w:sz="8" w:space="0" w:color="969696"/>
              <w:right w:val="single" w:sz="8" w:space="0" w:color="969696"/>
            </w:tcBorders>
            <w:shd w:val="clear" w:color="000000" w:fill="FFFFFF"/>
            <w:noWrap/>
            <w:vAlign w:val="center"/>
            <w:hideMark/>
          </w:tcPr>
          <w:p w14:paraId="50ADE92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8,0</w:t>
            </w:r>
          </w:p>
        </w:tc>
        <w:tc>
          <w:tcPr>
            <w:tcW w:w="567" w:type="dxa"/>
            <w:tcBorders>
              <w:top w:val="nil"/>
              <w:left w:val="nil"/>
              <w:bottom w:val="single" w:sz="8" w:space="0" w:color="969696"/>
              <w:right w:val="single" w:sz="8" w:space="0" w:color="969696"/>
            </w:tcBorders>
            <w:shd w:val="clear" w:color="000000" w:fill="FFFFFF"/>
            <w:noWrap/>
            <w:vAlign w:val="center"/>
            <w:hideMark/>
          </w:tcPr>
          <w:p w14:paraId="3AD61B9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8,7</w:t>
            </w:r>
          </w:p>
        </w:tc>
      </w:tr>
      <w:tr w:rsidR="00E60601" w:rsidRPr="008D42D0" w14:paraId="480FBB16"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22BB542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Нови камиони и влекачи</w:t>
            </w:r>
          </w:p>
        </w:tc>
        <w:tc>
          <w:tcPr>
            <w:tcW w:w="567" w:type="dxa"/>
            <w:tcBorders>
              <w:top w:val="nil"/>
              <w:left w:val="nil"/>
              <w:bottom w:val="single" w:sz="8" w:space="0" w:color="969696"/>
              <w:right w:val="single" w:sz="8" w:space="0" w:color="969696"/>
            </w:tcBorders>
            <w:shd w:val="clear" w:color="000000" w:fill="FFFFFF"/>
            <w:noWrap/>
            <w:vAlign w:val="center"/>
            <w:hideMark/>
          </w:tcPr>
          <w:p w14:paraId="07980DD9"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6F5801B7"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1E46B90D"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1A35ED09"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21D3266C"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3C75C0E5"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2,3</w:t>
            </w:r>
          </w:p>
        </w:tc>
        <w:tc>
          <w:tcPr>
            <w:tcW w:w="567" w:type="dxa"/>
            <w:tcBorders>
              <w:top w:val="nil"/>
              <w:left w:val="nil"/>
              <w:bottom w:val="single" w:sz="8" w:space="0" w:color="969696"/>
              <w:right w:val="single" w:sz="8" w:space="0" w:color="969696"/>
            </w:tcBorders>
            <w:shd w:val="clear" w:color="000000" w:fill="FFFFFF"/>
            <w:noWrap/>
            <w:vAlign w:val="center"/>
            <w:hideMark/>
          </w:tcPr>
          <w:p w14:paraId="0C75EBDC"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4,5</w:t>
            </w:r>
          </w:p>
        </w:tc>
        <w:tc>
          <w:tcPr>
            <w:tcW w:w="567" w:type="dxa"/>
            <w:tcBorders>
              <w:top w:val="nil"/>
              <w:left w:val="nil"/>
              <w:bottom w:val="single" w:sz="8" w:space="0" w:color="969696"/>
              <w:right w:val="single" w:sz="8" w:space="0" w:color="969696"/>
            </w:tcBorders>
            <w:shd w:val="clear" w:color="000000" w:fill="FFFFFF"/>
            <w:noWrap/>
            <w:vAlign w:val="center"/>
            <w:hideMark/>
          </w:tcPr>
          <w:p w14:paraId="22E6022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4,7</w:t>
            </w:r>
          </w:p>
        </w:tc>
        <w:tc>
          <w:tcPr>
            <w:tcW w:w="567" w:type="dxa"/>
            <w:tcBorders>
              <w:top w:val="nil"/>
              <w:left w:val="nil"/>
              <w:bottom w:val="single" w:sz="8" w:space="0" w:color="969696"/>
              <w:right w:val="single" w:sz="8" w:space="0" w:color="969696"/>
            </w:tcBorders>
            <w:shd w:val="clear" w:color="000000" w:fill="FFFFFF"/>
            <w:noWrap/>
            <w:vAlign w:val="center"/>
            <w:hideMark/>
          </w:tcPr>
          <w:p w14:paraId="6CED8AF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4,6</w:t>
            </w:r>
          </w:p>
        </w:tc>
        <w:tc>
          <w:tcPr>
            <w:tcW w:w="567" w:type="dxa"/>
            <w:tcBorders>
              <w:top w:val="nil"/>
              <w:left w:val="nil"/>
              <w:bottom w:val="single" w:sz="8" w:space="0" w:color="969696"/>
              <w:right w:val="single" w:sz="8" w:space="0" w:color="969696"/>
            </w:tcBorders>
            <w:shd w:val="clear" w:color="000000" w:fill="FFFFFF"/>
            <w:noWrap/>
            <w:vAlign w:val="center"/>
            <w:hideMark/>
          </w:tcPr>
          <w:p w14:paraId="6FF884FC"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1,7</w:t>
            </w:r>
          </w:p>
        </w:tc>
        <w:tc>
          <w:tcPr>
            <w:tcW w:w="567" w:type="dxa"/>
            <w:tcBorders>
              <w:top w:val="nil"/>
              <w:left w:val="nil"/>
              <w:bottom w:val="single" w:sz="8" w:space="0" w:color="969696"/>
              <w:right w:val="single" w:sz="8" w:space="0" w:color="969696"/>
            </w:tcBorders>
            <w:shd w:val="clear" w:color="000000" w:fill="FFFFFF"/>
            <w:noWrap/>
            <w:vAlign w:val="center"/>
            <w:hideMark/>
          </w:tcPr>
          <w:p w14:paraId="2C12A95D"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1,7</w:t>
            </w:r>
          </w:p>
        </w:tc>
        <w:tc>
          <w:tcPr>
            <w:tcW w:w="567" w:type="dxa"/>
            <w:tcBorders>
              <w:top w:val="nil"/>
              <w:left w:val="nil"/>
              <w:bottom w:val="single" w:sz="8" w:space="0" w:color="969696"/>
              <w:right w:val="single" w:sz="8" w:space="0" w:color="969696"/>
            </w:tcBorders>
            <w:shd w:val="clear" w:color="000000" w:fill="FFFFFF"/>
            <w:noWrap/>
            <w:vAlign w:val="center"/>
            <w:hideMark/>
          </w:tcPr>
          <w:p w14:paraId="62F82B5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2,4</w:t>
            </w:r>
          </w:p>
        </w:tc>
        <w:tc>
          <w:tcPr>
            <w:tcW w:w="567" w:type="dxa"/>
            <w:tcBorders>
              <w:top w:val="nil"/>
              <w:left w:val="nil"/>
              <w:bottom w:val="single" w:sz="8" w:space="0" w:color="969696"/>
              <w:right w:val="single" w:sz="8" w:space="0" w:color="969696"/>
            </w:tcBorders>
            <w:shd w:val="clear" w:color="000000" w:fill="FFFFFF"/>
            <w:noWrap/>
            <w:vAlign w:val="center"/>
            <w:hideMark/>
          </w:tcPr>
          <w:p w14:paraId="65A3077C"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2,8</w:t>
            </w:r>
          </w:p>
        </w:tc>
        <w:tc>
          <w:tcPr>
            <w:tcW w:w="567" w:type="dxa"/>
            <w:tcBorders>
              <w:top w:val="nil"/>
              <w:left w:val="nil"/>
              <w:bottom w:val="single" w:sz="8" w:space="0" w:color="969696"/>
              <w:right w:val="single" w:sz="8" w:space="0" w:color="969696"/>
            </w:tcBorders>
            <w:shd w:val="clear" w:color="000000" w:fill="FFFFFF"/>
            <w:noWrap/>
            <w:vAlign w:val="center"/>
            <w:hideMark/>
          </w:tcPr>
          <w:p w14:paraId="3A63154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2,4</w:t>
            </w:r>
          </w:p>
        </w:tc>
        <w:tc>
          <w:tcPr>
            <w:tcW w:w="567" w:type="dxa"/>
            <w:tcBorders>
              <w:top w:val="nil"/>
              <w:left w:val="nil"/>
              <w:bottom w:val="single" w:sz="8" w:space="0" w:color="969696"/>
              <w:right w:val="single" w:sz="8" w:space="0" w:color="969696"/>
            </w:tcBorders>
            <w:shd w:val="clear" w:color="000000" w:fill="FFFFFF"/>
            <w:noWrap/>
            <w:vAlign w:val="center"/>
            <w:hideMark/>
          </w:tcPr>
          <w:p w14:paraId="06355BC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2,6</w:t>
            </w:r>
          </w:p>
        </w:tc>
      </w:tr>
      <w:tr w:rsidR="00E60601" w:rsidRPr="008D42D0" w14:paraId="0271F4B9"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1E891F40"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xml:space="preserve">Новорегистрирани МПС </w:t>
            </w:r>
          </w:p>
        </w:tc>
        <w:tc>
          <w:tcPr>
            <w:tcW w:w="567" w:type="dxa"/>
            <w:tcBorders>
              <w:top w:val="nil"/>
              <w:left w:val="nil"/>
              <w:bottom w:val="single" w:sz="8" w:space="0" w:color="969696"/>
              <w:right w:val="single" w:sz="8" w:space="0" w:color="969696"/>
            </w:tcBorders>
            <w:shd w:val="clear" w:color="000000" w:fill="FFFFFF"/>
            <w:noWrap/>
            <w:vAlign w:val="center"/>
            <w:hideMark/>
          </w:tcPr>
          <w:p w14:paraId="0D808F1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3,9</w:t>
            </w:r>
          </w:p>
        </w:tc>
        <w:tc>
          <w:tcPr>
            <w:tcW w:w="567" w:type="dxa"/>
            <w:tcBorders>
              <w:top w:val="nil"/>
              <w:left w:val="nil"/>
              <w:bottom w:val="single" w:sz="8" w:space="0" w:color="969696"/>
              <w:right w:val="single" w:sz="8" w:space="0" w:color="969696"/>
            </w:tcBorders>
            <w:shd w:val="clear" w:color="000000" w:fill="FFFFFF"/>
            <w:noWrap/>
            <w:vAlign w:val="center"/>
            <w:hideMark/>
          </w:tcPr>
          <w:p w14:paraId="17FDA7EB"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4,6</w:t>
            </w:r>
          </w:p>
        </w:tc>
        <w:tc>
          <w:tcPr>
            <w:tcW w:w="567" w:type="dxa"/>
            <w:tcBorders>
              <w:top w:val="nil"/>
              <w:left w:val="nil"/>
              <w:bottom w:val="single" w:sz="8" w:space="0" w:color="969696"/>
              <w:right w:val="single" w:sz="8" w:space="0" w:color="969696"/>
            </w:tcBorders>
            <w:shd w:val="clear" w:color="000000" w:fill="FFFFFF"/>
            <w:noWrap/>
            <w:vAlign w:val="center"/>
            <w:hideMark/>
          </w:tcPr>
          <w:p w14:paraId="791F97F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4,6</w:t>
            </w:r>
          </w:p>
        </w:tc>
        <w:tc>
          <w:tcPr>
            <w:tcW w:w="567" w:type="dxa"/>
            <w:tcBorders>
              <w:top w:val="nil"/>
              <w:left w:val="nil"/>
              <w:bottom w:val="single" w:sz="8" w:space="0" w:color="969696"/>
              <w:right w:val="single" w:sz="8" w:space="0" w:color="969696"/>
            </w:tcBorders>
            <w:shd w:val="clear" w:color="000000" w:fill="FFFFFF"/>
            <w:noWrap/>
            <w:vAlign w:val="center"/>
            <w:hideMark/>
          </w:tcPr>
          <w:p w14:paraId="4C14F3E2"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5,2</w:t>
            </w:r>
          </w:p>
        </w:tc>
        <w:tc>
          <w:tcPr>
            <w:tcW w:w="567" w:type="dxa"/>
            <w:tcBorders>
              <w:top w:val="nil"/>
              <w:left w:val="nil"/>
              <w:bottom w:val="single" w:sz="8" w:space="0" w:color="969696"/>
              <w:right w:val="single" w:sz="8" w:space="0" w:color="969696"/>
            </w:tcBorders>
            <w:shd w:val="clear" w:color="000000" w:fill="FFFFFF"/>
            <w:noWrap/>
            <w:vAlign w:val="center"/>
            <w:hideMark/>
          </w:tcPr>
          <w:p w14:paraId="5ADCFE57"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6,1</w:t>
            </w:r>
          </w:p>
        </w:tc>
        <w:tc>
          <w:tcPr>
            <w:tcW w:w="567" w:type="dxa"/>
            <w:tcBorders>
              <w:top w:val="nil"/>
              <w:left w:val="nil"/>
              <w:bottom w:val="single" w:sz="8" w:space="0" w:color="969696"/>
              <w:right w:val="single" w:sz="8" w:space="0" w:color="969696"/>
            </w:tcBorders>
            <w:shd w:val="clear" w:color="000000" w:fill="FFFFFF"/>
            <w:noWrap/>
            <w:vAlign w:val="center"/>
            <w:hideMark/>
          </w:tcPr>
          <w:p w14:paraId="6B16364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6,6</w:t>
            </w:r>
          </w:p>
        </w:tc>
        <w:tc>
          <w:tcPr>
            <w:tcW w:w="567" w:type="dxa"/>
            <w:tcBorders>
              <w:top w:val="nil"/>
              <w:left w:val="nil"/>
              <w:bottom w:val="single" w:sz="8" w:space="0" w:color="969696"/>
              <w:right w:val="single" w:sz="8" w:space="0" w:color="969696"/>
            </w:tcBorders>
            <w:shd w:val="clear" w:color="000000" w:fill="FFFFFF"/>
            <w:noWrap/>
            <w:vAlign w:val="center"/>
            <w:hideMark/>
          </w:tcPr>
          <w:p w14:paraId="4E2C55F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10,4</w:t>
            </w:r>
          </w:p>
        </w:tc>
        <w:tc>
          <w:tcPr>
            <w:tcW w:w="567" w:type="dxa"/>
            <w:tcBorders>
              <w:top w:val="nil"/>
              <w:left w:val="nil"/>
              <w:bottom w:val="single" w:sz="8" w:space="0" w:color="969696"/>
              <w:right w:val="single" w:sz="8" w:space="0" w:color="969696"/>
            </w:tcBorders>
            <w:shd w:val="clear" w:color="000000" w:fill="FFFFFF"/>
            <w:noWrap/>
            <w:vAlign w:val="center"/>
            <w:hideMark/>
          </w:tcPr>
          <w:p w14:paraId="15EAFCC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16,2</w:t>
            </w:r>
          </w:p>
        </w:tc>
        <w:tc>
          <w:tcPr>
            <w:tcW w:w="567" w:type="dxa"/>
            <w:tcBorders>
              <w:top w:val="nil"/>
              <w:left w:val="nil"/>
              <w:bottom w:val="single" w:sz="8" w:space="0" w:color="969696"/>
              <w:right w:val="single" w:sz="8" w:space="0" w:color="969696"/>
            </w:tcBorders>
            <w:shd w:val="clear" w:color="000000" w:fill="FFFFFF"/>
            <w:noWrap/>
            <w:vAlign w:val="center"/>
            <w:hideMark/>
          </w:tcPr>
          <w:p w14:paraId="72EF8D5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14,7</w:t>
            </w:r>
          </w:p>
        </w:tc>
        <w:tc>
          <w:tcPr>
            <w:tcW w:w="567" w:type="dxa"/>
            <w:tcBorders>
              <w:top w:val="nil"/>
              <w:left w:val="nil"/>
              <w:bottom w:val="single" w:sz="8" w:space="0" w:color="969696"/>
              <w:right w:val="single" w:sz="8" w:space="0" w:color="969696"/>
            </w:tcBorders>
            <w:shd w:val="clear" w:color="000000" w:fill="FFFFFF"/>
            <w:noWrap/>
            <w:vAlign w:val="center"/>
            <w:hideMark/>
          </w:tcPr>
          <w:p w14:paraId="6B0F48C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8,1</w:t>
            </w:r>
          </w:p>
        </w:tc>
        <w:tc>
          <w:tcPr>
            <w:tcW w:w="567" w:type="dxa"/>
            <w:tcBorders>
              <w:top w:val="nil"/>
              <w:left w:val="nil"/>
              <w:bottom w:val="single" w:sz="8" w:space="0" w:color="969696"/>
              <w:right w:val="single" w:sz="8" w:space="0" w:color="969696"/>
            </w:tcBorders>
            <w:shd w:val="clear" w:color="000000" w:fill="FFFFFF"/>
            <w:noWrap/>
            <w:vAlign w:val="center"/>
            <w:hideMark/>
          </w:tcPr>
          <w:p w14:paraId="44670CD3"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7,2</w:t>
            </w:r>
          </w:p>
        </w:tc>
        <w:tc>
          <w:tcPr>
            <w:tcW w:w="567" w:type="dxa"/>
            <w:tcBorders>
              <w:top w:val="nil"/>
              <w:left w:val="nil"/>
              <w:bottom w:val="single" w:sz="8" w:space="0" w:color="969696"/>
              <w:right w:val="single" w:sz="8" w:space="0" w:color="969696"/>
            </w:tcBorders>
            <w:shd w:val="clear" w:color="000000" w:fill="FFFFFF"/>
            <w:noWrap/>
            <w:vAlign w:val="center"/>
            <w:hideMark/>
          </w:tcPr>
          <w:p w14:paraId="4063C61B"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7,1</w:t>
            </w:r>
          </w:p>
        </w:tc>
        <w:tc>
          <w:tcPr>
            <w:tcW w:w="567" w:type="dxa"/>
            <w:tcBorders>
              <w:top w:val="nil"/>
              <w:left w:val="nil"/>
              <w:bottom w:val="single" w:sz="8" w:space="0" w:color="969696"/>
              <w:right w:val="single" w:sz="8" w:space="0" w:color="969696"/>
            </w:tcBorders>
            <w:shd w:val="clear" w:color="000000" w:fill="FFFFFF"/>
            <w:noWrap/>
            <w:vAlign w:val="center"/>
            <w:hideMark/>
          </w:tcPr>
          <w:p w14:paraId="4EB3D046"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7,1</w:t>
            </w:r>
          </w:p>
        </w:tc>
        <w:tc>
          <w:tcPr>
            <w:tcW w:w="567" w:type="dxa"/>
            <w:tcBorders>
              <w:top w:val="nil"/>
              <w:left w:val="nil"/>
              <w:bottom w:val="single" w:sz="8" w:space="0" w:color="969696"/>
              <w:right w:val="single" w:sz="8" w:space="0" w:color="969696"/>
            </w:tcBorders>
            <w:shd w:val="clear" w:color="000000" w:fill="FFFFFF"/>
            <w:noWrap/>
            <w:vAlign w:val="center"/>
            <w:hideMark/>
          </w:tcPr>
          <w:p w14:paraId="6349FECB"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6,9</w:t>
            </w:r>
          </w:p>
        </w:tc>
        <w:tc>
          <w:tcPr>
            <w:tcW w:w="567" w:type="dxa"/>
            <w:tcBorders>
              <w:top w:val="nil"/>
              <w:left w:val="nil"/>
              <w:bottom w:val="single" w:sz="8" w:space="0" w:color="969696"/>
              <w:right w:val="single" w:sz="8" w:space="0" w:color="969696"/>
            </w:tcBorders>
            <w:shd w:val="clear" w:color="000000" w:fill="FFFFFF"/>
            <w:noWrap/>
            <w:vAlign w:val="center"/>
            <w:hideMark/>
          </w:tcPr>
          <w:p w14:paraId="28C0AB22"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7,1</w:t>
            </w:r>
          </w:p>
        </w:tc>
      </w:tr>
      <w:tr w:rsidR="00E60601" w:rsidRPr="008D42D0" w14:paraId="2A84CBA2" w14:textId="77777777" w:rsidTr="00E60601">
        <w:trPr>
          <w:trHeight w:val="360"/>
        </w:trPr>
        <w:tc>
          <w:tcPr>
            <w:tcW w:w="2277" w:type="dxa"/>
            <w:tcBorders>
              <w:top w:val="nil"/>
              <w:left w:val="single" w:sz="8" w:space="0" w:color="969696"/>
              <w:bottom w:val="single" w:sz="8" w:space="0" w:color="969696"/>
              <w:right w:val="single" w:sz="8" w:space="0" w:color="969696"/>
            </w:tcBorders>
            <w:shd w:val="clear" w:color="000000" w:fill="FFFFFF"/>
            <w:noWrap/>
            <w:vAlign w:val="center"/>
            <w:hideMark/>
          </w:tcPr>
          <w:p w14:paraId="68C6079D"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Нови МПС</w:t>
            </w:r>
          </w:p>
        </w:tc>
        <w:tc>
          <w:tcPr>
            <w:tcW w:w="567" w:type="dxa"/>
            <w:tcBorders>
              <w:top w:val="nil"/>
              <w:left w:val="nil"/>
              <w:bottom w:val="single" w:sz="8" w:space="0" w:color="969696"/>
              <w:right w:val="single" w:sz="8" w:space="0" w:color="969696"/>
            </w:tcBorders>
            <w:shd w:val="clear" w:color="000000" w:fill="FFFFFF"/>
            <w:noWrap/>
            <w:vAlign w:val="center"/>
            <w:hideMark/>
          </w:tcPr>
          <w:p w14:paraId="101F0AE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11F1E383"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07B1D6C9"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4C89875B"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531A7996" w14:textId="77777777" w:rsidR="00E60601" w:rsidRPr="00933948" w:rsidRDefault="00E60601" w:rsidP="00E66958">
            <w:pPr>
              <w:spacing w:after="0" w:line="240" w:lineRule="auto"/>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 </w:t>
            </w:r>
          </w:p>
        </w:tc>
        <w:tc>
          <w:tcPr>
            <w:tcW w:w="567" w:type="dxa"/>
            <w:tcBorders>
              <w:top w:val="nil"/>
              <w:left w:val="nil"/>
              <w:bottom w:val="single" w:sz="8" w:space="0" w:color="969696"/>
              <w:right w:val="single" w:sz="8" w:space="0" w:color="969696"/>
            </w:tcBorders>
            <w:shd w:val="clear" w:color="000000" w:fill="FFFFFF"/>
            <w:noWrap/>
            <w:vAlign w:val="center"/>
            <w:hideMark/>
          </w:tcPr>
          <w:p w14:paraId="39B74CE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1,2</w:t>
            </w:r>
          </w:p>
        </w:tc>
        <w:tc>
          <w:tcPr>
            <w:tcW w:w="567" w:type="dxa"/>
            <w:tcBorders>
              <w:top w:val="nil"/>
              <w:left w:val="nil"/>
              <w:bottom w:val="single" w:sz="8" w:space="0" w:color="969696"/>
              <w:right w:val="single" w:sz="8" w:space="0" w:color="969696"/>
            </w:tcBorders>
            <w:shd w:val="clear" w:color="000000" w:fill="FFFFFF"/>
            <w:noWrap/>
            <w:vAlign w:val="center"/>
            <w:hideMark/>
          </w:tcPr>
          <w:p w14:paraId="480F0D58"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2,3</w:t>
            </w:r>
          </w:p>
        </w:tc>
        <w:tc>
          <w:tcPr>
            <w:tcW w:w="567" w:type="dxa"/>
            <w:tcBorders>
              <w:top w:val="nil"/>
              <w:left w:val="nil"/>
              <w:bottom w:val="single" w:sz="8" w:space="0" w:color="969696"/>
              <w:right w:val="single" w:sz="8" w:space="0" w:color="969696"/>
            </w:tcBorders>
            <w:shd w:val="clear" w:color="000000" w:fill="FFFFFF"/>
            <w:noWrap/>
            <w:vAlign w:val="center"/>
            <w:hideMark/>
          </w:tcPr>
          <w:p w14:paraId="047FBC5E"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2,4</w:t>
            </w:r>
          </w:p>
        </w:tc>
        <w:tc>
          <w:tcPr>
            <w:tcW w:w="567" w:type="dxa"/>
            <w:tcBorders>
              <w:top w:val="nil"/>
              <w:left w:val="nil"/>
              <w:bottom w:val="single" w:sz="8" w:space="0" w:color="969696"/>
              <w:right w:val="single" w:sz="8" w:space="0" w:color="969696"/>
            </w:tcBorders>
            <w:shd w:val="clear" w:color="000000" w:fill="FFFFFF"/>
            <w:noWrap/>
            <w:vAlign w:val="center"/>
            <w:hideMark/>
          </w:tcPr>
          <w:p w14:paraId="336A1BF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2,3</w:t>
            </w:r>
          </w:p>
        </w:tc>
        <w:tc>
          <w:tcPr>
            <w:tcW w:w="567" w:type="dxa"/>
            <w:tcBorders>
              <w:top w:val="nil"/>
              <w:left w:val="nil"/>
              <w:bottom w:val="single" w:sz="8" w:space="0" w:color="969696"/>
              <w:right w:val="single" w:sz="8" w:space="0" w:color="969696"/>
            </w:tcBorders>
            <w:shd w:val="clear" w:color="000000" w:fill="FFFFFF"/>
            <w:noWrap/>
            <w:vAlign w:val="center"/>
            <w:hideMark/>
          </w:tcPr>
          <w:p w14:paraId="08C0C1C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1,0</w:t>
            </w:r>
          </w:p>
        </w:tc>
        <w:tc>
          <w:tcPr>
            <w:tcW w:w="567" w:type="dxa"/>
            <w:tcBorders>
              <w:top w:val="nil"/>
              <w:left w:val="nil"/>
              <w:bottom w:val="single" w:sz="8" w:space="0" w:color="969696"/>
              <w:right w:val="single" w:sz="8" w:space="0" w:color="969696"/>
            </w:tcBorders>
            <w:shd w:val="clear" w:color="000000" w:fill="FFFFFF"/>
            <w:noWrap/>
            <w:vAlign w:val="center"/>
            <w:hideMark/>
          </w:tcPr>
          <w:p w14:paraId="65D7D034"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0,7</w:t>
            </w:r>
          </w:p>
        </w:tc>
        <w:tc>
          <w:tcPr>
            <w:tcW w:w="567" w:type="dxa"/>
            <w:tcBorders>
              <w:top w:val="nil"/>
              <w:left w:val="nil"/>
              <w:bottom w:val="single" w:sz="8" w:space="0" w:color="969696"/>
              <w:right w:val="single" w:sz="8" w:space="0" w:color="969696"/>
            </w:tcBorders>
            <w:shd w:val="clear" w:color="000000" w:fill="FFFFFF"/>
            <w:noWrap/>
            <w:vAlign w:val="center"/>
            <w:hideMark/>
          </w:tcPr>
          <w:p w14:paraId="235B48F6"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0,8</w:t>
            </w:r>
          </w:p>
        </w:tc>
        <w:tc>
          <w:tcPr>
            <w:tcW w:w="567" w:type="dxa"/>
            <w:tcBorders>
              <w:top w:val="nil"/>
              <w:left w:val="nil"/>
              <w:bottom w:val="single" w:sz="8" w:space="0" w:color="969696"/>
              <w:right w:val="single" w:sz="8" w:space="0" w:color="969696"/>
            </w:tcBorders>
            <w:shd w:val="clear" w:color="000000" w:fill="FFFFFF"/>
            <w:noWrap/>
            <w:vAlign w:val="center"/>
            <w:hideMark/>
          </w:tcPr>
          <w:p w14:paraId="000AD8B1"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0,8</w:t>
            </w:r>
          </w:p>
        </w:tc>
        <w:tc>
          <w:tcPr>
            <w:tcW w:w="567" w:type="dxa"/>
            <w:tcBorders>
              <w:top w:val="nil"/>
              <w:left w:val="nil"/>
              <w:bottom w:val="single" w:sz="8" w:space="0" w:color="969696"/>
              <w:right w:val="single" w:sz="8" w:space="0" w:color="969696"/>
            </w:tcBorders>
            <w:shd w:val="clear" w:color="000000" w:fill="FFFFFF"/>
            <w:noWrap/>
            <w:vAlign w:val="center"/>
            <w:hideMark/>
          </w:tcPr>
          <w:p w14:paraId="3B27B12D"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0,8</w:t>
            </w:r>
          </w:p>
        </w:tc>
        <w:tc>
          <w:tcPr>
            <w:tcW w:w="567" w:type="dxa"/>
            <w:tcBorders>
              <w:top w:val="nil"/>
              <w:left w:val="nil"/>
              <w:bottom w:val="single" w:sz="8" w:space="0" w:color="969696"/>
              <w:right w:val="single" w:sz="8" w:space="0" w:color="969696"/>
            </w:tcBorders>
            <w:shd w:val="clear" w:color="000000" w:fill="FFFFFF"/>
            <w:noWrap/>
            <w:vAlign w:val="center"/>
            <w:hideMark/>
          </w:tcPr>
          <w:p w14:paraId="7CC4F1FF" w14:textId="77777777" w:rsidR="00E60601" w:rsidRPr="00933948" w:rsidRDefault="00E60601" w:rsidP="00E66958">
            <w:pPr>
              <w:spacing w:after="0" w:line="240" w:lineRule="auto"/>
              <w:jc w:val="right"/>
              <w:rPr>
                <w:rFonts w:ascii="Times New Roman" w:eastAsia="Times New Roman" w:hAnsi="Times New Roman" w:cs="Times New Roman"/>
                <w:sz w:val="20"/>
                <w:szCs w:val="20"/>
                <w:lang w:eastAsia="bg-BG"/>
              </w:rPr>
            </w:pPr>
            <w:r w:rsidRPr="00933948">
              <w:rPr>
                <w:rFonts w:ascii="Times New Roman" w:eastAsia="Times New Roman" w:hAnsi="Times New Roman" w:cs="Times New Roman"/>
                <w:sz w:val="20"/>
                <w:szCs w:val="20"/>
                <w:lang w:eastAsia="bg-BG"/>
              </w:rPr>
              <w:t>0,8</w:t>
            </w:r>
          </w:p>
        </w:tc>
      </w:tr>
    </w:tbl>
    <w:p w14:paraId="4384D367" w14:textId="77777777" w:rsidR="00EF6EA4" w:rsidRDefault="00EF6EA4" w:rsidP="00EF6EA4">
      <w:pPr>
        <w:jc w:val="both"/>
        <w:rPr>
          <w:rFonts w:ascii="Times New Roman" w:hAnsi="Times New Roman" w:cs="Times New Roman"/>
          <w:sz w:val="24"/>
          <w:szCs w:val="24"/>
        </w:rPr>
      </w:pPr>
    </w:p>
    <w:p w14:paraId="59AEF02E" w14:textId="77777777" w:rsidR="00DD4C17" w:rsidRPr="002C36F8" w:rsidRDefault="00DD4C17" w:rsidP="00F17EF7">
      <w:pPr>
        <w:spacing w:after="0"/>
        <w:rPr>
          <w:rFonts w:ascii="Times New Roman" w:hAnsi="Times New Roman" w:cs="Times New Roman"/>
          <w:b/>
          <w:sz w:val="24"/>
          <w:szCs w:val="24"/>
        </w:rPr>
      </w:pPr>
    </w:p>
    <w:p w14:paraId="274105C8" w14:textId="77777777" w:rsidR="00113F39" w:rsidRDefault="001B1979" w:rsidP="001F367C">
      <w:pPr>
        <w:spacing w:before="120"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00113F39">
        <w:rPr>
          <w:rFonts w:ascii="Times New Roman" w:eastAsia="Times New Roman" w:hAnsi="Times New Roman" w:cs="Times New Roman"/>
          <w:b/>
          <w:sz w:val="24"/>
          <w:szCs w:val="24"/>
          <w:lang w:eastAsia="bg-BG"/>
        </w:rPr>
        <w:t>.</w:t>
      </w:r>
      <w:r w:rsidR="00113F39" w:rsidRPr="00113F39">
        <w:rPr>
          <w:rFonts w:ascii="Times New Roman" w:eastAsia="Times New Roman" w:hAnsi="Times New Roman" w:cs="Times New Roman"/>
          <w:b/>
          <w:sz w:val="24"/>
          <w:szCs w:val="24"/>
          <w:lang w:eastAsia="bg-BG"/>
        </w:rPr>
        <w:t xml:space="preserve">Актуално състояние на </w:t>
      </w:r>
      <w:r w:rsidR="00113F39">
        <w:rPr>
          <w:rFonts w:ascii="Times New Roman" w:eastAsia="Times New Roman" w:hAnsi="Times New Roman" w:cs="Times New Roman"/>
          <w:b/>
          <w:sz w:val="24"/>
          <w:szCs w:val="24"/>
          <w:lang w:eastAsia="bg-BG"/>
        </w:rPr>
        <w:t>зарядната инфраструктура з</w:t>
      </w:r>
      <w:r w:rsidR="001F367C">
        <w:rPr>
          <w:rFonts w:ascii="Times New Roman" w:eastAsia="Times New Roman" w:hAnsi="Times New Roman" w:cs="Times New Roman"/>
          <w:b/>
          <w:sz w:val="24"/>
          <w:szCs w:val="24"/>
          <w:lang w:eastAsia="bg-BG"/>
        </w:rPr>
        <w:t>а алтернативни горива в автомобилния транспорт</w:t>
      </w:r>
    </w:p>
    <w:p w14:paraId="048780CF" w14:textId="77777777" w:rsidR="00113F39" w:rsidRPr="00113F39" w:rsidRDefault="001B1979" w:rsidP="00113F39">
      <w:pPr>
        <w:spacing w:before="120"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00113F39">
        <w:rPr>
          <w:rFonts w:ascii="Times New Roman" w:eastAsia="Times New Roman" w:hAnsi="Times New Roman" w:cs="Times New Roman"/>
          <w:b/>
          <w:sz w:val="24"/>
          <w:szCs w:val="24"/>
          <w:lang w:eastAsia="bg-BG"/>
        </w:rPr>
        <w:t>.1 З</w:t>
      </w:r>
      <w:r w:rsidR="001F367C">
        <w:rPr>
          <w:rFonts w:ascii="Times New Roman" w:eastAsia="Times New Roman" w:hAnsi="Times New Roman" w:cs="Times New Roman"/>
          <w:b/>
          <w:sz w:val="24"/>
          <w:szCs w:val="24"/>
          <w:lang w:eastAsia="bg-BG"/>
        </w:rPr>
        <w:t>арядна</w:t>
      </w:r>
      <w:r w:rsidR="00113F39" w:rsidRPr="00113F39">
        <w:rPr>
          <w:rFonts w:ascii="Times New Roman" w:eastAsia="Times New Roman" w:hAnsi="Times New Roman" w:cs="Times New Roman"/>
          <w:b/>
          <w:sz w:val="24"/>
          <w:szCs w:val="24"/>
          <w:lang w:eastAsia="bg-BG"/>
        </w:rPr>
        <w:t xml:space="preserve"> инфраструктура за електрически превозни средства</w:t>
      </w:r>
    </w:p>
    <w:p w14:paraId="5D652CAF" w14:textId="64E9E8F5" w:rsidR="00113F39" w:rsidRPr="00113F39" w:rsidRDefault="00113F39" w:rsidP="00113F39">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Зарядната инфраструктура за електрически превозни средства е в начален стадий на изграждане и се реализира предимно на ниво общини от частни инвеститори.</w:t>
      </w:r>
      <w:r w:rsidRPr="00113F39">
        <w:rPr>
          <w:rFonts w:ascii="Times New Roman" w:eastAsia="Times New Roman" w:hAnsi="Times New Roman" w:cs="Times New Roman"/>
          <w:color w:val="4C4C4C"/>
          <w:sz w:val="24"/>
          <w:szCs w:val="24"/>
          <w:lang w:eastAsia="bg-BG"/>
        </w:rPr>
        <w:t xml:space="preserve"> </w:t>
      </w:r>
    </w:p>
    <w:p w14:paraId="6C0DF50A" w14:textId="7C9AF251" w:rsidR="00936C48" w:rsidRDefault="00113F39" w:rsidP="00280F68">
      <w:pPr>
        <w:spacing w:before="120" w:after="0" w:line="240" w:lineRule="auto"/>
        <w:ind w:firstLine="709"/>
        <w:jc w:val="both"/>
        <w:rPr>
          <w:rFonts w:ascii="Times New Roman" w:hAnsi="Times New Roman" w:cs="Times New Roman"/>
          <w:color w:val="000000"/>
          <w:sz w:val="24"/>
          <w:szCs w:val="24"/>
        </w:rPr>
      </w:pPr>
      <w:r w:rsidRPr="00113F39">
        <w:rPr>
          <w:rFonts w:ascii="Times New Roman" w:hAnsi="Times New Roman" w:cs="Times New Roman"/>
          <w:bCs/>
          <w:color w:val="000000"/>
          <w:sz w:val="24"/>
          <w:szCs w:val="24"/>
        </w:rPr>
        <w:t>Към края на 2015</w:t>
      </w:r>
      <w:r w:rsidR="00EB28A0">
        <w:rPr>
          <w:rFonts w:ascii="Times New Roman" w:hAnsi="Times New Roman" w:cs="Times New Roman"/>
          <w:bCs/>
          <w:color w:val="000000"/>
          <w:sz w:val="24"/>
          <w:szCs w:val="24"/>
        </w:rPr>
        <w:t xml:space="preserve"> </w:t>
      </w:r>
      <w:r w:rsidRPr="00113F39">
        <w:rPr>
          <w:rFonts w:ascii="Times New Roman" w:hAnsi="Times New Roman" w:cs="Times New Roman"/>
          <w:bCs/>
          <w:color w:val="000000"/>
          <w:sz w:val="24"/>
          <w:szCs w:val="24"/>
        </w:rPr>
        <w:t>г. в България са инсталирани общо 26 зарядни колонки с CEE, ТИП</w:t>
      </w:r>
      <w:r w:rsidRPr="007C469F">
        <w:rPr>
          <w:rFonts w:ascii="Times New Roman" w:hAnsi="Times New Roman" w:cs="Times New Roman"/>
          <w:bCs/>
          <w:color w:val="000000"/>
          <w:sz w:val="24"/>
          <w:szCs w:val="24"/>
        </w:rPr>
        <w:t xml:space="preserve"> </w:t>
      </w:r>
      <w:r w:rsidRPr="00113F39">
        <w:rPr>
          <w:rFonts w:ascii="Times New Roman" w:hAnsi="Times New Roman" w:cs="Times New Roman"/>
          <w:bCs/>
          <w:color w:val="000000"/>
          <w:sz w:val="24"/>
          <w:szCs w:val="24"/>
        </w:rPr>
        <w:t>1 и ТИП</w:t>
      </w:r>
      <w:r w:rsidRPr="007C469F">
        <w:rPr>
          <w:rFonts w:ascii="Times New Roman" w:hAnsi="Times New Roman" w:cs="Times New Roman"/>
          <w:bCs/>
          <w:color w:val="000000"/>
          <w:sz w:val="24"/>
          <w:szCs w:val="24"/>
        </w:rPr>
        <w:t xml:space="preserve"> </w:t>
      </w:r>
      <w:r w:rsidRPr="00113F39">
        <w:rPr>
          <w:rFonts w:ascii="Times New Roman" w:hAnsi="Times New Roman" w:cs="Times New Roman"/>
          <w:bCs/>
          <w:color w:val="000000"/>
          <w:sz w:val="24"/>
          <w:szCs w:val="24"/>
        </w:rPr>
        <w:t xml:space="preserve">2 конектори, работещи с напрежение 220V или 380V и мощност между 3,7 - 22kW. Към м. декември 2016 г. </w:t>
      </w:r>
      <w:r w:rsidRPr="00113F39">
        <w:rPr>
          <w:rFonts w:ascii="Times New Roman" w:eastAsia="Times New Roman" w:hAnsi="Times New Roman" w:cs="Times New Roman"/>
          <w:sz w:val="24"/>
          <w:szCs w:val="24"/>
          <w:lang w:eastAsia="bg-BG"/>
        </w:rPr>
        <w:t>на територията на страната има изградени 43 зарядни станции за публично ползване.</w:t>
      </w:r>
    </w:p>
    <w:p w14:paraId="23369734" w14:textId="77777777" w:rsidR="00113F39" w:rsidRPr="00113F39" w:rsidRDefault="00113F39" w:rsidP="00280F68">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hAnsi="Times New Roman" w:cs="Times New Roman"/>
          <w:color w:val="000000"/>
          <w:sz w:val="24"/>
          <w:szCs w:val="24"/>
        </w:rPr>
        <w:t>Липсват</w:t>
      </w:r>
      <w:r w:rsidRPr="00113F39">
        <w:rPr>
          <w:rFonts w:ascii="Times New Roman" w:hAnsi="Times New Roman" w:cs="Times New Roman"/>
          <w:bCs/>
          <w:color w:val="000000"/>
          <w:sz w:val="24"/>
          <w:szCs w:val="24"/>
        </w:rPr>
        <w:t xml:space="preserve"> инсталирани зарядни колонки за бърз заряд на трифазен ток с напрежение 380V и мощност над 22 kW.</w:t>
      </w:r>
    </w:p>
    <w:p w14:paraId="00535E8A" w14:textId="77777777" w:rsidR="00113F39" w:rsidRPr="00113F39" w:rsidRDefault="00113F39" w:rsidP="00113F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Актуални данни към момента за монтирани зарядни колонки по брой, място и вид кон</w:t>
      </w:r>
      <w:r w:rsidR="00046053">
        <w:rPr>
          <w:rFonts w:ascii="Times New Roman" w:eastAsia="Times New Roman" w:hAnsi="Times New Roman" w:cs="Times New Roman"/>
          <w:sz w:val="24"/>
          <w:szCs w:val="24"/>
          <w:lang w:eastAsia="bg-BG"/>
        </w:rPr>
        <w:t>такт са представени в таблица 16</w:t>
      </w:r>
      <w:r w:rsidRPr="00113F39">
        <w:rPr>
          <w:rFonts w:ascii="Times New Roman" w:eastAsia="Times New Roman" w:hAnsi="Times New Roman" w:cs="Times New Roman"/>
          <w:sz w:val="24"/>
          <w:szCs w:val="24"/>
          <w:lang w:eastAsia="bg-BG"/>
        </w:rPr>
        <w:t xml:space="preserve"> </w:t>
      </w:r>
    </w:p>
    <w:tbl>
      <w:tblPr>
        <w:tblStyle w:val="TableGrid"/>
        <w:tblW w:w="0" w:type="auto"/>
        <w:tblLook w:val="04A0" w:firstRow="1" w:lastRow="0" w:firstColumn="1" w:lastColumn="0" w:noHBand="0" w:noVBand="1"/>
      </w:tblPr>
      <w:tblGrid>
        <w:gridCol w:w="1688"/>
        <w:gridCol w:w="794"/>
        <w:gridCol w:w="863"/>
        <w:gridCol w:w="804"/>
        <w:gridCol w:w="705"/>
        <w:gridCol w:w="1458"/>
        <w:gridCol w:w="1458"/>
        <w:gridCol w:w="1292"/>
      </w:tblGrid>
      <w:tr w:rsidR="00113F39" w:rsidRPr="00113F39" w14:paraId="18D94A14" w14:textId="77777777" w:rsidTr="000D5F4A">
        <w:trPr>
          <w:trHeight w:val="345"/>
        </w:trPr>
        <w:tc>
          <w:tcPr>
            <w:tcW w:w="1682" w:type="dxa"/>
            <w:noWrap/>
            <w:hideMark/>
          </w:tcPr>
          <w:p w14:paraId="195E93E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96" w:type="dxa"/>
            <w:noWrap/>
            <w:hideMark/>
          </w:tcPr>
          <w:p w14:paraId="5C5CA82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2015</w:t>
            </w:r>
          </w:p>
        </w:tc>
        <w:tc>
          <w:tcPr>
            <w:tcW w:w="865" w:type="dxa"/>
            <w:noWrap/>
            <w:hideMark/>
          </w:tcPr>
          <w:p w14:paraId="69AB16C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2016</w:t>
            </w:r>
          </w:p>
        </w:tc>
        <w:tc>
          <w:tcPr>
            <w:tcW w:w="5719" w:type="dxa"/>
            <w:gridSpan w:val="5"/>
            <w:noWrap/>
            <w:hideMark/>
          </w:tcPr>
          <w:p w14:paraId="6396521F" w14:textId="77777777" w:rsidR="00113F39" w:rsidRPr="00113F39" w:rsidRDefault="00113F39" w:rsidP="00113F39">
            <w:pPr>
              <w:rPr>
                <w:rFonts w:ascii="Times New Roman" w:eastAsia="Times New Roman" w:hAnsi="Times New Roman" w:cs="Times New Roman"/>
                <w:b/>
                <w:bCs/>
                <w:i/>
                <w:iCs/>
                <w:sz w:val="24"/>
                <w:szCs w:val="24"/>
                <w:lang w:eastAsia="bg-BG"/>
              </w:rPr>
            </w:pPr>
            <w:r w:rsidRPr="00113F39">
              <w:rPr>
                <w:rFonts w:ascii="Times New Roman" w:eastAsia="Times New Roman" w:hAnsi="Times New Roman" w:cs="Times New Roman"/>
                <w:b/>
                <w:bCs/>
                <w:i/>
                <w:iCs/>
                <w:sz w:val="24"/>
                <w:szCs w:val="24"/>
                <w:lang w:eastAsia="bg-BG"/>
              </w:rPr>
              <w:t>Вид контакт</w:t>
            </w:r>
          </w:p>
        </w:tc>
      </w:tr>
      <w:tr w:rsidR="00113F39" w:rsidRPr="00113F39" w14:paraId="6765D88D" w14:textId="77777777" w:rsidTr="000D5F4A">
        <w:trPr>
          <w:trHeight w:val="345"/>
        </w:trPr>
        <w:tc>
          <w:tcPr>
            <w:tcW w:w="1682" w:type="dxa"/>
            <w:noWrap/>
            <w:hideMark/>
          </w:tcPr>
          <w:p w14:paraId="62FB9A6F" w14:textId="77777777" w:rsidR="00113F39" w:rsidRPr="00113F39" w:rsidRDefault="00113F39" w:rsidP="00113F39">
            <w:pPr>
              <w:rPr>
                <w:rFonts w:ascii="Times New Roman" w:eastAsia="Times New Roman" w:hAnsi="Times New Roman" w:cs="Times New Roman"/>
                <w:b/>
                <w:bCs/>
                <w:i/>
                <w:iCs/>
                <w:sz w:val="24"/>
                <w:szCs w:val="24"/>
                <w:lang w:eastAsia="bg-BG"/>
              </w:rPr>
            </w:pPr>
            <w:r w:rsidRPr="00113F39">
              <w:rPr>
                <w:rFonts w:ascii="Times New Roman" w:eastAsia="Times New Roman" w:hAnsi="Times New Roman" w:cs="Times New Roman"/>
                <w:b/>
                <w:bCs/>
                <w:i/>
                <w:iCs/>
                <w:sz w:val="24"/>
                <w:szCs w:val="24"/>
                <w:lang w:eastAsia="bg-BG"/>
              </w:rPr>
              <w:t>Град</w:t>
            </w:r>
          </w:p>
        </w:tc>
        <w:tc>
          <w:tcPr>
            <w:tcW w:w="796" w:type="dxa"/>
            <w:noWrap/>
            <w:hideMark/>
          </w:tcPr>
          <w:p w14:paraId="696084DD" w14:textId="77777777" w:rsidR="00113F39" w:rsidRPr="00113F39" w:rsidRDefault="00113F39" w:rsidP="00113F39">
            <w:pPr>
              <w:rPr>
                <w:rFonts w:ascii="Times New Roman" w:eastAsia="Times New Roman" w:hAnsi="Times New Roman" w:cs="Times New Roman"/>
                <w:b/>
                <w:bCs/>
                <w:i/>
                <w:iCs/>
                <w:sz w:val="24"/>
                <w:szCs w:val="24"/>
                <w:lang w:eastAsia="bg-BG"/>
              </w:rPr>
            </w:pPr>
            <w:r w:rsidRPr="00113F39">
              <w:rPr>
                <w:rFonts w:ascii="Times New Roman" w:eastAsia="Times New Roman" w:hAnsi="Times New Roman" w:cs="Times New Roman"/>
                <w:b/>
                <w:bCs/>
                <w:i/>
                <w:iCs/>
                <w:sz w:val="24"/>
                <w:szCs w:val="24"/>
                <w:lang w:eastAsia="bg-BG"/>
              </w:rPr>
              <w:t>Брой ЗК</w:t>
            </w:r>
          </w:p>
        </w:tc>
        <w:tc>
          <w:tcPr>
            <w:tcW w:w="865" w:type="dxa"/>
            <w:noWrap/>
            <w:hideMark/>
          </w:tcPr>
          <w:p w14:paraId="36D60BBF" w14:textId="77777777" w:rsidR="00113F39" w:rsidRPr="00113F39" w:rsidRDefault="00113F39" w:rsidP="00113F39">
            <w:pPr>
              <w:rPr>
                <w:rFonts w:ascii="Times New Roman" w:eastAsia="Times New Roman" w:hAnsi="Times New Roman" w:cs="Times New Roman"/>
                <w:b/>
                <w:bCs/>
                <w:i/>
                <w:iCs/>
                <w:sz w:val="24"/>
                <w:szCs w:val="24"/>
                <w:lang w:eastAsia="bg-BG"/>
              </w:rPr>
            </w:pPr>
            <w:r w:rsidRPr="00113F39">
              <w:rPr>
                <w:rFonts w:ascii="Times New Roman" w:eastAsia="Times New Roman" w:hAnsi="Times New Roman" w:cs="Times New Roman"/>
                <w:b/>
                <w:bCs/>
                <w:i/>
                <w:iCs/>
                <w:sz w:val="24"/>
                <w:szCs w:val="24"/>
                <w:lang w:eastAsia="bg-BG"/>
              </w:rPr>
              <w:t>Брой ЗК</w:t>
            </w:r>
          </w:p>
        </w:tc>
        <w:tc>
          <w:tcPr>
            <w:tcW w:w="801" w:type="dxa"/>
            <w:noWrap/>
            <w:hideMark/>
          </w:tcPr>
          <w:p w14:paraId="4C8D62B9" w14:textId="77777777" w:rsidR="00113F39" w:rsidRPr="00113F39" w:rsidRDefault="00113F39" w:rsidP="00113F39">
            <w:pPr>
              <w:rPr>
                <w:rFonts w:ascii="Times New Roman" w:eastAsia="Times New Roman" w:hAnsi="Times New Roman" w:cs="Times New Roman"/>
                <w:i/>
                <w:iCs/>
                <w:sz w:val="24"/>
                <w:szCs w:val="24"/>
                <w:lang w:eastAsia="bg-BG"/>
              </w:rPr>
            </w:pPr>
            <w:r w:rsidRPr="00113F39">
              <w:rPr>
                <w:rFonts w:ascii="Times New Roman" w:eastAsia="Times New Roman" w:hAnsi="Times New Roman" w:cs="Times New Roman"/>
                <w:i/>
                <w:iCs/>
                <w:sz w:val="24"/>
                <w:szCs w:val="24"/>
                <w:lang w:eastAsia="bg-BG"/>
              </w:rPr>
              <w:t>Шуко</w:t>
            </w:r>
          </w:p>
        </w:tc>
        <w:tc>
          <w:tcPr>
            <w:tcW w:w="707" w:type="dxa"/>
            <w:noWrap/>
            <w:hideMark/>
          </w:tcPr>
          <w:p w14:paraId="67111FDB" w14:textId="77777777" w:rsidR="00113F39" w:rsidRPr="00113F39" w:rsidRDefault="00113F39" w:rsidP="00113F39">
            <w:pPr>
              <w:rPr>
                <w:rFonts w:ascii="Times New Roman" w:eastAsia="Times New Roman" w:hAnsi="Times New Roman" w:cs="Times New Roman"/>
                <w:i/>
                <w:iCs/>
                <w:sz w:val="24"/>
                <w:szCs w:val="24"/>
                <w:lang w:eastAsia="bg-BG"/>
              </w:rPr>
            </w:pPr>
            <w:r w:rsidRPr="00113F39">
              <w:rPr>
                <w:rFonts w:ascii="Times New Roman" w:eastAsia="Times New Roman" w:hAnsi="Times New Roman" w:cs="Times New Roman"/>
                <w:i/>
                <w:iCs/>
                <w:sz w:val="24"/>
                <w:szCs w:val="24"/>
                <w:lang w:eastAsia="bg-BG"/>
              </w:rPr>
              <w:t>Тип 2</w:t>
            </w:r>
          </w:p>
        </w:tc>
        <w:tc>
          <w:tcPr>
            <w:tcW w:w="1462" w:type="dxa"/>
            <w:noWrap/>
            <w:hideMark/>
          </w:tcPr>
          <w:p w14:paraId="17000DCC" w14:textId="77777777" w:rsidR="00113F39" w:rsidRPr="00113F39" w:rsidRDefault="00113F39" w:rsidP="00113F39">
            <w:pPr>
              <w:rPr>
                <w:rFonts w:ascii="Times New Roman" w:eastAsia="Times New Roman" w:hAnsi="Times New Roman" w:cs="Times New Roman"/>
                <w:i/>
                <w:iCs/>
                <w:sz w:val="24"/>
                <w:szCs w:val="24"/>
                <w:lang w:eastAsia="bg-BG"/>
              </w:rPr>
            </w:pPr>
            <w:r w:rsidRPr="00113F39">
              <w:rPr>
                <w:rFonts w:ascii="Times New Roman" w:eastAsia="Times New Roman" w:hAnsi="Times New Roman" w:cs="Times New Roman"/>
                <w:i/>
                <w:iCs/>
                <w:sz w:val="24"/>
                <w:szCs w:val="24"/>
                <w:lang w:eastAsia="bg-BG"/>
              </w:rPr>
              <w:t>СЕЕ 1-фазен</w:t>
            </w:r>
          </w:p>
        </w:tc>
        <w:tc>
          <w:tcPr>
            <w:tcW w:w="1462" w:type="dxa"/>
            <w:noWrap/>
            <w:hideMark/>
          </w:tcPr>
          <w:p w14:paraId="781DFA89" w14:textId="77777777" w:rsidR="00113F39" w:rsidRPr="00113F39" w:rsidRDefault="00113F39" w:rsidP="00113F39">
            <w:pPr>
              <w:rPr>
                <w:rFonts w:ascii="Times New Roman" w:eastAsia="Times New Roman" w:hAnsi="Times New Roman" w:cs="Times New Roman"/>
                <w:i/>
                <w:iCs/>
                <w:sz w:val="24"/>
                <w:szCs w:val="24"/>
                <w:lang w:eastAsia="bg-BG"/>
              </w:rPr>
            </w:pPr>
            <w:r w:rsidRPr="00113F39">
              <w:rPr>
                <w:rFonts w:ascii="Times New Roman" w:eastAsia="Times New Roman" w:hAnsi="Times New Roman" w:cs="Times New Roman"/>
                <w:i/>
                <w:iCs/>
                <w:sz w:val="24"/>
                <w:szCs w:val="24"/>
                <w:lang w:eastAsia="bg-BG"/>
              </w:rPr>
              <w:t>СЕЕ 3-фазен</w:t>
            </w:r>
          </w:p>
        </w:tc>
        <w:tc>
          <w:tcPr>
            <w:tcW w:w="1287" w:type="dxa"/>
            <w:noWrap/>
            <w:hideMark/>
          </w:tcPr>
          <w:p w14:paraId="31215926" w14:textId="77777777" w:rsidR="00113F39" w:rsidRPr="00113F39" w:rsidRDefault="00113F39" w:rsidP="00113F39">
            <w:pPr>
              <w:rPr>
                <w:rFonts w:ascii="Times New Roman" w:eastAsia="Times New Roman" w:hAnsi="Times New Roman" w:cs="Times New Roman"/>
                <w:i/>
                <w:iCs/>
                <w:sz w:val="24"/>
                <w:szCs w:val="24"/>
                <w:lang w:eastAsia="bg-BG"/>
              </w:rPr>
            </w:pPr>
            <w:r w:rsidRPr="00113F39">
              <w:rPr>
                <w:rFonts w:ascii="Times New Roman" w:eastAsia="Times New Roman" w:hAnsi="Times New Roman" w:cs="Times New Roman"/>
                <w:i/>
                <w:iCs/>
                <w:sz w:val="24"/>
                <w:szCs w:val="24"/>
                <w:lang w:eastAsia="bg-BG"/>
              </w:rPr>
              <w:t>CHAdeMO</w:t>
            </w:r>
          </w:p>
        </w:tc>
      </w:tr>
      <w:tr w:rsidR="00113F39" w:rsidRPr="00113F39" w14:paraId="4A89650C" w14:textId="77777777" w:rsidTr="000D5F4A">
        <w:trPr>
          <w:trHeight w:val="300"/>
        </w:trPr>
        <w:tc>
          <w:tcPr>
            <w:tcW w:w="1682" w:type="dxa"/>
            <w:noWrap/>
            <w:hideMark/>
          </w:tcPr>
          <w:p w14:paraId="4931799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Бургас</w:t>
            </w:r>
          </w:p>
        </w:tc>
        <w:tc>
          <w:tcPr>
            <w:tcW w:w="796" w:type="dxa"/>
            <w:noWrap/>
            <w:hideMark/>
          </w:tcPr>
          <w:p w14:paraId="0A12133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7278B0E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3</w:t>
            </w:r>
          </w:p>
        </w:tc>
        <w:tc>
          <w:tcPr>
            <w:tcW w:w="801" w:type="dxa"/>
            <w:noWrap/>
            <w:hideMark/>
          </w:tcPr>
          <w:p w14:paraId="1B283C8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71A7DFE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w:t>
            </w:r>
          </w:p>
        </w:tc>
        <w:tc>
          <w:tcPr>
            <w:tcW w:w="1462" w:type="dxa"/>
            <w:noWrap/>
            <w:hideMark/>
          </w:tcPr>
          <w:p w14:paraId="5046D78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8C7FC4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287" w:type="dxa"/>
            <w:noWrap/>
            <w:hideMark/>
          </w:tcPr>
          <w:p w14:paraId="3B2661F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617A4BB4" w14:textId="77777777" w:rsidTr="000D5F4A">
        <w:trPr>
          <w:trHeight w:val="300"/>
        </w:trPr>
        <w:tc>
          <w:tcPr>
            <w:tcW w:w="1682" w:type="dxa"/>
            <w:noWrap/>
            <w:hideMark/>
          </w:tcPr>
          <w:p w14:paraId="13F6642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Варна</w:t>
            </w:r>
          </w:p>
        </w:tc>
        <w:tc>
          <w:tcPr>
            <w:tcW w:w="796" w:type="dxa"/>
            <w:noWrap/>
            <w:hideMark/>
          </w:tcPr>
          <w:p w14:paraId="6E6D5AD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74423A0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w:t>
            </w:r>
          </w:p>
        </w:tc>
        <w:tc>
          <w:tcPr>
            <w:tcW w:w="801" w:type="dxa"/>
            <w:noWrap/>
            <w:hideMark/>
          </w:tcPr>
          <w:p w14:paraId="2BB7FAD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4C1E4EF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1C90DB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591EE13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10B3EC3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7A44423D" w14:textId="77777777" w:rsidTr="000D5F4A">
        <w:trPr>
          <w:trHeight w:val="300"/>
        </w:trPr>
        <w:tc>
          <w:tcPr>
            <w:tcW w:w="1682" w:type="dxa"/>
            <w:noWrap/>
            <w:hideMark/>
          </w:tcPr>
          <w:p w14:paraId="2BB7220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Велико Търново</w:t>
            </w:r>
          </w:p>
        </w:tc>
        <w:tc>
          <w:tcPr>
            <w:tcW w:w="796" w:type="dxa"/>
            <w:noWrap/>
            <w:hideMark/>
          </w:tcPr>
          <w:p w14:paraId="2BA1B7D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7615B32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3985C98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5C9170C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52A12EC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0C8B8A7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604CB83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5667EA61" w14:textId="77777777" w:rsidTr="000D5F4A">
        <w:trPr>
          <w:trHeight w:val="300"/>
        </w:trPr>
        <w:tc>
          <w:tcPr>
            <w:tcW w:w="1682" w:type="dxa"/>
            <w:noWrap/>
            <w:hideMark/>
          </w:tcPr>
          <w:p w14:paraId="27AE0EB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Девин (Смолян)</w:t>
            </w:r>
          </w:p>
        </w:tc>
        <w:tc>
          <w:tcPr>
            <w:tcW w:w="796" w:type="dxa"/>
            <w:noWrap/>
            <w:hideMark/>
          </w:tcPr>
          <w:p w14:paraId="5B76E2A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7AE1597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3232D4D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631B4FF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29D84C4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69F29EB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1BC1019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1A848DE1" w14:textId="77777777" w:rsidTr="000D5F4A">
        <w:trPr>
          <w:trHeight w:val="300"/>
        </w:trPr>
        <w:tc>
          <w:tcPr>
            <w:tcW w:w="1682" w:type="dxa"/>
            <w:noWrap/>
            <w:hideMark/>
          </w:tcPr>
          <w:p w14:paraId="6B977F3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lastRenderedPageBreak/>
              <w:t xml:space="preserve">Димитровград (Хасково) </w:t>
            </w:r>
          </w:p>
        </w:tc>
        <w:tc>
          <w:tcPr>
            <w:tcW w:w="796" w:type="dxa"/>
            <w:noWrap/>
            <w:hideMark/>
          </w:tcPr>
          <w:p w14:paraId="2DF8B4C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393D097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75A20BA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64A4E5B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250CBF2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750DD45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287" w:type="dxa"/>
            <w:noWrap/>
            <w:hideMark/>
          </w:tcPr>
          <w:p w14:paraId="2E980F0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1115CE51" w14:textId="77777777" w:rsidTr="000D5F4A">
        <w:trPr>
          <w:trHeight w:val="300"/>
        </w:trPr>
        <w:tc>
          <w:tcPr>
            <w:tcW w:w="1682" w:type="dxa"/>
            <w:noWrap/>
            <w:hideMark/>
          </w:tcPr>
          <w:p w14:paraId="6A43B58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Добрич</w:t>
            </w:r>
          </w:p>
        </w:tc>
        <w:tc>
          <w:tcPr>
            <w:tcW w:w="796" w:type="dxa"/>
            <w:noWrap/>
            <w:hideMark/>
          </w:tcPr>
          <w:p w14:paraId="4297A5C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4EBFA3C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28FBC78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5E21D6D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533BBF4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3627254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16CEA82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536ECC7D" w14:textId="77777777" w:rsidTr="000D5F4A">
        <w:trPr>
          <w:trHeight w:val="300"/>
        </w:trPr>
        <w:tc>
          <w:tcPr>
            <w:tcW w:w="1682" w:type="dxa"/>
            <w:noWrap/>
            <w:hideMark/>
          </w:tcPr>
          <w:p w14:paraId="0C98AD5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Драчево (Бургас)</w:t>
            </w:r>
          </w:p>
        </w:tc>
        <w:tc>
          <w:tcPr>
            <w:tcW w:w="796" w:type="dxa"/>
            <w:noWrap/>
            <w:hideMark/>
          </w:tcPr>
          <w:p w14:paraId="583F2AD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0A5A549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466BF55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36AF748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04153C4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3DB71BB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287" w:type="dxa"/>
            <w:noWrap/>
            <w:hideMark/>
          </w:tcPr>
          <w:p w14:paraId="34AFB2E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77300B62" w14:textId="77777777" w:rsidTr="000D5F4A">
        <w:trPr>
          <w:trHeight w:val="300"/>
        </w:trPr>
        <w:tc>
          <w:tcPr>
            <w:tcW w:w="1682" w:type="dxa"/>
            <w:noWrap/>
            <w:hideMark/>
          </w:tcPr>
          <w:p w14:paraId="5CA7B45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Дъбово (Ст. Загора) </w:t>
            </w:r>
          </w:p>
        </w:tc>
        <w:tc>
          <w:tcPr>
            <w:tcW w:w="796" w:type="dxa"/>
            <w:noWrap/>
            <w:hideMark/>
          </w:tcPr>
          <w:p w14:paraId="28BD909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0B61EDA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46E68A2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154F421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1CA6C46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4CA1DD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287" w:type="dxa"/>
            <w:noWrap/>
            <w:hideMark/>
          </w:tcPr>
          <w:p w14:paraId="18E7298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6569AF16" w14:textId="77777777" w:rsidTr="000D5F4A">
        <w:trPr>
          <w:trHeight w:val="300"/>
        </w:trPr>
        <w:tc>
          <w:tcPr>
            <w:tcW w:w="1682" w:type="dxa"/>
            <w:noWrap/>
            <w:hideMark/>
          </w:tcPr>
          <w:p w14:paraId="0931A06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Елин Пелин</w:t>
            </w:r>
          </w:p>
        </w:tc>
        <w:tc>
          <w:tcPr>
            <w:tcW w:w="796" w:type="dxa"/>
            <w:noWrap/>
            <w:hideMark/>
          </w:tcPr>
          <w:p w14:paraId="4FE3FF6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78CA577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058AD89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3AA3B04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34AF9AE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FD7098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0794756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46D79ACE" w14:textId="77777777" w:rsidTr="000D5F4A">
        <w:trPr>
          <w:trHeight w:val="300"/>
        </w:trPr>
        <w:tc>
          <w:tcPr>
            <w:tcW w:w="1682" w:type="dxa"/>
            <w:noWrap/>
            <w:hideMark/>
          </w:tcPr>
          <w:p w14:paraId="226ECCB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Златни пясъци (Варна)</w:t>
            </w:r>
          </w:p>
        </w:tc>
        <w:tc>
          <w:tcPr>
            <w:tcW w:w="796" w:type="dxa"/>
            <w:noWrap/>
            <w:hideMark/>
          </w:tcPr>
          <w:p w14:paraId="0FAF52C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54078A2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404B457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22B5D86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353AC06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29F40DF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12C9128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024992D4" w14:textId="77777777" w:rsidTr="000D5F4A">
        <w:trPr>
          <w:trHeight w:val="300"/>
        </w:trPr>
        <w:tc>
          <w:tcPr>
            <w:tcW w:w="1682" w:type="dxa"/>
            <w:noWrap/>
            <w:hideMark/>
          </w:tcPr>
          <w:p w14:paraId="585AB6A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Исперих (Разград) </w:t>
            </w:r>
          </w:p>
        </w:tc>
        <w:tc>
          <w:tcPr>
            <w:tcW w:w="796" w:type="dxa"/>
            <w:noWrap/>
            <w:hideMark/>
          </w:tcPr>
          <w:p w14:paraId="2B1E6BD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w:t>
            </w:r>
          </w:p>
        </w:tc>
        <w:tc>
          <w:tcPr>
            <w:tcW w:w="865" w:type="dxa"/>
            <w:noWrap/>
            <w:hideMark/>
          </w:tcPr>
          <w:p w14:paraId="491B763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w:t>
            </w:r>
          </w:p>
        </w:tc>
        <w:tc>
          <w:tcPr>
            <w:tcW w:w="801" w:type="dxa"/>
            <w:noWrap/>
            <w:hideMark/>
          </w:tcPr>
          <w:p w14:paraId="3D92D96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45ABDBF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6D22D43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6C335BD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287" w:type="dxa"/>
            <w:noWrap/>
            <w:hideMark/>
          </w:tcPr>
          <w:p w14:paraId="0957A45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3B67C303" w14:textId="77777777" w:rsidTr="000D5F4A">
        <w:trPr>
          <w:trHeight w:val="300"/>
        </w:trPr>
        <w:tc>
          <w:tcPr>
            <w:tcW w:w="1682" w:type="dxa"/>
            <w:noWrap/>
            <w:hideMark/>
          </w:tcPr>
          <w:p w14:paraId="5B9278F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Михалково (Смолян)</w:t>
            </w:r>
          </w:p>
        </w:tc>
        <w:tc>
          <w:tcPr>
            <w:tcW w:w="796" w:type="dxa"/>
            <w:noWrap/>
            <w:hideMark/>
          </w:tcPr>
          <w:p w14:paraId="1D37DDE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034796B2"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6C6CE69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28D7AE2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75405FC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1A7918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5486333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1D7E0994" w14:textId="77777777" w:rsidTr="000D5F4A">
        <w:trPr>
          <w:trHeight w:val="300"/>
        </w:trPr>
        <w:tc>
          <w:tcPr>
            <w:tcW w:w="1682" w:type="dxa"/>
            <w:noWrap/>
            <w:hideMark/>
          </w:tcPr>
          <w:p w14:paraId="16B1118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Несебър (Бургаско)</w:t>
            </w:r>
          </w:p>
        </w:tc>
        <w:tc>
          <w:tcPr>
            <w:tcW w:w="796" w:type="dxa"/>
            <w:noWrap/>
            <w:hideMark/>
          </w:tcPr>
          <w:p w14:paraId="21F912F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6B58B7A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4589CD5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hideMark/>
          </w:tcPr>
          <w:p w14:paraId="5298716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3D42751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3993184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5B17074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129D07BC" w14:textId="77777777" w:rsidTr="000D5F4A">
        <w:trPr>
          <w:trHeight w:val="300"/>
        </w:trPr>
        <w:tc>
          <w:tcPr>
            <w:tcW w:w="1682" w:type="dxa"/>
            <w:noWrap/>
          </w:tcPr>
          <w:p w14:paraId="074238C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Пазарджик </w:t>
            </w:r>
          </w:p>
        </w:tc>
        <w:tc>
          <w:tcPr>
            <w:tcW w:w="796" w:type="dxa"/>
            <w:noWrap/>
          </w:tcPr>
          <w:p w14:paraId="1287EA41" w14:textId="77777777" w:rsidR="00113F39" w:rsidRPr="00113F39" w:rsidRDefault="00113F39" w:rsidP="00113F39">
            <w:pPr>
              <w:rPr>
                <w:rFonts w:ascii="Times New Roman" w:eastAsia="Times New Roman" w:hAnsi="Times New Roman" w:cs="Times New Roman"/>
                <w:sz w:val="24"/>
                <w:szCs w:val="24"/>
                <w:lang w:eastAsia="bg-BG"/>
              </w:rPr>
            </w:pPr>
          </w:p>
        </w:tc>
        <w:tc>
          <w:tcPr>
            <w:tcW w:w="865" w:type="dxa"/>
            <w:noWrap/>
          </w:tcPr>
          <w:p w14:paraId="0332848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tcPr>
          <w:p w14:paraId="4413CCE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707" w:type="dxa"/>
            <w:noWrap/>
          </w:tcPr>
          <w:p w14:paraId="46A8457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tcPr>
          <w:p w14:paraId="407D894C" w14:textId="77777777" w:rsidR="00113F39" w:rsidRPr="00113F39" w:rsidRDefault="00113F39" w:rsidP="00113F39">
            <w:pPr>
              <w:rPr>
                <w:rFonts w:ascii="Times New Roman" w:eastAsia="Times New Roman" w:hAnsi="Times New Roman" w:cs="Times New Roman"/>
                <w:sz w:val="24"/>
                <w:szCs w:val="24"/>
                <w:lang w:eastAsia="bg-BG"/>
              </w:rPr>
            </w:pPr>
          </w:p>
        </w:tc>
        <w:tc>
          <w:tcPr>
            <w:tcW w:w="1462" w:type="dxa"/>
            <w:noWrap/>
          </w:tcPr>
          <w:p w14:paraId="2B0902C0" w14:textId="77777777" w:rsidR="00113F39" w:rsidRPr="00113F39" w:rsidRDefault="00113F39" w:rsidP="00113F39">
            <w:pPr>
              <w:rPr>
                <w:rFonts w:ascii="Times New Roman" w:eastAsia="Times New Roman" w:hAnsi="Times New Roman" w:cs="Times New Roman"/>
                <w:sz w:val="24"/>
                <w:szCs w:val="24"/>
                <w:lang w:eastAsia="bg-BG"/>
              </w:rPr>
            </w:pPr>
          </w:p>
        </w:tc>
        <w:tc>
          <w:tcPr>
            <w:tcW w:w="1287" w:type="dxa"/>
            <w:noWrap/>
          </w:tcPr>
          <w:p w14:paraId="13BB46EF" w14:textId="77777777" w:rsidR="00113F39" w:rsidRPr="00113F39" w:rsidRDefault="00113F39" w:rsidP="00113F39">
            <w:pPr>
              <w:rPr>
                <w:rFonts w:ascii="Times New Roman" w:eastAsia="Times New Roman" w:hAnsi="Times New Roman" w:cs="Times New Roman"/>
                <w:sz w:val="24"/>
                <w:szCs w:val="24"/>
                <w:lang w:eastAsia="bg-BG"/>
              </w:rPr>
            </w:pPr>
          </w:p>
        </w:tc>
      </w:tr>
      <w:tr w:rsidR="00113F39" w:rsidRPr="00113F39" w14:paraId="3A823622" w14:textId="77777777" w:rsidTr="000D5F4A">
        <w:trPr>
          <w:trHeight w:val="300"/>
        </w:trPr>
        <w:tc>
          <w:tcPr>
            <w:tcW w:w="1682" w:type="dxa"/>
            <w:noWrap/>
            <w:hideMark/>
          </w:tcPr>
          <w:p w14:paraId="2D3E60A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Пловдив</w:t>
            </w:r>
          </w:p>
        </w:tc>
        <w:tc>
          <w:tcPr>
            <w:tcW w:w="796" w:type="dxa"/>
            <w:noWrap/>
            <w:hideMark/>
          </w:tcPr>
          <w:p w14:paraId="4D0EF10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5142B91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07C3B61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7A2D918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4134EDF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269900C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56C0B8E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7DBBEEAD" w14:textId="77777777" w:rsidTr="000D5F4A">
        <w:trPr>
          <w:trHeight w:val="300"/>
        </w:trPr>
        <w:tc>
          <w:tcPr>
            <w:tcW w:w="1682" w:type="dxa"/>
            <w:noWrap/>
          </w:tcPr>
          <w:p w14:paraId="3063836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Сливен</w:t>
            </w:r>
          </w:p>
        </w:tc>
        <w:tc>
          <w:tcPr>
            <w:tcW w:w="796" w:type="dxa"/>
            <w:noWrap/>
          </w:tcPr>
          <w:p w14:paraId="74B3EF96" w14:textId="77777777" w:rsidR="00113F39" w:rsidRPr="00113F39" w:rsidRDefault="00113F39" w:rsidP="00113F39">
            <w:pPr>
              <w:rPr>
                <w:rFonts w:ascii="Times New Roman" w:eastAsia="Times New Roman" w:hAnsi="Times New Roman" w:cs="Times New Roman"/>
                <w:sz w:val="24"/>
                <w:szCs w:val="24"/>
                <w:lang w:eastAsia="bg-BG"/>
              </w:rPr>
            </w:pPr>
          </w:p>
        </w:tc>
        <w:tc>
          <w:tcPr>
            <w:tcW w:w="865" w:type="dxa"/>
            <w:noWrap/>
          </w:tcPr>
          <w:p w14:paraId="35FB350B"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tcPr>
          <w:p w14:paraId="012EC20A" w14:textId="77777777" w:rsidR="00113F39" w:rsidRPr="00113F39" w:rsidRDefault="00113F39" w:rsidP="00113F39">
            <w:pPr>
              <w:rPr>
                <w:rFonts w:ascii="Times New Roman" w:eastAsia="Times New Roman" w:hAnsi="Times New Roman" w:cs="Times New Roman"/>
                <w:sz w:val="24"/>
                <w:szCs w:val="24"/>
                <w:lang w:eastAsia="bg-BG"/>
              </w:rPr>
            </w:pPr>
          </w:p>
        </w:tc>
        <w:tc>
          <w:tcPr>
            <w:tcW w:w="707" w:type="dxa"/>
            <w:noWrap/>
          </w:tcPr>
          <w:p w14:paraId="79D6A15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tcPr>
          <w:p w14:paraId="39F89126" w14:textId="77777777" w:rsidR="00113F39" w:rsidRPr="00113F39" w:rsidRDefault="00113F39" w:rsidP="00113F39">
            <w:pPr>
              <w:rPr>
                <w:rFonts w:ascii="Times New Roman" w:eastAsia="Times New Roman" w:hAnsi="Times New Roman" w:cs="Times New Roman"/>
                <w:sz w:val="24"/>
                <w:szCs w:val="24"/>
                <w:lang w:eastAsia="bg-BG"/>
              </w:rPr>
            </w:pPr>
          </w:p>
        </w:tc>
        <w:tc>
          <w:tcPr>
            <w:tcW w:w="1462" w:type="dxa"/>
            <w:noWrap/>
          </w:tcPr>
          <w:p w14:paraId="0FE53EA4" w14:textId="77777777" w:rsidR="00113F39" w:rsidRPr="00113F39" w:rsidRDefault="00113F39" w:rsidP="00113F39">
            <w:pPr>
              <w:rPr>
                <w:rFonts w:ascii="Times New Roman" w:eastAsia="Times New Roman" w:hAnsi="Times New Roman" w:cs="Times New Roman"/>
                <w:sz w:val="24"/>
                <w:szCs w:val="24"/>
                <w:lang w:eastAsia="bg-BG"/>
              </w:rPr>
            </w:pPr>
          </w:p>
        </w:tc>
        <w:tc>
          <w:tcPr>
            <w:tcW w:w="1287" w:type="dxa"/>
            <w:noWrap/>
          </w:tcPr>
          <w:p w14:paraId="68A0D944" w14:textId="77777777" w:rsidR="00113F39" w:rsidRPr="00113F39" w:rsidRDefault="00113F39" w:rsidP="00113F39">
            <w:pPr>
              <w:rPr>
                <w:rFonts w:ascii="Times New Roman" w:eastAsia="Times New Roman" w:hAnsi="Times New Roman" w:cs="Times New Roman"/>
                <w:sz w:val="24"/>
                <w:szCs w:val="24"/>
                <w:lang w:eastAsia="bg-BG"/>
              </w:rPr>
            </w:pPr>
          </w:p>
        </w:tc>
      </w:tr>
      <w:tr w:rsidR="00113F39" w:rsidRPr="00113F39" w14:paraId="27DE32F3" w14:textId="77777777" w:rsidTr="000D5F4A">
        <w:trPr>
          <w:trHeight w:val="300"/>
        </w:trPr>
        <w:tc>
          <w:tcPr>
            <w:tcW w:w="1682" w:type="dxa"/>
            <w:noWrap/>
            <w:hideMark/>
          </w:tcPr>
          <w:p w14:paraId="2DC04F0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Слънчев бряг (Бургаско)</w:t>
            </w:r>
          </w:p>
        </w:tc>
        <w:tc>
          <w:tcPr>
            <w:tcW w:w="796" w:type="dxa"/>
            <w:noWrap/>
            <w:hideMark/>
          </w:tcPr>
          <w:p w14:paraId="45A53DED"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865" w:type="dxa"/>
            <w:noWrap/>
            <w:hideMark/>
          </w:tcPr>
          <w:p w14:paraId="6F457A4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5770ACB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189EC7D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1E664BE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557A452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4EBC463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49F37C39" w14:textId="77777777" w:rsidTr="000D5F4A">
        <w:trPr>
          <w:trHeight w:val="300"/>
        </w:trPr>
        <w:tc>
          <w:tcPr>
            <w:tcW w:w="1682" w:type="dxa"/>
            <w:noWrap/>
            <w:hideMark/>
          </w:tcPr>
          <w:p w14:paraId="12556A0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София</w:t>
            </w:r>
          </w:p>
        </w:tc>
        <w:tc>
          <w:tcPr>
            <w:tcW w:w="796" w:type="dxa"/>
            <w:noWrap/>
            <w:hideMark/>
          </w:tcPr>
          <w:p w14:paraId="71D02DA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13</w:t>
            </w:r>
          </w:p>
        </w:tc>
        <w:tc>
          <w:tcPr>
            <w:tcW w:w="865" w:type="dxa"/>
            <w:noWrap/>
            <w:hideMark/>
          </w:tcPr>
          <w:p w14:paraId="5A75687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18</w:t>
            </w:r>
          </w:p>
        </w:tc>
        <w:tc>
          <w:tcPr>
            <w:tcW w:w="801" w:type="dxa"/>
            <w:noWrap/>
            <w:hideMark/>
          </w:tcPr>
          <w:p w14:paraId="6534972F"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6</w:t>
            </w:r>
          </w:p>
        </w:tc>
        <w:tc>
          <w:tcPr>
            <w:tcW w:w="707" w:type="dxa"/>
            <w:noWrap/>
            <w:hideMark/>
          </w:tcPr>
          <w:p w14:paraId="2D98C1A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7</w:t>
            </w:r>
          </w:p>
        </w:tc>
        <w:tc>
          <w:tcPr>
            <w:tcW w:w="1462" w:type="dxa"/>
            <w:noWrap/>
            <w:hideMark/>
          </w:tcPr>
          <w:p w14:paraId="584962B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3</w:t>
            </w:r>
          </w:p>
        </w:tc>
        <w:tc>
          <w:tcPr>
            <w:tcW w:w="1462" w:type="dxa"/>
            <w:noWrap/>
            <w:hideMark/>
          </w:tcPr>
          <w:p w14:paraId="125C811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3</w:t>
            </w:r>
          </w:p>
        </w:tc>
        <w:tc>
          <w:tcPr>
            <w:tcW w:w="1287" w:type="dxa"/>
            <w:noWrap/>
            <w:hideMark/>
          </w:tcPr>
          <w:p w14:paraId="01D0FFD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r>
      <w:tr w:rsidR="00113F39" w:rsidRPr="00113F39" w14:paraId="7105C7BB" w14:textId="77777777" w:rsidTr="000D5F4A">
        <w:trPr>
          <w:trHeight w:val="300"/>
        </w:trPr>
        <w:tc>
          <w:tcPr>
            <w:tcW w:w="1682" w:type="dxa"/>
            <w:noWrap/>
            <w:hideMark/>
          </w:tcPr>
          <w:p w14:paraId="1CF17B7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Стара Загора</w:t>
            </w:r>
          </w:p>
        </w:tc>
        <w:tc>
          <w:tcPr>
            <w:tcW w:w="796" w:type="dxa"/>
            <w:noWrap/>
            <w:hideMark/>
          </w:tcPr>
          <w:p w14:paraId="771B40A6"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5</w:t>
            </w:r>
          </w:p>
        </w:tc>
        <w:tc>
          <w:tcPr>
            <w:tcW w:w="865" w:type="dxa"/>
            <w:noWrap/>
            <w:hideMark/>
          </w:tcPr>
          <w:p w14:paraId="6B8C2321"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3</w:t>
            </w:r>
          </w:p>
        </w:tc>
        <w:tc>
          <w:tcPr>
            <w:tcW w:w="801" w:type="dxa"/>
            <w:noWrap/>
            <w:hideMark/>
          </w:tcPr>
          <w:p w14:paraId="7A2C888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2</w:t>
            </w:r>
          </w:p>
        </w:tc>
        <w:tc>
          <w:tcPr>
            <w:tcW w:w="707" w:type="dxa"/>
            <w:noWrap/>
            <w:hideMark/>
          </w:tcPr>
          <w:p w14:paraId="197E46F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1C7418F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2CEE82EA"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552113E9"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73696221" w14:textId="77777777" w:rsidTr="000D5F4A">
        <w:trPr>
          <w:trHeight w:val="315"/>
        </w:trPr>
        <w:tc>
          <w:tcPr>
            <w:tcW w:w="1682" w:type="dxa"/>
            <w:noWrap/>
            <w:hideMark/>
          </w:tcPr>
          <w:p w14:paraId="05CC34F7"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Шумен </w:t>
            </w:r>
          </w:p>
        </w:tc>
        <w:tc>
          <w:tcPr>
            <w:tcW w:w="796" w:type="dxa"/>
            <w:noWrap/>
            <w:hideMark/>
          </w:tcPr>
          <w:p w14:paraId="0618AE18"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65" w:type="dxa"/>
            <w:noWrap/>
            <w:hideMark/>
          </w:tcPr>
          <w:p w14:paraId="7BDB7155"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801" w:type="dxa"/>
            <w:noWrap/>
            <w:hideMark/>
          </w:tcPr>
          <w:p w14:paraId="2C97C6F0"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707" w:type="dxa"/>
            <w:noWrap/>
            <w:hideMark/>
          </w:tcPr>
          <w:p w14:paraId="55B79ECE"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462" w:type="dxa"/>
            <w:noWrap/>
            <w:hideMark/>
          </w:tcPr>
          <w:p w14:paraId="005438D4"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1</w:t>
            </w:r>
          </w:p>
        </w:tc>
        <w:tc>
          <w:tcPr>
            <w:tcW w:w="1462" w:type="dxa"/>
            <w:noWrap/>
            <w:hideMark/>
          </w:tcPr>
          <w:p w14:paraId="3A14D763"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c>
          <w:tcPr>
            <w:tcW w:w="1287" w:type="dxa"/>
            <w:noWrap/>
            <w:hideMark/>
          </w:tcPr>
          <w:p w14:paraId="4C97B78C" w14:textId="77777777" w:rsidR="00113F39" w:rsidRPr="00113F39" w:rsidRDefault="00113F39" w:rsidP="00113F39">
            <w:pPr>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w:t>
            </w:r>
          </w:p>
        </w:tc>
      </w:tr>
      <w:tr w:rsidR="00113F39" w:rsidRPr="00113F39" w14:paraId="1304041B" w14:textId="77777777" w:rsidTr="000D5F4A">
        <w:trPr>
          <w:trHeight w:val="315"/>
        </w:trPr>
        <w:tc>
          <w:tcPr>
            <w:tcW w:w="1682" w:type="dxa"/>
            <w:noWrap/>
            <w:hideMark/>
          </w:tcPr>
          <w:p w14:paraId="2CE677E3"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ОБЩО:</w:t>
            </w:r>
          </w:p>
        </w:tc>
        <w:tc>
          <w:tcPr>
            <w:tcW w:w="796" w:type="dxa"/>
            <w:noWrap/>
            <w:hideMark/>
          </w:tcPr>
          <w:p w14:paraId="20920886"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26</w:t>
            </w:r>
          </w:p>
        </w:tc>
        <w:tc>
          <w:tcPr>
            <w:tcW w:w="865" w:type="dxa"/>
            <w:noWrap/>
            <w:hideMark/>
          </w:tcPr>
          <w:p w14:paraId="1D5DB3FB"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43</w:t>
            </w:r>
          </w:p>
        </w:tc>
        <w:tc>
          <w:tcPr>
            <w:tcW w:w="801" w:type="dxa"/>
            <w:noWrap/>
            <w:hideMark/>
          </w:tcPr>
          <w:p w14:paraId="2ECE599C"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14</w:t>
            </w:r>
          </w:p>
        </w:tc>
        <w:tc>
          <w:tcPr>
            <w:tcW w:w="707" w:type="dxa"/>
            <w:noWrap/>
            <w:hideMark/>
          </w:tcPr>
          <w:p w14:paraId="3D507CB4"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15</w:t>
            </w:r>
          </w:p>
        </w:tc>
        <w:tc>
          <w:tcPr>
            <w:tcW w:w="1462" w:type="dxa"/>
            <w:noWrap/>
            <w:hideMark/>
          </w:tcPr>
          <w:p w14:paraId="53CCE6B9"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7</w:t>
            </w:r>
          </w:p>
        </w:tc>
        <w:tc>
          <w:tcPr>
            <w:tcW w:w="1462" w:type="dxa"/>
            <w:noWrap/>
            <w:hideMark/>
          </w:tcPr>
          <w:p w14:paraId="76BC1F2B"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8</w:t>
            </w:r>
          </w:p>
        </w:tc>
        <w:tc>
          <w:tcPr>
            <w:tcW w:w="1287" w:type="dxa"/>
            <w:noWrap/>
            <w:hideMark/>
          </w:tcPr>
          <w:p w14:paraId="2A04BE44" w14:textId="77777777" w:rsidR="00113F39" w:rsidRPr="00113F39" w:rsidRDefault="00113F39" w:rsidP="00113F39">
            <w:pPr>
              <w:rPr>
                <w:rFonts w:ascii="Times New Roman" w:eastAsia="Times New Roman" w:hAnsi="Times New Roman" w:cs="Times New Roman"/>
                <w:b/>
                <w:bCs/>
                <w:sz w:val="24"/>
                <w:szCs w:val="24"/>
                <w:lang w:eastAsia="bg-BG"/>
              </w:rPr>
            </w:pPr>
            <w:r w:rsidRPr="00113F39">
              <w:rPr>
                <w:rFonts w:ascii="Times New Roman" w:eastAsia="Times New Roman" w:hAnsi="Times New Roman" w:cs="Times New Roman"/>
                <w:b/>
                <w:bCs/>
                <w:sz w:val="24"/>
                <w:szCs w:val="24"/>
                <w:lang w:eastAsia="bg-BG"/>
              </w:rPr>
              <w:t>1</w:t>
            </w:r>
          </w:p>
        </w:tc>
      </w:tr>
    </w:tbl>
    <w:p w14:paraId="1C1E4BA3" w14:textId="77777777" w:rsidR="00113F39" w:rsidRPr="00113F39" w:rsidRDefault="00113F39" w:rsidP="00113F39">
      <w:pPr>
        <w:spacing w:before="100" w:beforeAutospacing="1" w:after="100" w:afterAutospacing="1" w:line="240" w:lineRule="auto"/>
        <w:jc w:val="both"/>
        <w:rPr>
          <w:rFonts w:ascii="Times New Roman" w:eastAsia="Times New Roman" w:hAnsi="Times New Roman" w:cs="Times New Roman"/>
          <w:i/>
          <w:sz w:val="24"/>
          <w:szCs w:val="24"/>
          <w:lang w:eastAsia="bg-BG"/>
        </w:rPr>
      </w:pPr>
      <w:r w:rsidRPr="00113F39">
        <w:rPr>
          <w:rFonts w:ascii="Times New Roman" w:eastAsia="Times New Roman" w:hAnsi="Times New Roman" w:cs="Times New Roman"/>
          <w:i/>
          <w:sz w:val="24"/>
          <w:szCs w:val="24"/>
          <w:lang w:eastAsia="bg-BG"/>
        </w:rPr>
        <w:t>Източник: Индустриален клъстер Електромобили и Българска асоциация Електрически превозни средства</w:t>
      </w:r>
    </w:p>
    <w:p w14:paraId="51487F29" w14:textId="77777777" w:rsidR="00113F39" w:rsidRPr="00113F39" w:rsidRDefault="00113F39" w:rsidP="00113F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Всички зарядни колонки са в рамките на населените места. Все още няма инсталирана зарядна колонка извън урбанизирана територия.</w:t>
      </w:r>
    </w:p>
    <w:p w14:paraId="654324A7" w14:textId="77777777" w:rsidR="00113F39" w:rsidRPr="007C469F" w:rsidRDefault="00113F39" w:rsidP="00113F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В края на м. септември 2016 г. е обявен старта на </w:t>
      </w:r>
      <w:r w:rsidRPr="007C469F">
        <w:rPr>
          <w:rFonts w:ascii="Times New Roman" w:eastAsia="Times New Roman" w:hAnsi="Times New Roman" w:cs="Times New Roman"/>
          <w:sz w:val="24"/>
          <w:szCs w:val="24"/>
          <w:lang w:eastAsia="bg-BG"/>
        </w:rPr>
        <w:t>Национална онлайн платформа за управление на зарядни устройства за електромобили, включително системи, инфраструктура и превозни средства, задвижвани от алтернативни енергийни източници</w:t>
      </w:r>
      <w:r w:rsidRPr="00113F39">
        <w:rPr>
          <w:rFonts w:ascii="Times New Roman" w:eastAsia="Times New Roman" w:hAnsi="Times New Roman" w:cs="Times New Roman"/>
          <w:sz w:val="24"/>
          <w:szCs w:val="24"/>
          <w:lang w:eastAsia="bg-BG"/>
        </w:rPr>
        <w:t>.</w:t>
      </w:r>
      <w:r w:rsidRPr="007C469F">
        <w:rPr>
          <w:rFonts w:ascii="Times New Roman" w:eastAsia="Times New Roman" w:hAnsi="Times New Roman" w:cs="Times New Roman"/>
          <w:sz w:val="24"/>
          <w:szCs w:val="24"/>
          <w:lang w:eastAsia="bg-BG"/>
        </w:rPr>
        <w:t xml:space="preserve"> </w:t>
      </w:r>
    </w:p>
    <w:p w14:paraId="5BE215EC" w14:textId="77777777" w:rsidR="00113F39" w:rsidRPr="007C469F" w:rsidRDefault="00113F39" w:rsidP="00113F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C469F">
        <w:rPr>
          <w:rFonts w:ascii="Times New Roman" w:eastAsia="Times New Roman" w:hAnsi="Times New Roman" w:cs="Times New Roman"/>
          <w:sz w:val="24"/>
          <w:szCs w:val="24"/>
          <w:lang w:eastAsia="bg-BG"/>
        </w:rPr>
        <w:t>Платформата</w:t>
      </w:r>
      <w:r w:rsidRPr="00113F39">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color w:val="0000FF"/>
          <w:sz w:val="24"/>
          <w:szCs w:val="24"/>
          <w:u w:val="single"/>
          <w:lang w:val="en-US" w:eastAsia="bg-BG"/>
        </w:rPr>
        <w:t>Bulcharge</w:t>
      </w:r>
      <w:r w:rsidRPr="00113F39">
        <w:rPr>
          <w:rFonts w:ascii="Times New Roman" w:eastAsia="Times New Roman" w:hAnsi="Times New Roman" w:cs="Times New Roman"/>
          <w:color w:val="0000FF"/>
          <w:sz w:val="24"/>
          <w:szCs w:val="24"/>
          <w:u w:val="single"/>
          <w:lang w:eastAsia="bg-BG"/>
        </w:rPr>
        <w:t xml:space="preserve"> </w:t>
      </w:r>
      <w:r w:rsidRPr="007C469F">
        <w:rPr>
          <w:rFonts w:ascii="Times New Roman" w:eastAsia="Times New Roman" w:hAnsi="Times New Roman" w:cs="Times New Roman"/>
          <w:sz w:val="24"/>
          <w:szCs w:val="24"/>
          <w:lang w:eastAsia="bg-BG"/>
        </w:rPr>
        <w:t xml:space="preserve">е разработена с дългосрочна визия – да обхване всички видове превозни средства от ново поколение. Това може да включва хибридни, електрически превозни средства, </w:t>
      </w:r>
      <w:r w:rsidRPr="00113F39">
        <w:rPr>
          <w:rFonts w:ascii="Times New Roman" w:eastAsia="Times New Roman" w:hAnsi="Times New Roman" w:cs="Times New Roman"/>
          <w:sz w:val="24"/>
          <w:szCs w:val="24"/>
          <w:lang w:eastAsia="bg-BG"/>
        </w:rPr>
        <w:t>и такива с водородно задвижване</w:t>
      </w:r>
      <w:r w:rsidRPr="007C469F">
        <w:rPr>
          <w:rFonts w:ascii="Times New Roman" w:eastAsia="Times New Roman" w:hAnsi="Times New Roman" w:cs="Times New Roman"/>
          <w:sz w:val="24"/>
          <w:szCs w:val="24"/>
          <w:lang w:eastAsia="bg-BG"/>
        </w:rPr>
        <w:t>.</w:t>
      </w:r>
    </w:p>
    <w:p w14:paraId="0B6FF739" w14:textId="77777777" w:rsidR="00113F39" w:rsidRPr="00113F39" w:rsidRDefault="00113F39" w:rsidP="00113F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Платформата позволява автоматизирано управление на зарядните колонки в мрежа, зареждане на ЕПС и разплащане с безконтактни карти между търговци и клиенти, Smart приложение за намиране на зарядни колонки в мрежата, информация за тях и др.</w:t>
      </w:r>
    </w:p>
    <w:p w14:paraId="616BFC2E" w14:textId="77777777" w:rsidR="00113F39" w:rsidRPr="007C469F" w:rsidRDefault="00113F39" w:rsidP="00113F39">
      <w:pPr>
        <w:spacing w:before="100" w:beforeAutospacing="1" w:after="100" w:afterAutospacing="1" w:line="240" w:lineRule="auto"/>
        <w:rPr>
          <w:rFonts w:ascii="Times New Roman" w:eastAsia="Times New Roman" w:hAnsi="Times New Roman" w:cs="Times New Roman"/>
          <w:sz w:val="24"/>
          <w:szCs w:val="24"/>
          <w:lang w:eastAsia="bg-BG"/>
        </w:rPr>
      </w:pPr>
      <w:r w:rsidRPr="007C469F">
        <w:rPr>
          <w:rFonts w:ascii="Times New Roman" w:eastAsia="Times New Roman" w:hAnsi="Times New Roman" w:cs="Times New Roman"/>
          <w:sz w:val="24"/>
          <w:szCs w:val="24"/>
          <w:lang w:eastAsia="bg-BG"/>
        </w:rPr>
        <w:t>Четири са ос</w:t>
      </w:r>
      <w:r w:rsidRPr="00113F39">
        <w:rPr>
          <w:rFonts w:ascii="Times New Roman" w:eastAsia="Times New Roman" w:hAnsi="Times New Roman" w:cs="Times New Roman"/>
          <w:sz w:val="24"/>
          <w:szCs w:val="24"/>
          <w:lang w:eastAsia="bg-BG"/>
        </w:rPr>
        <w:t>н</w:t>
      </w:r>
      <w:r w:rsidRPr="007C469F">
        <w:rPr>
          <w:rFonts w:ascii="Times New Roman" w:eastAsia="Times New Roman" w:hAnsi="Times New Roman" w:cs="Times New Roman"/>
          <w:sz w:val="24"/>
          <w:szCs w:val="24"/>
          <w:lang w:eastAsia="bg-BG"/>
        </w:rPr>
        <w:t>овните функции на платформата в момента:</w:t>
      </w:r>
    </w:p>
    <w:p w14:paraId="06B64C94" w14:textId="77777777" w:rsidR="00113F39" w:rsidRPr="00113F39" w:rsidRDefault="00113F39" w:rsidP="001A0506">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bg-BG"/>
        </w:rPr>
      </w:pPr>
      <w:r w:rsidRPr="00113F39">
        <w:rPr>
          <w:rFonts w:ascii="Times New Roman" w:eastAsia="Times New Roman" w:hAnsi="Times New Roman" w:cs="Times New Roman"/>
          <w:sz w:val="24"/>
          <w:szCs w:val="24"/>
          <w:lang w:val="en-US" w:eastAsia="bg-BG"/>
        </w:rPr>
        <w:t>онлайн резервиране на ЕПС</w:t>
      </w:r>
    </w:p>
    <w:p w14:paraId="1AA47168" w14:textId="77777777" w:rsidR="00113F39" w:rsidRPr="00113F39" w:rsidRDefault="00113F39" w:rsidP="001A0506">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bg-BG"/>
        </w:rPr>
      </w:pPr>
      <w:r w:rsidRPr="00113F39">
        <w:rPr>
          <w:rFonts w:ascii="Times New Roman" w:eastAsia="Times New Roman" w:hAnsi="Times New Roman" w:cs="Times New Roman"/>
          <w:sz w:val="24"/>
          <w:szCs w:val="24"/>
          <w:lang w:val="en-US" w:eastAsia="bg-BG"/>
        </w:rPr>
        <w:t>зареждане на ППС</w:t>
      </w:r>
    </w:p>
    <w:p w14:paraId="319F59A1" w14:textId="77777777" w:rsidR="00113F39" w:rsidRPr="00113F39" w:rsidRDefault="00113F39" w:rsidP="001A0506">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bg-BG"/>
        </w:rPr>
      </w:pPr>
      <w:r w:rsidRPr="00113F39">
        <w:rPr>
          <w:rFonts w:ascii="Times New Roman" w:eastAsia="Times New Roman" w:hAnsi="Times New Roman" w:cs="Times New Roman"/>
          <w:sz w:val="24"/>
          <w:szCs w:val="24"/>
          <w:lang w:val="en-US" w:eastAsia="bg-BG"/>
        </w:rPr>
        <w:lastRenderedPageBreak/>
        <w:t>уеб-наблюдение</w:t>
      </w:r>
    </w:p>
    <w:p w14:paraId="493E4DD4" w14:textId="77777777" w:rsidR="00113F39" w:rsidRPr="00113F39" w:rsidRDefault="00113F39" w:rsidP="001A0506">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bg-BG"/>
        </w:rPr>
      </w:pPr>
      <w:r w:rsidRPr="00113F39">
        <w:rPr>
          <w:rFonts w:ascii="Times New Roman" w:eastAsia="Times New Roman" w:hAnsi="Times New Roman" w:cs="Times New Roman"/>
          <w:sz w:val="24"/>
          <w:szCs w:val="24"/>
          <w:lang w:val="en-US" w:eastAsia="bg-BG"/>
        </w:rPr>
        <w:t>допълнителни услуги.</w:t>
      </w:r>
    </w:p>
    <w:p w14:paraId="763C9DC5" w14:textId="77777777" w:rsidR="00113F39" w:rsidRPr="00113F39" w:rsidRDefault="00113F39" w:rsidP="00113F39">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През лятото на 2016 бе обявен и стартът на платформата за електромобилност Елдрайв. Тя е регионална интегрирана платформа за електромобилност, която обхваща всички елементи на електрическата мобилност – изграждане и управление на инфраструктура от зарядни станции и гъвкави схеми за краткосрочно и дългосрочно наемане на електромобили. </w:t>
      </w:r>
    </w:p>
    <w:p w14:paraId="0E7D9404" w14:textId="77777777" w:rsidR="00113F39" w:rsidRPr="00113F39" w:rsidRDefault="00113F39" w:rsidP="00113F39">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Платформата се реализира по линия на стартирал проект през м. юни 2016 г. Досега по проекта има изградени над 10 зарядни станции в София, Варна, Пловдив и Бургас, а броят на отдаваните под наем електромобили е над 20. </w:t>
      </w:r>
    </w:p>
    <w:p w14:paraId="02A42444" w14:textId="77777777" w:rsidR="00113F39" w:rsidRPr="00113F39" w:rsidRDefault="00113F39" w:rsidP="00113F39">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Проектът предвижда инсталирането на над 500 точки за зареждане на територията на България, Румъния, Македония, Гърция и Албания, включващи както бързо зарядни станции (50 kW DC), така и стандартен тип (22 kW АС), а броят на предлаганите електрически леки и лекотоварни автомобили да достигне 200.</w:t>
      </w:r>
    </w:p>
    <w:p w14:paraId="6E0FEAC4" w14:textId="77777777" w:rsidR="00113F39" w:rsidRPr="00113F39" w:rsidRDefault="00113F39" w:rsidP="00113F39">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Многобройни други инвеститори и потенциални оператори планират инсталиране на зарядни точки за електрически превозни средства в техни обекти. </w:t>
      </w:r>
    </w:p>
    <w:p w14:paraId="73AE4588" w14:textId="77777777" w:rsidR="00113F39" w:rsidRPr="00113F39" w:rsidRDefault="00113F39" w:rsidP="00113F39">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Подготвят се два проекта за осигуряване на зарядна инфраструктура и използване на електромобили в централни градски части и жилищни зони. </w:t>
      </w:r>
    </w:p>
    <w:p w14:paraId="7FAE6B90" w14:textId="77777777" w:rsidR="00113F39" w:rsidRPr="00113F39" w:rsidRDefault="00113F39" w:rsidP="00113F39">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Първият разглежда оборудването на паркоместа в обществени паркинги и свободни места в паркинги на институции със зарядна инфраструктура за електромобили (ориентировъчен бюджет от средно 30</w:t>
      </w:r>
      <w:r w:rsidR="00DC525D"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 xml:space="preserve">000 евро на локация).  </w:t>
      </w:r>
    </w:p>
    <w:p w14:paraId="61616893" w14:textId="77777777" w:rsidR="00113F39" w:rsidRPr="007C469F" w:rsidRDefault="00113F39" w:rsidP="00113F39">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Вторият проект предвижда осигуряване на зарядна инфраструктура и електромобили за споделено ползване от обитатели на жилищни сгради (ориентировъчен бюджет от около 150000 евро на локация). </w:t>
      </w:r>
    </w:p>
    <w:p w14:paraId="70F5B394" w14:textId="77777777" w:rsidR="00113F39" w:rsidRPr="00113F39" w:rsidRDefault="00113F39" w:rsidP="00113F39">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Предвид разликата във функционалността и цената, бъдещото разпространение на зарядна инфраструктура в България ще включва както бързи зарядни станции с капацитет поне 50 kW DC по протежение на основната TEN-T транспортна мрежа, така и масово разпространени стандартни зарядни точки с единичен капацитет от поне 22 kW AC</w:t>
      </w:r>
      <w:r w:rsidR="00DC525D">
        <w:rPr>
          <w:rFonts w:ascii="Times New Roman" w:eastAsia="Times New Roman" w:hAnsi="Times New Roman" w:cs="Times New Roman"/>
          <w:sz w:val="24"/>
          <w:szCs w:val="24"/>
          <w:lang w:eastAsia="bg-BG"/>
        </w:rPr>
        <w:t>,</w:t>
      </w:r>
      <w:r w:rsidRPr="00113F39">
        <w:rPr>
          <w:rFonts w:ascii="Times New Roman" w:eastAsia="Times New Roman" w:hAnsi="Times New Roman" w:cs="Times New Roman"/>
          <w:sz w:val="24"/>
          <w:szCs w:val="24"/>
          <w:lang w:eastAsia="bg-BG"/>
        </w:rPr>
        <w:t xml:space="preserve"> разположени на публично достъпни локации, където превозните средства на потребителите обичайно са паркирани достатъчно дълго за съществено зареждане на акумулаторите, без да трябва потребителите специално да се съобразяват с това (търговски центрове, развлекателни и рекреационни центрове, офиси, хотели, ресторанти, промишлени предприятия и др.). </w:t>
      </w:r>
    </w:p>
    <w:p w14:paraId="2E193DC4" w14:textId="3EC3D557" w:rsidR="00113F39" w:rsidRPr="00113F39" w:rsidRDefault="00113F39" w:rsidP="00113F39">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Изграждането на модулна зарядна инфраструктура ще осигури максимална гъвкавост при зареждане на различните видове електрически превозни средства, в зависимост от технологичните им особености.</w:t>
      </w:r>
    </w:p>
    <w:p w14:paraId="19636365" w14:textId="77777777" w:rsidR="00113F39" w:rsidRPr="00113F39" w:rsidRDefault="001B1979" w:rsidP="00113F39">
      <w:pPr>
        <w:spacing w:before="100" w:beforeAutospacing="1" w:after="100" w:afterAutospacing="1"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00113F39">
        <w:rPr>
          <w:rFonts w:ascii="Times New Roman" w:eastAsia="Times New Roman" w:hAnsi="Times New Roman" w:cs="Times New Roman"/>
          <w:b/>
          <w:sz w:val="24"/>
          <w:szCs w:val="24"/>
          <w:lang w:eastAsia="bg-BG"/>
        </w:rPr>
        <w:t>.2 З</w:t>
      </w:r>
      <w:r w:rsidR="00113F39" w:rsidRPr="00113F39">
        <w:rPr>
          <w:rFonts w:ascii="Times New Roman" w:eastAsia="Times New Roman" w:hAnsi="Times New Roman" w:cs="Times New Roman"/>
          <w:b/>
          <w:sz w:val="24"/>
          <w:szCs w:val="24"/>
          <w:lang w:eastAsia="bg-BG"/>
        </w:rPr>
        <w:t>арядна инфраструктура за компресиран природен газ</w:t>
      </w:r>
    </w:p>
    <w:p w14:paraId="14E8CF58" w14:textId="77777777" w:rsidR="00113F39" w:rsidRPr="00113F39" w:rsidRDefault="00B369AB" w:rsidP="00113F39">
      <w:pPr>
        <w:tabs>
          <w:tab w:val="left" w:pos="360"/>
          <w:tab w:val="left" w:pos="540"/>
        </w:tabs>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ab/>
        <w:t xml:space="preserve">    </w:t>
      </w:r>
      <w:r w:rsidR="00113F39" w:rsidRPr="00113F39">
        <w:rPr>
          <w:rFonts w:ascii="Times New Roman" w:eastAsia="Calibri" w:hAnsi="Times New Roman" w:cs="Times New Roman"/>
          <w:sz w:val="24"/>
          <w:szCs w:val="24"/>
          <w:lang w:val="ru-RU"/>
        </w:rPr>
        <w:t>Компресираният природен газ е екологично гориво и покрива изцяло изискванията на стандарта Евро 6. Неговата употреба е свързана с екологосъобразното и устойчиво развитие на транспорта (</w:t>
      </w:r>
      <w:r w:rsidR="00113F39" w:rsidRPr="00113F39">
        <w:rPr>
          <w:rFonts w:ascii="Times New Roman" w:eastAsia="Calibri" w:hAnsi="Times New Roman" w:cs="Times New Roman"/>
          <w:sz w:val="24"/>
          <w:szCs w:val="24"/>
        </w:rPr>
        <w:t>градски, специализиран и служебен</w:t>
      </w:r>
      <w:r w:rsidR="00113F39" w:rsidRPr="00113F39">
        <w:rPr>
          <w:rFonts w:ascii="Times New Roman" w:eastAsia="Calibri" w:hAnsi="Times New Roman" w:cs="Times New Roman"/>
          <w:sz w:val="24"/>
          <w:szCs w:val="24"/>
          <w:lang w:val="ru-RU"/>
        </w:rPr>
        <w:t>) в населените места.</w:t>
      </w:r>
    </w:p>
    <w:p w14:paraId="4267188B" w14:textId="77777777" w:rsidR="00113F39" w:rsidRPr="00113F39"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12"/>
          <w:szCs w:val="12"/>
        </w:rPr>
      </w:pPr>
      <w:r w:rsidRPr="00113F39">
        <w:rPr>
          <w:rFonts w:ascii="Times New Roman" w:eastAsia="Calibri" w:hAnsi="Times New Roman" w:cs="Times New Roman"/>
          <w:sz w:val="24"/>
          <w:szCs w:val="24"/>
        </w:rPr>
        <w:t>По отношение на употребата на компресиран природен газ, пазарът в България се разви основно в периода 2003 - 2009 г.</w:t>
      </w:r>
    </w:p>
    <w:p w14:paraId="08256178" w14:textId="77777777" w:rsidR="00113F39" w:rsidRPr="00113F39" w:rsidRDefault="00113F39" w:rsidP="00113F39">
      <w:pPr>
        <w:tabs>
          <w:tab w:val="left" w:pos="360"/>
        </w:tabs>
        <w:spacing w:before="120" w:after="0" w:line="240" w:lineRule="auto"/>
        <w:ind w:left="120"/>
        <w:contextualSpacing/>
        <w:jc w:val="both"/>
        <w:rPr>
          <w:rFonts w:ascii="Times New Roman" w:eastAsia="Calibri" w:hAnsi="Times New Roman" w:cs="Times New Roman"/>
          <w:sz w:val="12"/>
          <w:szCs w:val="12"/>
        </w:rPr>
      </w:pPr>
    </w:p>
    <w:p w14:paraId="1D18EB53" w14:textId="77777777" w:rsidR="00113F39" w:rsidRPr="00113F39" w:rsidRDefault="00B369AB" w:rsidP="006D09E6">
      <w:pPr>
        <w:tabs>
          <w:tab w:val="left" w:pos="360"/>
        </w:tabs>
        <w:spacing w:before="120" w:after="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ab/>
      </w:r>
      <w:r w:rsidR="00113F39" w:rsidRPr="00113F39">
        <w:rPr>
          <w:rFonts w:ascii="Times New Roman" w:eastAsia="Calibri" w:hAnsi="Times New Roman" w:cs="Times New Roman"/>
          <w:sz w:val="24"/>
          <w:szCs w:val="24"/>
        </w:rPr>
        <w:t xml:space="preserve">Към 2015 г. по данни на „Европейската асоциация Автомобили на природен газ”, в страната ни има 110 компресорни станции, от които 108 частни и 2 ведомствени </w:t>
      </w:r>
      <w:r w:rsidR="00113F39" w:rsidRPr="00113F39">
        <w:rPr>
          <w:rFonts w:ascii="Times New Roman" w:eastAsia="Calibri" w:hAnsi="Times New Roman" w:cs="Times New Roman"/>
          <w:sz w:val="24"/>
          <w:szCs w:val="24"/>
          <w:lang w:val="ru-RU"/>
        </w:rPr>
        <w:t>(</w:t>
      </w:r>
      <w:r w:rsidR="00113F39" w:rsidRPr="00113F39">
        <w:rPr>
          <w:rFonts w:ascii="Times New Roman" w:eastAsia="Calibri" w:hAnsi="Times New Roman" w:cs="Times New Roman"/>
          <w:sz w:val="24"/>
          <w:szCs w:val="24"/>
        </w:rPr>
        <w:t>експлоатирани от „Столична компания за градски транспорт - София” ЕООД</w:t>
      </w:r>
      <w:r w:rsidR="00113F39" w:rsidRPr="00113F39">
        <w:rPr>
          <w:rFonts w:ascii="Times New Roman" w:eastAsia="Calibri" w:hAnsi="Times New Roman" w:cs="Times New Roman"/>
          <w:sz w:val="24"/>
          <w:szCs w:val="24"/>
          <w:lang w:val="ru-RU"/>
        </w:rPr>
        <w:t xml:space="preserve">). Станциите за зареждане с компресиран природен газ са сравнително равномерно </w:t>
      </w:r>
      <w:r w:rsidR="00113F39" w:rsidRPr="00113F39">
        <w:rPr>
          <w:rFonts w:ascii="Times New Roman" w:eastAsia="Calibri" w:hAnsi="Times New Roman" w:cs="Times New Roman"/>
          <w:sz w:val="24"/>
          <w:szCs w:val="24"/>
          <w:lang w:val="ru-RU"/>
        </w:rPr>
        <w:lastRenderedPageBreak/>
        <w:t xml:space="preserve">разположени на територията на страната, с изключение на Рило-родопската област и Северозападна България. </w:t>
      </w:r>
    </w:p>
    <w:p w14:paraId="60088181" w14:textId="77777777" w:rsidR="00113F39" w:rsidRPr="00113F39" w:rsidRDefault="00113F39" w:rsidP="006D09E6">
      <w:pPr>
        <w:tabs>
          <w:tab w:val="left" w:pos="360"/>
        </w:tabs>
        <w:spacing w:before="120" w:after="0" w:line="240" w:lineRule="auto"/>
        <w:contextualSpacing/>
        <w:jc w:val="both"/>
        <w:rPr>
          <w:rFonts w:ascii="Times New Roman" w:eastAsia="Calibri" w:hAnsi="Times New Roman" w:cs="Times New Roman"/>
          <w:sz w:val="24"/>
          <w:szCs w:val="24"/>
          <w:lang w:val="ru-RU"/>
        </w:rPr>
      </w:pPr>
      <w:r w:rsidRPr="00113F39">
        <w:rPr>
          <w:rFonts w:ascii="Times New Roman" w:eastAsia="Calibri" w:hAnsi="Times New Roman" w:cs="Times New Roman"/>
          <w:sz w:val="24"/>
          <w:szCs w:val="24"/>
        </w:rPr>
        <w:t xml:space="preserve">Неразвита е мрежата от станции за зареждане с компресиран природен газ по трасетата на транспортните коридори от </w:t>
      </w:r>
      <w:r w:rsidRPr="00113F39">
        <w:rPr>
          <w:rFonts w:ascii="Times New Roman" w:eastAsia="Calibri" w:hAnsi="Times New Roman" w:cs="Times New Roman"/>
          <w:sz w:val="24"/>
          <w:szCs w:val="24"/>
          <w:lang w:val="en-US"/>
        </w:rPr>
        <w:t>TEN</w:t>
      </w:r>
      <w:r w:rsidRPr="00113F39">
        <w:rPr>
          <w:rFonts w:ascii="Times New Roman" w:eastAsia="Calibri" w:hAnsi="Times New Roman" w:cs="Times New Roman"/>
          <w:sz w:val="24"/>
          <w:szCs w:val="24"/>
          <w:lang w:val="ru-RU"/>
        </w:rPr>
        <w:t>-</w:t>
      </w:r>
      <w:r w:rsidRPr="00113F39">
        <w:rPr>
          <w:rFonts w:ascii="Times New Roman" w:eastAsia="Calibri" w:hAnsi="Times New Roman" w:cs="Times New Roman"/>
          <w:sz w:val="24"/>
          <w:szCs w:val="24"/>
          <w:lang w:val="en-US"/>
        </w:rPr>
        <w:t>T</w:t>
      </w:r>
      <w:r w:rsidRPr="00113F39">
        <w:rPr>
          <w:rFonts w:ascii="Times New Roman" w:eastAsia="Calibri" w:hAnsi="Times New Roman" w:cs="Times New Roman"/>
          <w:sz w:val="24"/>
          <w:szCs w:val="24"/>
          <w:lang w:val="ru-RU"/>
        </w:rPr>
        <w:t xml:space="preserve"> </w:t>
      </w:r>
      <w:r w:rsidRPr="00113F39">
        <w:rPr>
          <w:rFonts w:ascii="Times New Roman" w:eastAsia="Calibri" w:hAnsi="Times New Roman" w:cs="Times New Roman"/>
          <w:sz w:val="24"/>
          <w:szCs w:val="24"/>
        </w:rPr>
        <w:t xml:space="preserve">мрежата </w:t>
      </w:r>
      <w:r w:rsidRPr="00113F39">
        <w:rPr>
          <w:rFonts w:ascii="Times New Roman" w:eastAsia="Calibri" w:hAnsi="Times New Roman" w:cs="Times New Roman"/>
          <w:sz w:val="24"/>
          <w:szCs w:val="24"/>
          <w:lang w:val="ru-RU"/>
        </w:rPr>
        <w:t>(път Е-79, АМ “</w:t>
      </w:r>
      <w:r w:rsidRPr="00113F39">
        <w:rPr>
          <w:rFonts w:ascii="Times New Roman" w:eastAsia="Calibri" w:hAnsi="Times New Roman" w:cs="Times New Roman"/>
          <w:sz w:val="24"/>
          <w:szCs w:val="24"/>
        </w:rPr>
        <w:t>Струма</w:t>
      </w:r>
      <w:r w:rsidRPr="00113F39">
        <w:rPr>
          <w:rFonts w:ascii="Times New Roman" w:eastAsia="Calibri" w:hAnsi="Times New Roman" w:cs="Times New Roman"/>
          <w:sz w:val="24"/>
          <w:szCs w:val="24"/>
          <w:lang w:val="ru-RU"/>
        </w:rPr>
        <w:t>”, АМ “</w:t>
      </w:r>
      <w:r w:rsidRPr="00113F39">
        <w:rPr>
          <w:rFonts w:ascii="Times New Roman" w:eastAsia="Calibri" w:hAnsi="Times New Roman" w:cs="Times New Roman"/>
          <w:sz w:val="24"/>
          <w:szCs w:val="24"/>
        </w:rPr>
        <w:t>Тракия</w:t>
      </w:r>
      <w:r w:rsidRPr="00113F39">
        <w:rPr>
          <w:rFonts w:ascii="Times New Roman" w:eastAsia="Calibri" w:hAnsi="Times New Roman" w:cs="Times New Roman"/>
          <w:sz w:val="24"/>
          <w:szCs w:val="24"/>
          <w:lang w:val="ru-RU"/>
        </w:rPr>
        <w:t xml:space="preserve">”, </w:t>
      </w:r>
      <w:r w:rsidRPr="00113F39">
        <w:rPr>
          <w:rFonts w:ascii="Times New Roman" w:eastAsia="Calibri" w:hAnsi="Times New Roman" w:cs="Times New Roman"/>
          <w:sz w:val="24"/>
          <w:szCs w:val="24"/>
        </w:rPr>
        <w:t xml:space="preserve">АМ </w:t>
      </w:r>
      <w:r w:rsidRPr="00113F39">
        <w:rPr>
          <w:rFonts w:ascii="Times New Roman" w:eastAsia="Calibri" w:hAnsi="Times New Roman" w:cs="Times New Roman"/>
          <w:sz w:val="24"/>
          <w:szCs w:val="24"/>
          <w:lang w:val="ru-RU"/>
        </w:rPr>
        <w:t>“Марица”, както и по протежението на населените места около пан – европейски транспортен коридор № 7 – река Дунав, на българска територия)</w:t>
      </w:r>
      <w:r w:rsidRPr="00113F39">
        <w:rPr>
          <w:rFonts w:ascii="Times New Roman" w:eastAsia="Calibri" w:hAnsi="Times New Roman" w:cs="Times New Roman"/>
          <w:sz w:val="24"/>
          <w:szCs w:val="24"/>
        </w:rPr>
        <w:t>.</w:t>
      </w:r>
    </w:p>
    <w:p w14:paraId="415D0E1A" w14:textId="77777777" w:rsidR="00113F39" w:rsidRPr="00113F39" w:rsidRDefault="00113F39" w:rsidP="00113F39">
      <w:pPr>
        <w:tabs>
          <w:tab w:val="left" w:pos="360"/>
        </w:tabs>
        <w:spacing w:before="120"/>
        <w:contextualSpacing/>
        <w:jc w:val="both"/>
        <w:rPr>
          <w:rFonts w:ascii="Times New Roman" w:eastAsia="Calibri" w:hAnsi="Times New Roman" w:cs="Times New Roman"/>
          <w:sz w:val="24"/>
          <w:szCs w:val="24"/>
        </w:rPr>
      </w:pPr>
    </w:p>
    <w:p w14:paraId="29F2C5ED" w14:textId="77777777" w:rsidR="00113F39" w:rsidRPr="00113F39" w:rsidRDefault="00B369AB" w:rsidP="006D09E6">
      <w:pPr>
        <w:tabs>
          <w:tab w:val="left" w:pos="360"/>
        </w:tabs>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12"/>
          <w:szCs w:val="12"/>
        </w:rPr>
        <w:tab/>
      </w:r>
      <w:r w:rsidR="00113F39" w:rsidRPr="00113F39">
        <w:rPr>
          <w:rFonts w:ascii="Times New Roman" w:eastAsia="Calibri" w:hAnsi="Times New Roman" w:cs="Times New Roman"/>
          <w:sz w:val="24"/>
          <w:szCs w:val="24"/>
        </w:rPr>
        <w:t>В България моделът на изграждане на компресорните станции за зареждане на моторни превозни средства следва модела на развитие на газоразпределителната мрежа. Поради тази причина основната част от станциите за зареждане с компресиран природен газ, са разположени в градовете и населените места с изградена газоразпределителна мрежа, далеч от трансевропейските транспортни коридори. Поради тази причина междуградските и международни пътувания с автомобили на компресиран природен газ у нас, са ограничени.</w:t>
      </w:r>
    </w:p>
    <w:p w14:paraId="619FDDB4" w14:textId="77777777" w:rsidR="00113F39" w:rsidRPr="00113F39" w:rsidRDefault="00113F39" w:rsidP="006D09E6">
      <w:pPr>
        <w:tabs>
          <w:tab w:val="left" w:pos="360"/>
        </w:tabs>
        <w:spacing w:before="120" w:after="0" w:line="240" w:lineRule="auto"/>
        <w:contextualSpacing/>
        <w:jc w:val="both"/>
        <w:rPr>
          <w:rFonts w:ascii="Times New Roman" w:eastAsia="Calibri" w:hAnsi="Times New Roman" w:cs="Times New Roman"/>
          <w:sz w:val="10"/>
          <w:szCs w:val="10"/>
        </w:rPr>
      </w:pPr>
    </w:p>
    <w:p w14:paraId="4D091C9B" w14:textId="77777777" w:rsidR="00113F39" w:rsidRPr="00113F39" w:rsidRDefault="00113F39" w:rsidP="006D09E6">
      <w:pPr>
        <w:spacing w:before="120" w:after="0" w:line="240" w:lineRule="auto"/>
        <w:ind w:firstLine="708"/>
        <w:jc w:val="both"/>
        <w:rPr>
          <w:rFonts w:ascii="Times New Roman" w:eastAsia="Calibri" w:hAnsi="Times New Roman" w:cs="Times New Roman"/>
          <w:sz w:val="24"/>
          <w:szCs w:val="24"/>
        </w:rPr>
      </w:pPr>
      <w:r w:rsidRPr="00113F39">
        <w:rPr>
          <w:rFonts w:ascii="Times New Roman" w:eastAsia="Calibri" w:hAnsi="Times New Roman" w:cs="Times New Roman"/>
          <w:sz w:val="24"/>
          <w:szCs w:val="24"/>
        </w:rPr>
        <w:t>В последните няколко години в България годишно се изграждат от 2 до 3 станции за компресиран природен газ, изцяло с инвестиции от частния сектор. Публичният сектор участва в изграждането на 2 ведомствени станции на „Столична компания за градски транспорт - София” ЕООД</w:t>
      </w:r>
      <w:r w:rsidRPr="00113F39">
        <w:rPr>
          <w:rFonts w:ascii="Times New Roman" w:eastAsia="Calibri" w:hAnsi="Times New Roman" w:cs="Times New Roman"/>
          <w:sz w:val="24"/>
          <w:szCs w:val="24"/>
          <w:lang w:val="ru-RU"/>
        </w:rPr>
        <w:t>).</w:t>
      </w:r>
      <w:r w:rsidRPr="00113F39">
        <w:rPr>
          <w:rFonts w:ascii="Times New Roman" w:eastAsia="Calibri" w:hAnsi="Times New Roman" w:cs="Times New Roman"/>
          <w:sz w:val="24"/>
          <w:szCs w:val="24"/>
        </w:rPr>
        <w:t xml:space="preserve"> </w:t>
      </w:r>
    </w:p>
    <w:p w14:paraId="719B3475" w14:textId="77777777" w:rsidR="00113F39" w:rsidRPr="00113F39" w:rsidRDefault="00113F39" w:rsidP="006D09E6">
      <w:pPr>
        <w:spacing w:after="120" w:line="240" w:lineRule="auto"/>
        <w:jc w:val="both"/>
        <w:rPr>
          <w:rFonts w:ascii="Times New Roman" w:eastAsia="Calibri" w:hAnsi="Times New Roman" w:cs="Times New Roman"/>
          <w:sz w:val="24"/>
          <w:szCs w:val="24"/>
        </w:rPr>
      </w:pPr>
      <w:r w:rsidRPr="00113F39">
        <w:rPr>
          <w:rFonts w:ascii="Times New Roman" w:eastAsia="Calibri" w:hAnsi="Times New Roman" w:cs="Times New Roman"/>
          <w:sz w:val="24"/>
          <w:szCs w:val="24"/>
        </w:rPr>
        <w:t xml:space="preserve">Понастоящем в България не са известни установени и налични добри практики за инвестиции от публичния сектор в т.ч. дарения, субсидии и гарантиране на заемите. </w:t>
      </w:r>
    </w:p>
    <w:p w14:paraId="6A3857A6" w14:textId="77777777" w:rsidR="00113F39" w:rsidRPr="001F367C" w:rsidRDefault="00113F39" w:rsidP="006D09E6">
      <w:pPr>
        <w:tabs>
          <w:tab w:val="left" w:pos="360"/>
          <w:tab w:val="left" w:pos="540"/>
        </w:tabs>
        <w:spacing w:after="120" w:line="240" w:lineRule="auto"/>
        <w:jc w:val="both"/>
        <w:rPr>
          <w:rFonts w:ascii="Times New Roman" w:hAnsi="Times New Roman"/>
          <w:sz w:val="24"/>
          <w:szCs w:val="24"/>
        </w:rPr>
      </w:pPr>
      <w:r w:rsidRPr="001F367C">
        <w:rPr>
          <w:rFonts w:ascii="Times New Roman" w:hAnsi="Times New Roman"/>
          <w:sz w:val="24"/>
          <w:szCs w:val="24"/>
        </w:rPr>
        <w:t>Приоритетно трябва да се разработят и реализират проекти за разгръщане инфраструктурата на компресиран природен газ в няколко направления:</w:t>
      </w:r>
    </w:p>
    <w:p w14:paraId="0E8771EB" w14:textId="77777777" w:rsidR="00113F39" w:rsidRPr="001F367C" w:rsidRDefault="00113F39" w:rsidP="006D09E6">
      <w:pPr>
        <w:numPr>
          <w:ilvl w:val="0"/>
          <w:numId w:val="20"/>
        </w:numPr>
        <w:tabs>
          <w:tab w:val="left" w:pos="360"/>
          <w:tab w:val="num" w:pos="540"/>
        </w:tabs>
        <w:spacing w:after="120" w:line="240" w:lineRule="auto"/>
        <w:ind w:left="540" w:hanging="180"/>
        <w:jc w:val="both"/>
        <w:rPr>
          <w:rFonts w:ascii="Times New Roman" w:hAnsi="Times New Roman"/>
          <w:sz w:val="24"/>
          <w:szCs w:val="24"/>
        </w:rPr>
      </w:pPr>
      <w:r w:rsidRPr="001F367C">
        <w:rPr>
          <w:rFonts w:ascii="Times New Roman" w:hAnsi="Times New Roman"/>
          <w:sz w:val="24"/>
          <w:szCs w:val="24"/>
        </w:rPr>
        <w:t>строителство на станции</w:t>
      </w:r>
      <w:r w:rsidRPr="001F367C">
        <w:rPr>
          <w:rFonts w:ascii="Times New Roman" w:hAnsi="Times New Roman"/>
          <w:sz w:val="24"/>
          <w:szCs w:val="24"/>
          <w:lang w:val="ru-RU"/>
        </w:rPr>
        <w:t xml:space="preserve"> </w:t>
      </w:r>
      <w:r w:rsidRPr="001F367C">
        <w:rPr>
          <w:rFonts w:ascii="Times New Roman" w:hAnsi="Times New Roman"/>
          <w:sz w:val="24"/>
          <w:szCs w:val="24"/>
        </w:rPr>
        <w:t xml:space="preserve">за компресиран природен газ на територията на транспортните коридори от </w:t>
      </w:r>
      <w:r w:rsidRPr="001F367C">
        <w:rPr>
          <w:rFonts w:ascii="Times New Roman" w:hAnsi="Times New Roman"/>
          <w:sz w:val="24"/>
          <w:szCs w:val="24"/>
          <w:lang w:val="en-US"/>
        </w:rPr>
        <w:t>TEN</w:t>
      </w:r>
      <w:r w:rsidRPr="001F367C">
        <w:rPr>
          <w:rFonts w:ascii="Times New Roman" w:hAnsi="Times New Roman"/>
          <w:sz w:val="24"/>
          <w:szCs w:val="24"/>
          <w:lang w:val="ru-RU"/>
        </w:rPr>
        <w:t>-</w:t>
      </w:r>
      <w:r w:rsidRPr="001F367C">
        <w:rPr>
          <w:rFonts w:ascii="Times New Roman" w:hAnsi="Times New Roman"/>
          <w:sz w:val="24"/>
          <w:szCs w:val="24"/>
          <w:lang w:val="en-US"/>
        </w:rPr>
        <w:t>T</w:t>
      </w:r>
      <w:r w:rsidRPr="001F367C">
        <w:rPr>
          <w:rFonts w:ascii="Times New Roman" w:hAnsi="Times New Roman"/>
          <w:sz w:val="24"/>
          <w:szCs w:val="24"/>
          <w:lang w:val="ru-RU"/>
        </w:rPr>
        <w:t xml:space="preserve"> </w:t>
      </w:r>
      <w:r w:rsidRPr="001F367C">
        <w:rPr>
          <w:rFonts w:ascii="Times New Roman" w:hAnsi="Times New Roman"/>
          <w:sz w:val="24"/>
          <w:szCs w:val="24"/>
        </w:rPr>
        <w:t xml:space="preserve">мрежата </w:t>
      </w:r>
    </w:p>
    <w:p w14:paraId="7D2A0C73" w14:textId="77777777" w:rsidR="00113F39" w:rsidRPr="001F367C" w:rsidRDefault="00113F39" w:rsidP="006D09E6">
      <w:pPr>
        <w:numPr>
          <w:ilvl w:val="0"/>
          <w:numId w:val="20"/>
        </w:numPr>
        <w:tabs>
          <w:tab w:val="left" w:pos="360"/>
          <w:tab w:val="num" w:pos="540"/>
        </w:tabs>
        <w:spacing w:after="120" w:line="240" w:lineRule="auto"/>
        <w:ind w:left="540" w:hanging="180"/>
        <w:jc w:val="both"/>
        <w:rPr>
          <w:rFonts w:ascii="Times New Roman" w:hAnsi="Times New Roman"/>
          <w:sz w:val="24"/>
          <w:szCs w:val="24"/>
        </w:rPr>
      </w:pPr>
      <w:r w:rsidRPr="001F367C">
        <w:rPr>
          <w:rFonts w:ascii="Times New Roman" w:hAnsi="Times New Roman"/>
          <w:sz w:val="24"/>
          <w:szCs w:val="24"/>
        </w:rPr>
        <w:t xml:space="preserve">за всяка избрана географска локация </w:t>
      </w:r>
      <w:r w:rsidRPr="001F367C">
        <w:rPr>
          <w:rFonts w:ascii="Times New Roman" w:hAnsi="Times New Roman"/>
          <w:sz w:val="24"/>
          <w:szCs w:val="24"/>
          <w:lang w:val="ru-RU"/>
        </w:rPr>
        <w:t xml:space="preserve">(точка) </w:t>
      </w:r>
      <w:r w:rsidRPr="001F367C">
        <w:rPr>
          <w:rFonts w:ascii="Times New Roman" w:hAnsi="Times New Roman"/>
          <w:sz w:val="24"/>
          <w:szCs w:val="24"/>
        </w:rPr>
        <w:t>за изграждане на станция, трябва да се предвиди  изграждането на 2 бр. станции, по една за всяка посока на движение;</w:t>
      </w:r>
    </w:p>
    <w:p w14:paraId="512C8DF0" w14:textId="77777777" w:rsidR="00113F39" w:rsidRPr="001F367C" w:rsidRDefault="00113F39" w:rsidP="006D09E6">
      <w:pPr>
        <w:numPr>
          <w:ilvl w:val="0"/>
          <w:numId w:val="20"/>
        </w:numPr>
        <w:tabs>
          <w:tab w:val="left" w:pos="360"/>
          <w:tab w:val="num" w:pos="540"/>
        </w:tabs>
        <w:spacing w:after="120" w:line="240" w:lineRule="auto"/>
        <w:ind w:left="540" w:hanging="180"/>
        <w:jc w:val="both"/>
        <w:rPr>
          <w:rFonts w:ascii="Times New Roman" w:hAnsi="Times New Roman"/>
          <w:sz w:val="24"/>
          <w:szCs w:val="24"/>
        </w:rPr>
      </w:pPr>
      <w:r w:rsidRPr="001F367C">
        <w:rPr>
          <w:rFonts w:ascii="Times New Roman" w:hAnsi="Times New Roman"/>
          <w:sz w:val="24"/>
          <w:szCs w:val="24"/>
        </w:rPr>
        <w:t>строителството на станции за компресиран природен газ в Северозападна България и Рило – родопската област;</w:t>
      </w:r>
    </w:p>
    <w:p w14:paraId="354E1B43" w14:textId="77777777" w:rsidR="00113F39" w:rsidRPr="001F367C" w:rsidRDefault="00B369AB" w:rsidP="00113F39">
      <w:pPr>
        <w:tabs>
          <w:tab w:val="left" w:pos="360"/>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3F39" w:rsidRPr="001F367C">
        <w:rPr>
          <w:rFonts w:ascii="Times New Roman" w:hAnsi="Times New Roman"/>
          <w:sz w:val="24"/>
          <w:szCs w:val="24"/>
        </w:rPr>
        <w:t xml:space="preserve">Следва да се отбележи, че компресирания и втечнения природен газ имат отлична степен на оперативна съвместимост. Изграждането на комбинирани </w:t>
      </w:r>
      <w:r w:rsidR="00113F39" w:rsidRPr="001F367C">
        <w:rPr>
          <w:rFonts w:ascii="Times New Roman" w:hAnsi="Times New Roman"/>
          <w:sz w:val="24"/>
          <w:szCs w:val="24"/>
          <w:lang w:val="en-US"/>
        </w:rPr>
        <w:t>L</w:t>
      </w:r>
      <w:r w:rsidR="00113F39" w:rsidRPr="001F367C">
        <w:rPr>
          <w:rFonts w:ascii="Times New Roman" w:hAnsi="Times New Roman"/>
          <w:sz w:val="24"/>
          <w:szCs w:val="24"/>
          <w:lang w:val="ru-RU"/>
        </w:rPr>
        <w:t>-</w:t>
      </w:r>
      <w:r w:rsidR="00113F39" w:rsidRPr="001F367C">
        <w:rPr>
          <w:rFonts w:ascii="Times New Roman" w:hAnsi="Times New Roman"/>
          <w:sz w:val="24"/>
          <w:szCs w:val="24"/>
          <w:lang w:val="en-US"/>
        </w:rPr>
        <w:t>CNG</w:t>
      </w:r>
      <w:r w:rsidR="00113F39" w:rsidRPr="001F367C">
        <w:rPr>
          <w:rFonts w:ascii="Times New Roman" w:hAnsi="Times New Roman"/>
          <w:sz w:val="24"/>
          <w:szCs w:val="24"/>
        </w:rPr>
        <w:t xml:space="preserve"> станции позволява оползотворяване на загубите при съхранението на втечнен природен газ. </w:t>
      </w:r>
    </w:p>
    <w:p w14:paraId="1078A279" w14:textId="77777777" w:rsidR="00113F39" w:rsidRPr="001F367C" w:rsidRDefault="00B369AB" w:rsidP="00113F39">
      <w:pPr>
        <w:tabs>
          <w:tab w:val="left" w:pos="360"/>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3F39" w:rsidRPr="001F367C">
        <w:rPr>
          <w:rFonts w:ascii="Times New Roman" w:hAnsi="Times New Roman"/>
          <w:sz w:val="24"/>
          <w:szCs w:val="24"/>
        </w:rPr>
        <w:t xml:space="preserve">Присъединяването към съществуващите мрежи - електрически, водоснабдителни, канализационни и газопроводни, е свързано с по-големи предизвикателства. </w:t>
      </w:r>
    </w:p>
    <w:p w14:paraId="7EFDBA38" w14:textId="77777777" w:rsidR="00113F39" w:rsidRPr="001F367C" w:rsidRDefault="00B369AB" w:rsidP="00113F39">
      <w:pPr>
        <w:tabs>
          <w:tab w:val="left" w:pos="360"/>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3F39" w:rsidRPr="001F367C">
        <w:rPr>
          <w:rFonts w:ascii="Times New Roman" w:hAnsi="Times New Roman"/>
          <w:sz w:val="24"/>
          <w:szCs w:val="24"/>
        </w:rPr>
        <w:t xml:space="preserve">В тази връзка е необходимо да се определят точките за зареждане на територията на страната, за кои видове горива са подходящи, както и да се прецени техническата възможност за тяхното изграждане, с оглед на съществуващата инфраструктура. Съществува потенциал за оперативна съвместимост на природния газ, с инсталации за производство и дистрибуция на водородно гориво от природен газ.  </w:t>
      </w:r>
    </w:p>
    <w:p w14:paraId="66DDF45F" w14:textId="77777777" w:rsidR="00113F39" w:rsidRPr="001F367C" w:rsidRDefault="00B369AB" w:rsidP="00113F39">
      <w:pPr>
        <w:tabs>
          <w:tab w:val="left" w:pos="360"/>
          <w:tab w:val="left" w:pos="540"/>
        </w:tabs>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3F39" w:rsidRPr="001F367C">
        <w:rPr>
          <w:rFonts w:ascii="Times New Roman" w:eastAsia="Calibri" w:hAnsi="Times New Roman" w:cs="Times New Roman"/>
          <w:sz w:val="24"/>
          <w:szCs w:val="24"/>
        </w:rPr>
        <w:t xml:space="preserve">Основните пречки за развитието на инфраструктурната мрежа за компресиран природен газ, която да има необходимата степен на гъстота са следните: </w:t>
      </w:r>
    </w:p>
    <w:p w14:paraId="6BF4CE6E" w14:textId="77777777" w:rsidR="00113F39" w:rsidRPr="001F367C"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8"/>
          <w:szCs w:val="8"/>
        </w:rPr>
      </w:pPr>
    </w:p>
    <w:p w14:paraId="29A03DB6" w14:textId="77777777" w:rsidR="00113F39" w:rsidRPr="001F367C" w:rsidRDefault="00113F39" w:rsidP="001A0506">
      <w:pPr>
        <w:numPr>
          <w:ilvl w:val="1"/>
          <w:numId w:val="21"/>
        </w:numPr>
        <w:tabs>
          <w:tab w:val="num" w:pos="0"/>
          <w:tab w:val="left" w:pos="360"/>
          <w:tab w:val="left" w:pos="540"/>
        </w:tabs>
        <w:spacing w:before="120" w:after="0" w:line="240" w:lineRule="auto"/>
        <w:ind w:left="0" w:firstLine="540"/>
        <w:contextualSpacing/>
        <w:jc w:val="both"/>
        <w:rPr>
          <w:rFonts w:ascii="Times New Roman" w:eastAsia="Calibri" w:hAnsi="Times New Roman" w:cs="Times New Roman"/>
          <w:sz w:val="24"/>
          <w:szCs w:val="24"/>
        </w:rPr>
      </w:pPr>
      <w:r w:rsidRPr="001F367C">
        <w:rPr>
          <w:rFonts w:ascii="Times New Roman" w:eastAsia="Calibri" w:hAnsi="Times New Roman" w:cs="Times New Roman"/>
          <w:sz w:val="24"/>
          <w:szCs w:val="24"/>
        </w:rPr>
        <w:t>все още не е определена необходимата степен на гъстота на станциите за зареждане с компресиран природен газ, на територията на нашата страна;</w:t>
      </w:r>
    </w:p>
    <w:p w14:paraId="036C2A64" w14:textId="77777777" w:rsidR="00113F39" w:rsidRPr="001F367C"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8"/>
          <w:szCs w:val="8"/>
        </w:rPr>
      </w:pPr>
    </w:p>
    <w:p w14:paraId="67A2E570" w14:textId="77777777" w:rsidR="00113F39" w:rsidRPr="001F367C" w:rsidRDefault="00113F39" w:rsidP="001A0506">
      <w:pPr>
        <w:numPr>
          <w:ilvl w:val="1"/>
          <w:numId w:val="21"/>
        </w:numPr>
        <w:tabs>
          <w:tab w:val="num" w:pos="0"/>
          <w:tab w:val="left" w:pos="360"/>
          <w:tab w:val="left" w:pos="540"/>
        </w:tabs>
        <w:spacing w:before="120" w:after="0" w:line="240" w:lineRule="auto"/>
        <w:ind w:left="0" w:firstLine="540"/>
        <w:contextualSpacing/>
        <w:jc w:val="both"/>
        <w:rPr>
          <w:rFonts w:ascii="Times New Roman" w:eastAsia="Calibri" w:hAnsi="Times New Roman" w:cs="Times New Roman"/>
          <w:sz w:val="24"/>
          <w:szCs w:val="24"/>
        </w:rPr>
      </w:pPr>
      <w:r w:rsidRPr="001F367C">
        <w:rPr>
          <w:rFonts w:ascii="Times New Roman" w:eastAsia="Calibri" w:hAnsi="Times New Roman" w:cs="Times New Roman"/>
          <w:sz w:val="24"/>
          <w:szCs w:val="24"/>
        </w:rPr>
        <w:t>не се прилага координиран подход със съседните страни, с цел съгласуване на общи действия в изграждането на инфраструктурата за компресиран природен газ;</w:t>
      </w:r>
    </w:p>
    <w:p w14:paraId="6F48F2D8" w14:textId="77777777" w:rsidR="00113F39" w:rsidRPr="001F367C"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12"/>
          <w:szCs w:val="12"/>
        </w:rPr>
      </w:pPr>
    </w:p>
    <w:p w14:paraId="5C993DA8" w14:textId="77777777" w:rsidR="00113F39" w:rsidRPr="001F367C" w:rsidRDefault="00113F39" w:rsidP="001A0506">
      <w:pPr>
        <w:numPr>
          <w:ilvl w:val="1"/>
          <w:numId w:val="21"/>
        </w:numPr>
        <w:tabs>
          <w:tab w:val="num" w:pos="0"/>
          <w:tab w:val="left" w:pos="360"/>
          <w:tab w:val="left" w:pos="540"/>
        </w:tabs>
        <w:spacing w:before="120" w:after="0" w:line="240" w:lineRule="auto"/>
        <w:ind w:left="0" w:firstLine="540"/>
        <w:contextualSpacing/>
        <w:jc w:val="both"/>
        <w:rPr>
          <w:rFonts w:ascii="Times New Roman" w:eastAsia="Calibri" w:hAnsi="Times New Roman" w:cs="Times New Roman"/>
          <w:sz w:val="24"/>
          <w:szCs w:val="24"/>
        </w:rPr>
      </w:pPr>
      <w:r w:rsidRPr="001F367C">
        <w:rPr>
          <w:rFonts w:ascii="Times New Roman" w:eastAsia="Calibri" w:hAnsi="Times New Roman" w:cs="Times New Roman"/>
          <w:sz w:val="24"/>
          <w:szCs w:val="24"/>
        </w:rPr>
        <w:lastRenderedPageBreak/>
        <w:t>не е извършено съвместно определяне на необходимата степен на гъстота на станциите за зареждане с компресиран природен газ, в региони от съседни страни на територията на ЕС.</w:t>
      </w:r>
    </w:p>
    <w:p w14:paraId="7DDF332A" w14:textId="77777777" w:rsidR="00113F39" w:rsidRPr="00113F39" w:rsidRDefault="00113F39" w:rsidP="00113F39">
      <w:pPr>
        <w:spacing w:after="0" w:line="240" w:lineRule="auto"/>
        <w:rPr>
          <w:rFonts w:ascii="Times New Roman" w:eastAsia="Times New Roman" w:hAnsi="Times New Roman" w:cs="Times New Roman"/>
          <w:sz w:val="24"/>
          <w:szCs w:val="24"/>
          <w:lang w:eastAsia="bg-BG"/>
        </w:rPr>
      </w:pPr>
    </w:p>
    <w:p w14:paraId="76BAC9FD" w14:textId="77777777" w:rsidR="00113F39" w:rsidRPr="00113F39" w:rsidRDefault="001B1979" w:rsidP="00113F39">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00113F39">
        <w:rPr>
          <w:rFonts w:ascii="Times New Roman" w:eastAsia="Times New Roman" w:hAnsi="Times New Roman" w:cs="Times New Roman"/>
          <w:b/>
          <w:sz w:val="24"/>
          <w:szCs w:val="24"/>
          <w:lang w:eastAsia="bg-BG"/>
        </w:rPr>
        <w:t xml:space="preserve">.3 Зарядна </w:t>
      </w:r>
      <w:r w:rsidR="00113F39" w:rsidRPr="00113F39">
        <w:rPr>
          <w:rFonts w:ascii="Times New Roman" w:eastAsia="Times New Roman" w:hAnsi="Times New Roman" w:cs="Times New Roman"/>
          <w:b/>
          <w:sz w:val="24"/>
          <w:szCs w:val="24"/>
          <w:lang w:eastAsia="bg-BG"/>
        </w:rPr>
        <w:t>инфраструктура за втечнен природен газ</w:t>
      </w:r>
    </w:p>
    <w:p w14:paraId="76E3F94D" w14:textId="77777777" w:rsidR="00113F39" w:rsidRPr="00113F39"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10"/>
          <w:szCs w:val="10"/>
          <w:highlight w:val="yellow"/>
        </w:rPr>
      </w:pPr>
    </w:p>
    <w:p w14:paraId="0361D4B9" w14:textId="49763402" w:rsidR="00113F39" w:rsidRPr="001F367C" w:rsidRDefault="00B369AB" w:rsidP="00113F39">
      <w:pPr>
        <w:tabs>
          <w:tab w:val="left" w:pos="360"/>
          <w:tab w:val="left" w:pos="540"/>
        </w:tabs>
        <w:spacing w:before="120"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113F39" w:rsidRPr="001F367C">
        <w:rPr>
          <w:rFonts w:ascii="Times New Roman" w:eastAsia="Calibri" w:hAnsi="Times New Roman" w:cs="Times New Roman"/>
          <w:sz w:val="24"/>
          <w:szCs w:val="24"/>
        </w:rPr>
        <w:t xml:space="preserve">Все още няма изградена инфраструктура за втечнен природен газ в т.ч. и  на територията на транспортните коридори от </w:t>
      </w:r>
      <w:r w:rsidR="00113F39" w:rsidRPr="001F367C">
        <w:rPr>
          <w:rFonts w:ascii="Times New Roman" w:eastAsia="Calibri" w:hAnsi="Times New Roman" w:cs="Times New Roman"/>
          <w:sz w:val="24"/>
          <w:szCs w:val="24"/>
          <w:lang w:val="en-US"/>
        </w:rPr>
        <w:t>TEN</w:t>
      </w:r>
      <w:r w:rsidR="00113F39" w:rsidRPr="001F367C">
        <w:rPr>
          <w:rFonts w:ascii="Times New Roman" w:eastAsia="Calibri" w:hAnsi="Times New Roman" w:cs="Times New Roman"/>
          <w:sz w:val="24"/>
          <w:szCs w:val="24"/>
          <w:lang w:val="ru-RU"/>
        </w:rPr>
        <w:t>-</w:t>
      </w:r>
      <w:r w:rsidR="00113F39" w:rsidRPr="001F367C">
        <w:rPr>
          <w:rFonts w:ascii="Times New Roman" w:eastAsia="Calibri" w:hAnsi="Times New Roman" w:cs="Times New Roman"/>
          <w:sz w:val="24"/>
          <w:szCs w:val="24"/>
          <w:lang w:val="en-US"/>
        </w:rPr>
        <w:t>T</w:t>
      </w:r>
      <w:r w:rsidR="00113F39" w:rsidRPr="001F367C">
        <w:rPr>
          <w:rFonts w:ascii="Times New Roman" w:eastAsia="Calibri" w:hAnsi="Times New Roman" w:cs="Times New Roman"/>
          <w:sz w:val="24"/>
          <w:szCs w:val="24"/>
        </w:rPr>
        <w:t xml:space="preserve"> мрежата в страната. </w:t>
      </w:r>
    </w:p>
    <w:p w14:paraId="5B2A7481" w14:textId="77777777" w:rsidR="00113F39" w:rsidRPr="001F367C" w:rsidRDefault="00B369AB" w:rsidP="00113F39">
      <w:pPr>
        <w:tabs>
          <w:tab w:val="left" w:pos="360"/>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3F39" w:rsidRPr="001F367C">
        <w:rPr>
          <w:rFonts w:ascii="Times New Roman" w:hAnsi="Times New Roman"/>
          <w:sz w:val="24"/>
          <w:szCs w:val="24"/>
        </w:rPr>
        <w:t>В тази връзка е абсолютно наложително да се извърши проучване на регионалното и национално търсене на втечнен природен газ за нуждите на автомобилния транспорт преди да се пристъпи към строителство на зарядни станции</w:t>
      </w:r>
      <w:r w:rsidR="00113F39" w:rsidRPr="001F367C">
        <w:rPr>
          <w:rFonts w:ascii="Times New Roman" w:hAnsi="Times New Roman"/>
          <w:sz w:val="24"/>
          <w:szCs w:val="24"/>
          <w:lang w:val="ru-RU"/>
        </w:rPr>
        <w:t xml:space="preserve"> </w:t>
      </w:r>
      <w:r w:rsidR="00113F39" w:rsidRPr="001F367C">
        <w:rPr>
          <w:rFonts w:ascii="Times New Roman" w:hAnsi="Times New Roman"/>
          <w:sz w:val="24"/>
          <w:szCs w:val="24"/>
        </w:rPr>
        <w:t xml:space="preserve">за втечнен природен газ на територията на транспортните коридори от </w:t>
      </w:r>
      <w:r w:rsidR="00113F39" w:rsidRPr="001F367C">
        <w:rPr>
          <w:rFonts w:ascii="Times New Roman" w:hAnsi="Times New Roman"/>
          <w:sz w:val="24"/>
          <w:szCs w:val="24"/>
          <w:lang w:val="en-US"/>
        </w:rPr>
        <w:t>TEN</w:t>
      </w:r>
      <w:r w:rsidR="00113F39" w:rsidRPr="001F367C">
        <w:rPr>
          <w:rFonts w:ascii="Times New Roman" w:hAnsi="Times New Roman"/>
          <w:sz w:val="24"/>
          <w:szCs w:val="24"/>
          <w:lang w:val="ru-RU"/>
        </w:rPr>
        <w:t>-</w:t>
      </w:r>
      <w:r w:rsidR="00113F39" w:rsidRPr="001F367C">
        <w:rPr>
          <w:rFonts w:ascii="Times New Roman" w:hAnsi="Times New Roman"/>
          <w:sz w:val="24"/>
          <w:szCs w:val="24"/>
          <w:lang w:val="en-US"/>
        </w:rPr>
        <w:t>T</w:t>
      </w:r>
      <w:r w:rsidR="00113F39" w:rsidRPr="001F367C">
        <w:rPr>
          <w:rFonts w:ascii="Times New Roman" w:hAnsi="Times New Roman"/>
          <w:sz w:val="24"/>
          <w:szCs w:val="24"/>
          <w:lang w:val="ru-RU"/>
        </w:rPr>
        <w:t xml:space="preserve"> </w:t>
      </w:r>
      <w:r w:rsidR="00113F39" w:rsidRPr="001F367C">
        <w:rPr>
          <w:rFonts w:ascii="Times New Roman" w:hAnsi="Times New Roman"/>
          <w:sz w:val="24"/>
          <w:szCs w:val="24"/>
        </w:rPr>
        <w:t>мрежата. За всяка избрана географска локация за изграждане на станция, трябва да се предвиди изграждането на 2 бр. станции, по една за всяка посока на движение.</w:t>
      </w:r>
    </w:p>
    <w:p w14:paraId="06C454A7" w14:textId="77777777" w:rsidR="00113F39" w:rsidRPr="001F367C" w:rsidRDefault="00113F39" w:rsidP="00113F39">
      <w:pPr>
        <w:tabs>
          <w:tab w:val="left" w:pos="360"/>
          <w:tab w:val="left" w:pos="540"/>
        </w:tabs>
        <w:spacing w:before="120" w:after="0" w:line="240" w:lineRule="auto"/>
        <w:contextualSpacing/>
        <w:jc w:val="both"/>
        <w:rPr>
          <w:rFonts w:ascii="Times New Roman" w:eastAsia="Calibri" w:hAnsi="Times New Roman" w:cs="Times New Roman"/>
          <w:sz w:val="24"/>
          <w:szCs w:val="24"/>
          <w:highlight w:val="yellow"/>
        </w:rPr>
      </w:pPr>
    </w:p>
    <w:p w14:paraId="34F051B3" w14:textId="77777777" w:rsidR="00113F39" w:rsidRPr="00113F39" w:rsidRDefault="001B1979" w:rsidP="00113F39">
      <w:pPr>
        <w:spacing w:before="120" w:after="0" w:line="240" w:lineRule="auto"/>
        <w:jc w:val="both"/>
        <w:rPr>
          <w:rFonts w:ascii="Times New Roman" w:hAnsi="Times New Roman"/>
          <w:b/>
          <w:sz w:val="24"/>
          <w:szCs w:val="24"/>
        </w:rPr>
      </w:pPr>
      <w:r>
        <w:rPr>
          <w:rFonts w:ascii="Times New Roman" w:hAnsi="Times New Roman"/>
          <w:b/>
          <w:sz w:val="24"/>
          <w:szCs w:val="24"/>
        </w:rPr>
        <w:t>7</w:t>
      </w:r>
      <w:r w:rsidR="00113F39">
        <w:rPr>
          <w:rFonts w:ascii="Times New Roman" w:hAnsi="Times New Roman"/>
          <w:b/>
          <w:sz w:val="24"/>
          <w:szCs w:val="24"/>
        </w:rPr>
        <w:t>.4 Зарядна</w:t>
      </w:r>
      <w:r w:rsidR="00113F39" w:rsidRPr="00113F39">
        <w:rPr>
          <w:rFonts w:ascii="Times New Roman" w:hAnsi="Times New Roman"/>
          <w:b/>
          <w:sz w:val="24"/>
          <w:szCs w:val="24"/>
        </w:rPr>
        <w:t xml:space="preserve"> инфраструктура за втечнен нефтен газ</w:t>
      </w:r>
    </w:p>
    <w:p w14:paraId="027B215D" w14:textId="77777777" w:rsidR="00AA325D" w:rsidRDefault="00B369AB" w:rsidP="001F367C">
      <w:pPr>
        <w:spacing w:before="120"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113F39" w:rsidRPr="00113F39">
        <w:rPr>
          <w:rFonts w:ascii="Times New Roman" w:eastAsia="Times New Roman" w:hAnsi="Times New Roman" w:cs="Times New Roman"/>
          <w:sz w:val="24"/>
          <w:szCs w:val="24"/>
          <w:lang w:eastAsia="bg-BG"/>
        </w:rPr>
        <w:t xml:space="preserve">Социалните и икономическите условия в страната през изминалите години благоприятстваха използването на втечнения нефтен газ, което допринесе и за добре развита мрежа за дистрибуция и продажба на този енергиен продукт. </w:t>
      </w:r>
    </w:p>
    <w:p w14:paraId="48BB9E63" w14:textId="77777777" w:rsidR="00AA325D"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Основни причини за широкото му разпространение са достъпните газови уредби, които дават възможност да се промени типа на използваното моторно гориво, както и почти двойно по-ниската цена на самия продукт. </w:t>
      </w:r>
    </w:p>
    <w:p w14:paraId="60B81F3F"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Поради тези факти Република България е сред водещите страни по брой на автомобилите, задвижвани от втечнен нефтен газ в Европейския съюз. Точна статистика не може да бъде предоставена, тъй като голяма част от по-старите автомобили в България са закупени и регистрирани пред компетентните органи със заводското си задвижване и в последствие то е променено. В този смисъл данните, предоставени от Министерството на вътрешните работи, които отразяват вида консумирано гориво при регистрация са актуални единствено за автомобилите с фабрично поставени газови уредби. На база на доставените на пазара количества втечнен нефтен газ за моторно гориво и броя на регистрираните в страната бензинови автомобили може да бъде направено разумно предположение, че около 85 % от тези на възраст над 15 години са задвижвани от този енергиен продукт.</w:t>
      </w:r>
    </w:p>
    <w:p w14:paraId="12939838" w14:textId="77777777" w:rsidR="00AA325D" w:rsidRDefault="00113F39" w:rsidP="001F367C">
      <w:pPr>
        <w:spacing w:before="120"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ab/>
        <w:t xml:space="preserve">По отношение на мрежата за дистрибуция страната ни също е в челните позиции в Европа. Към настоящия момент на територията на страната има </w:t>
      </w:r>
      <w:r w:rsidRPr="00113F39">
        <w:rPr>
          <w:rFonts w:ascii="Times New Roman" w:eastAsia="Times New Roman" w:hAnsi="Times New Roman" w:cs="Times New Roman"/>
          <w:i/>
          <w:sz w:val="24"/>
          <w:szCs w:val="24"/>
          <w:lang w:eastAsia="bg-BG"/>
        </w:rPr>
        <w:t>около 1890 обекта</w:t>
      </w:r>
      <w:r w:rsidRPr="00113F39">
        <w:rPr>
          <w:rFonts w:ascii="Times New Roman" w:eastAsia="Times New Roman" w:hAnsi="Times New Roman" w:cs="Times New Roman"/>
          <w:sz w:val="24"/>
          <w:szCs w:val="24"/>
          <w:lang w:eastAsia="bg-BG"/>
        </w:rPr>
        <w:t xml:space="preserve"> , в които се предлага втечнен нефтен газ</w:t>
      </w:r>
      <w:r w:rsidRPr="007C469F">
        <w:rPr>
          <w:rFonts w:ascii="Times New Roman" w:eastAsia="Times New Roman" w:hAnsi="Times New Roman" w:cs="Times New Roman"/>
          <w:sz w:val="24"/>
          <w:szCs w:val="24"/>
          <w:lang w:eastAsia="bg-BG"/>
        </w:rPr>
        <w:t>.</w:t>
      </w:r>
      <w:r w:rsidRPr="00113F39">
        <w:rPr>
          <w:rFonts w:ascii="Times New Roman" w:eastAsia="Times New Roman" w:hAnsi="Times New Roman" w:cs="Times New Roman"/>
          <w:sz w:val="24"/>
          <w:szCs w:val="24"/>
          <w:vertAlign w:val="superscript"/>
          <w:lang w:eastAsia="bg-BG"/>
        </w:rPr>
        <w:footnoteReference w:id="11"/>
      </w:r>
      <w:r w:rsidRPr="00113F39">
        <w:rPr>
          <w:rFonts w:ascii="Times New Roman" w:eastAsia="Times New Roman" w:hAnsi="Times New Roman" w:cs="Times New Roman"/>
          <w:sz w:val="24"/>
          <w:szCs w:val="24"/>
          <w:lang w:eastAsia="bg-BG"/>
        </w:rPr>
        <w:t xml:space="preserve">. </w:t>
      </w:r>
    </w:p>
    <w:p w14:paraId="43435823"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Мрежата е разпространена географски на територията на цялата страна, като няма струпвания на обекти единствено около по-големите градове, което дава възможност за предлагане на втечнен нефтен газ и в по-малките населени места. </w:t>
      </w:r>
    </w:p>
    <w:p w14:paraId="09990E9C" w14:textId="77777777" w:rsid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Разширяване на използването на ВНГ извън ползването на автомобили за лични цели и таксиметрови услуги също би следвало да бъде насърчавано. Наситеността на обекти предлагащи този енергиен продукт на територията на страната го прави изключително удобен при национални доставки на товари. </w:t>
      </w:r>
    </w:p>
    <w:p w14:paraId="4FD22C9F" w14:textId="77777777" w:rsidR="001F367C" w:rsidRPr="00113F39" w:rsidRDefault="001F367C" w:rsidP="001F367C">
      <w:pPr>
        <w:spacing w:before="120" w:after="0" w:line="240" w:lineRule="auto"/>
        <w:jc w:val="both"/>
        <w:rPr>
          <w:rFonts w:ascii="Times New Roman" w:eastAsia="Times New Roman" w:hAnsi="Times New Roman" w:cs="Times New Roman"/>
          <w:sz w:val="24"/>
          <w:szCs w:val="24"/>
          <w:lang w:eastAsia="bg-BG"/>
        </w:rPr>
      </w:pPr>
    </w:p>
    <w:p w14:paraId="4D06A135" w14:textId="77777777" w:rsidR="00113F39" w:rsidRPr="00113F39" w:rsidRDefault="001B1979" w:rsidP="00113F3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7</w:t>
      </w:r>
      <w:r w:rsidR="00113F39">
        <w:rPr>
          <w:rFonts w:ascii="Times New Roman" w:eastAsia="Times New Roman" w:hAnsi="Times New Roman" w:cs="Times New Roman"/>
          <w:b/>
          <w:sz w:val="24"/>
          <w:szCs w:val="24"/>
          <w:lang w:eastAsia="bg-BG"/>
        </w:rPr>
        <w:t>.5 Предизвикателства пред разгръщането</w:t>
      </w:r>
      <w:r w:rsidR="00113F39" w:rsidRPr="00113F39">
        <w:rPr>
          <w:rFonts w:ascii="Times New Roman" w:eastAsia="Times New Roman" w:hAnsi="Times New Roman" w:cs="Times New Roman"/>
          <w:b/>
          <w:sz w:val="24"/>
          <w:szCs w:val="24"/>
          <w:lang w:eastAsia="bg-BG"/>
        </w:rPr>
        <w:t xml:space="preserve"> на водородните технологии</w:t>
      </w:r>
      <w:r w:rsidR="00113F39">
        <w:rPr>
          <w:rFonts w:ascii="Times New Roman" w:eastAsia="Times New Roman" w:hAnsi="Times New Roman" w:cs="Times New Roman"/>
          <w:b/>
          <w:sz w:val="24"/>
          <w:szCs w:val="24"/>
          <w:lang w:eastAsia="bg-BG"/>
        </w:rPr>
        <w:t xml:space="preserve"> в транспортния сектор</w:t>
      </w:r>
    </w:p>
    <w:p w14:paraId="1263591B" w14:textId="77777777" w:rsidR="00113F39" w:rsidRPr="00113F39" w:rsidRDefault="00113F39" w:rsidP="00113F39">
      <w:pPr>
        <w:spacing w:after="0" w:line="240" w:lineRule="auto"/>
        <w:jc w:val="both"/>
        <w:rPr>
          <w:rFonts w:ascii="Times New Roman" w:eastAsia="Times New Roman" w:hAnsi="Times New Roman" w:cs="Times New Roman"/>
          <w:sz w:val="24"/>
          <w:szCs w:val="24"/>
          <w:lang w:eastAsia="bg-BG"/>
        </w:rPr>
      </w:pPr>
    </w:p>
    <w:p w14:paraId="085E150A" w14:textId="77777777" w:rsidR="00113F39" w:rsidRPr="00113F39" w:rsidRDefault="00B369AB" w:rsidP="006D09E6">
      <w:pPr>
        <w:spacing w:before="120"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Като</w:t>
      </w:r>
      <w:r w:rsidRPr="00113F39">
        <w:rPr>
          <w:rFonts w:ascii="Times New Roman" w:eastAsia="Times New Roman" w:hAnsi="Times New Roman" w:cs="Times New Roman"/>
          <w:sz w:val="24"/>
          <w:szCs w:val="24"/>
          <w:lang w:eastAsia="bg-BG"/>
        </w:rPr>
        <w:t xml:space="preserve"> </w:t>
      </w:r>
      <w:r w:rsidR="00113F39" w:rsidRPr="00113F39">
        <w:rPr>
          <w:rFonts w:ascii="Times New Roman" w:eastAsia="Times New Roman" w:hAnsi="Times New Roman" w:cs="Times New Roman"/>
          <w:sz w:val="24"/>
          <w:szCs w:val="24"/>
          <w:lang w:eastAsia="bg-BG"/>
        </w:rPr>
        <w:t>част от Европейск</w:t>
      </w:r>
      <w:r w:rsidR="00DC525D">
        <w:rPr>
          <w:rFonts w:ascii="Times New Roman" w:eastAsia="Times New Roman" w:hAnsi="Times New Roman" w:cs="Times New Roman"/>
          <w:sz w:val="24"/>
          <w:szCs w:val="24"/>
          <w:lang w:eastAsia="bg-BG"/>
        </w:rPr>
        <w:t>ия съюз</w:t>
      </w:r>
      <w:r w:rsidR="00113F39" w:rsidRPr="00113F39">
        <w:rPr>
          <w:rFonts w:ascii="Times New Roman" w:eastAsia="Times New Roman" w:hAnsi="Times New Roman" w:cs="Times New Roman"/>
          <w:sz w:val="24"/>
          <w:szCs w:val="24"/>
          <w:lang w:eastAsia="bg-BG"/>
        </w:rPr>
        <w:t xml:space="preserve">, </w:t>
      </w:r>
      <w:r w:rsidR="00DC525D">
        <w:rPr>
          <w:rFonts w:ascii="Times New Roman" w:eastAsia="Times New Roman" w:hAnsi="Times New Roman" w:cs="Times New Roman"/>
          <w:sz w:val="24"/>
          <w:szCs w:val="24"/>
          <w:lang w:eastAsia="bg-BG"/>
        </w:rPr>
        <w:t xml:space="preserve">Република </w:t>
      </w:r>
      <w:r w:rsidR="00113F39" w:rsidRPr="00113F39">
        <w:rPr>
          <w:rFonts w:ascii="Times New Roman" w:eastAsia="Times New Roman" w:hAnsi="Times New Roman" w:cs="Times New Roman"/>
          <w:sz w:val="24"/>
          <w:szCs w:val="24"/>
          <w:lang w:eastAsia="bg-BG"/>
        </w:rPr>
        <w:t xml:space="preserve">България одобри Европейския план за стратегически енергийни технологии, целящ насърчаване на развитието и разгръщането на нисковъглеродни технологии чрез прилагане на адекватни политики. </w:t>
      </w:r>
    </w:p>
    <w:p w14:paraId="1C59C4E7" w14:textId="77777777" w:rsidR="00113F39" w:rsidRPr="00113F39" w:rsidRDefault="00DC525D" w:rsidP="006D09E6">
      <w:pPr>
        <w:spacing w:before="120"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Република </w:t>
      </w:r>
      <w:r w:rsidR="00113F39" w:rsidRPr="00113F39">
        <w:rPr>
          <w:rFonts w:ascii="Times New Roman" w:eastAsia="Times New Roman" w:hAnsi="Times New Roman" w:cs="Times New Roman"/>
          <w:sz w:val="24"/>
          <w:szCs w:val="24"/>
          <w:lang w:eastAsia="bg-BG"/>
        </w:rPr>
        <w:t>България разполага с ограничени въглеродни енергийни ресурси. Но пък разполага с възобновяеми енергийни източници – слънчева енергия, вятърна енергия, които използвани по най-подходящия начин могат да осигурят енергийната независимост на страната. Понастоящем България има инсталирани мощности над 1 гигават. През 2014 г. страната е една от деветте европейски страни, които са изпълнили заложените до 2020 г. национални цели за дял на възобновяемата енергия в крайното енергийно потребление. делът на енергията от възобновяемите източници в транспорта е по-нисък от планирания такъв – 10%.</w:t>
      </w:r>
    </w:p>
    <w:p w14:paraId="3AE38219" w14:textId="56B60A7D"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280F68">
        <w:rPr>
          <w:rFonts w:ascii="Times New Roman" w:eastAsia="Times New Roman" w:hAnsi="Times New Roman" w:cs="Times New Roman"/>
          <w:sz w:val="24"/>
          <w:szCs w:val="24"/>
          <w:lang w:eastAsia="bg-BG"/>
        </w:rPr>
        <w:t>В</w:t>
      </w:r>
      <w:r w:rsidRPr="00113F39">
        <w:rPr>
          <w:rFonts w:ascii="Times New Roman" w:eastAsia="Times New Roman" w:hAnsi="Times New Roman" w:cs="Times New Roman"/>
          <w:sz w:val="24"/>
          <w:szCs w:val="24"/>
          <w:lang w:eastAsia="bg-BG"/>
        </w:rPr>
        <w:t xml:space="preserve"> редица стратегически документи като: Енергийна стратегия на Република България, Иновационна стратегия за интелигентна специализация, Национална стратегия за развитие на научните изследвания и индикатори от плана за действие към нея, Оперативна програма „Наука и образование за интелигентен растеж“, Оперативна програма „Конкурентоспособност и иновации“ са включени препоръки в подкрепа на водородните технологии като национален приоритет. В тази насока най-значителен е приносът на българските учени, които участват активно в европейски проекти.</w:t>
      </w:r>
      <w:r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През 2014 г. Българска</w:t>
      </w:r>
      <w:r w:rsidR="00480847">
        <w:rPr>
          <w:rFonts w:ascii="Times New Roman" w:eastAsia="Times New Roman" w:hAnsi="Times New Roman" w:cs="Times New Roman"/>
          <w:sz w:val="24"/>
          <w:szCs w:val="24"/>
          <w:lang w:eastAsia="bg-BG"/>
        </w:rPr>
        <w:t>та</w:t>
      </w:r>
      <w:r w:rsidRPr="00113F39">
        <w:rPr>
          <w:rFonts w:ascii="Times New Roman" w:eastAsia="Times New Roman" w:hAnsi="Times New Roman" w:cs="Times New Roman"/>
          <w:sz w:val="24"/>
          <w:szCs w:val="24"/>
          <w:lang w:eastAsia="bg-BG"/>
        </w:rPr>
        <w:t xml:space="preserve"> академия на науките стана член на Съвместното предприятие Горивни клетки и водород, както и на Европейското сдружение за Енергийни научни изследвания. Това членство доведе до иницииране и активиране на взаимодействието с българската индустрия с потенциален интерес за въвеждане на водородните технологии.</w:t>
      </w:r>
    </w:p>
    <w:p w14:paraId="4502CB0E"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Предварителният анализ на подходите, прилагани в отделни европейски страни показва, че за българските географски и икономически условия е най-подходящ модел с по-ниски първоначални инвестиции и минимизирани рискове през ранните години. Изграждането и разпределението на водородна инфраструктура трябва да бъде в подходящи пазарни сегменти.</w:t>
      </w:r>
    </w:p>
    <w:p w14:paraId="1734A6FD"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Научно-изследователските структури и индустрията си сътрудничат активно при определяне на областите на приложение на водородните технологии в транспортния сектор на България. Идентифицирани са следните потенциални ниши:</w:t>
      </w:r>
    </w:p>
    <w:p w14:paraId="59F6F5A6" w14:textId="77777777" w:rsidR="00113F39" w:rsidRPr="00113F39" w:rsidRDefault="00113F39" w:rsidP="00113F39">
      <w:pPr>
        <w:autoSpaceDE w:val="0"/>
        <w:autoSpaceDN w:val="0"/>
        <w:adjustRightInd w:val="0"/>
        <w:spacing w:after="0" w:line="240" w:lineRule="auto"/>
        <w:rPr>
          <w:rFonts w:ascii="Times New Roman" w:hAnsi="Times New Roman" w:cs="Times New Roman"/>
          <w:color w:val="000000"/>
          <w:sz w:val="24"/>
          <w:szCs w:val="24"/>
        </w:rPr>
      </w:pPr>
    </w:p>
    <w:p w14:paraId="723AD4EB" w14:textId="20BD4E7B" w:rsidR="00113F39" w:rsidRPr="00113F39" w:rsidRDefault="00113F39" w:rsidP="001A0506">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13F39">
        <w:rPr>
          <w:rFonts w:ascii="Times New Roman" w:hAnsi="Times New Roman" w:cs="Times New Roman"/>
          <w:b/>
          <w:bCs/>
          <w:color w:val="000000"/>
          <w:sz w:val="24"/>
          <w:szCs w:val="24"/>
        </w:rPr>
        <w:t xml:space="preserve">Разработване на електрокари с горивни клетки. </w:t>
      </w:r>
      <w:r w:rsidRPr="00113F39">
        <w:rPr>
          <w:rFonts w:ascii="Times New Roman" w:hAnsi="Times New Roman" w:cs="Times New Roman"/>
          <w:color w:val="000000"/>
          <w:sz w:val="24"/>
          <w:szCs w:val="24"/>
        </w:rPr>
        <w:t xml:space="preserve">България има потенциал да участва в проект(и) на европейско (СП ВГК) и национално ниво за разработване на електрокари с горивни клетки, свързан с дългогодишния опит в производството на батерийни електрокари (първо място в света по продукция на електрокари през 80-те години на 20 век), наличието на фирмен интерес и на научна подкрепа Тази идея може да се реализира и в рамките на национален проект в сътрудничество с чуждестранна фирма – производител на горивни клетки. Интерес за сътрудничество проявява Далматинския регион в </w:t>
      </w:r>
      <w:r w:rsidR="004C599F">
        <w:rPr>
          <w:rFonts w:ascii="Times New Roman" w:hAnsi="Times New Roman" w:cs="Times New Roman"/>
          <w:color w:val="000000"/>
          <w:sz w:val="24"/>
          <w:szCs w:val="24"/>
        </w:rPr>
        <w:t xml:space="preserve">Република </w:t>
      </w:r>
      <w:r w:rsidR="004C599F" w:rsidRPr="00113F39">
        <w:rPr>
          <w:rFonts w:ascii="Times New Roman" w:hAnsi="Times New Roman" w:cs="Times New Roman"/>
          <w:color w:val="000000"/>
          <w:sz w:val="24"/>
          <w:szCs w:val="24"/>
        </w:rPr>
        <w:t>Хърват</w:t>
      </w:r>
      <w:r w:rsidR="004C599F">
        <w:rPr>
          <w:rFonts w:ascii="Times New Roman" w:hAnsi="Times New Roman" w:cs="Times New Roman"/>
          <w:color w:val="000000"/>
          <w:sz w:val="24"/>
          <w:szCs w:val="24"/>
        </w:rPr>
        <w:t>ия</w:t>
      </w:r>
      <w:r w:rsidRPr="00113F39">
        <w:rPr>
          <w:rFonts w:ascii="Times New Roman" w:hAnsi="Times New Roman" w:cs="Times New Roman"/>
          <w:color w:val="000000"/>
          <w:sz w:val="24"/>
          <w:szCs w:val="24"/>
        </w:rPr>
        <w:t xml:space="preserve">. </w:t>
      </w:r>
    </w:p>
    <w:p w14:paraId="5D9850D0" w14:textId="7DD402A4" w:rsidR="00B369AB" w:rsidRPr="00113F39" w:rsidRDefault="00B369AB" w:rsidP="00113F39">
      <w:pPr>
        <w:spacing w:before="120" w:after="0" w:line="240" w:lineRule="auto"/>
        <w:jc w:val="both"/>
        <w:rPr>
          <w:rFonts w:ascii="Times New Roman" w:eastAsia="Times New Roman" w:hAnsi="Times New Roman" w:cs="Times New Roman"/>
          <w:sz w:val="24"/>
          <w:szCs w:val="24"/>
          <w:lang w:eastAsia="bg-BG"/>
        </w:rPr>
      </w:pPr>
    </w:p>
    <w:p w14:paraId="3761359F" w14:textId="77777777" w:rsidR="00113F39" w:rsidRPr="001F367C" w:rsidRDefault="00113F39" w:rsidP="001A0506">
      <w:pPr>
        <w:numPr>
          <w:ilvl w:val="0"/>
          <w:numId w:val="22"/>
        </w:numPr>
        <w:spacing w:before="120" w:after="0" w:line="240" w:lineRule="auto"/>
        <w:contextualSpacing/>
        <w:jc w:val="both"/>
        <w:rPr>
          <w:rFonts w:ascii="Times New Roman" w:eastAsia="Times New Roman" w:hAnsi="Times New Roman" w:cs="Times New Roman"/>
          <w:b/>
          <w:sz w:val="24"/>
          <w:szCs w:val="24"/>
          <w:lang w:eastAsia="bg-BG"/>
        </w:rPr>
      </w:pPr>
      <w:r w:rsidRPr="001F367C">
        <w:rPr>
          <w:rFonts w:ascii="Times New Roman" w:eastAsia="Times New Roman" w:hAnsi="Times New Roman" w:cs="Times New Roman"/>
          <w:b/>
          <w:sz w:val="24"/>
          <w:szCs w:val="24"/>
          <w:lang w:eastAsia="bg-BG"/>
        </w:rPr>
        <w:t>Приложения във водния транспорт</w:t>
      </w:r>
    </w:p>
    <w:p w14:paraId="2752EA7B" w14:textId="19787BD5" w:rsid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Тази </w:t>
      </w:r>
      <w:r w:rsidR="00777B86">
        <w:rPr>
          <w:rFonts w:ascii="Times New Roman" w:eastAsia="Times New Roman" w:hAnsi="Times New Roman" w:cs="Times New Roman"/>
          <w:sz w:val="24"/>
          <w:szCs w:val="24"/>
          <w:lang w:eastAsia="bg-BG"/>
        </w:rPr>
        <w:t>област</w:t>
      </w:r>
      <w:r w:rsidR="00777B86" w:rsidRPr="00113F39">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 xml:space="preserve">е тясно обвързана с регионалната политика в региона на Бургас, най-голямото ни пристанище на Черно море (с известния морски курорт Слънчев бряг) с над 1 млн. посетители в активния сезон. Общите усилия на държавата и местната </w:t>
      </w:r>
      <w:r w:rsidRPr="00113F39">
        <w:rPr>
          <w:rFonts w:ascii="Times New Roman" w:eastAsia="Times New Roman" w:hAnsi="Times New Roman" w:cs="Times New Roman"/>
          <w:sz w:val="24"/>
          <w:szCs w:val="24"/>
          <w:lang w:eastAsia="bg-BG"/>
        </w:rPr>
        <w:lastRenderedPageBreak/>
        <w:t>администрация, частния сектор, и неправителствени организации са рамкирани в инфраструктурен проект с многогодишен план за изпълнение, който има за цел да стимулира яхтения и круизен туризъм. Новият круизен пристанищен терминал Марина има амбицията да се превърне в хъб за круизни кораби. Една от стъпките в иновативната програма за развитие на екологосъобразен транспорт е въвеждането на кораби, задвижвани с горивни клетки. Плановете са тези кораби да бъдат използвани в многобройните водни резервати, намиращи се в региона. Стремежът е натрупания опит да бъде използван при изграждането на водородна морска линия, свързваща Констанца (Румъния) с Варна и Бургас (България) и Истан</w:t>
      </w:r>
      <w:r w:rsidR="005520A1">
        <w:rPr>
          <w:rFonts w:ascii="Times New Roman" w:eastAsia="Times New Roman" w:hAnsi="Times New Roman" w:cs="Times New Roman"/>
          <w:sz w:val="24"/>
          <w:szCs w:val="24"/>
          <w:lang w:eastAsia="bg-BG"/>
        </w:rPr>
        <w:t>бул (Турция). В курортните комп</w:t>
      </w:r>
      <w:r w:rsidRPr="00113F39">
        <w:rPr>
          <w:rFonts w:ascii="Times New Roman" w:eastAsia="Times New Roman" w:hAnsi="Times New Roman" w:cs="Times New Roman"/>
          <w:sz w:val="24"/>
          <w:szCs w:val="24"/>
          <w:lang w:eastAsia="bg-BG"/>
        </w:rPr>
        <w:t>л</w:t>
      </w:r>
      <w:r w:rsidR="005520A1">
        <w:rPr>
          <w:rFonts w:ascii="Times New Roman" w:eastAsia="Times New Roman" w:hAnsi="Times New Roman" w:cs="Times New Roman"/>
          <w:sz w:val="24"/>
          <w:szCs w:val="24"/>
          <w:lang w:eastAsia="bg-BG"/>
        </w:rPr>
        <w:t>е</w:t>
      </w:r>
      <w:r w:rsidRPr="00113F39">
        <w:rPr>
          <w:rFonts w:ascii="Times New Roman" w:eastAsia="Times New Roman" w:hAnsi="Times New Roman" w:cs="Times New Roman"/>
          <w:sz w:val="24"/>
          <w:szCs w:val="24"/>
          <w:lang w:eastAsia="bg-BG"/>
        </w:rPr>
        <w:t>кси се предвижда използването на скутери, влакчета, велосипеди. За реализацията на тази идея е сформирано сдружение между Делфин Варна Шипинг, община Бургас, Институт по електрохимия и енергийни системи-БАН, Институт за регионални стратегии-Бургас.</w:t>
      </w:r>
    </w:p>
    <w:p w14:paraId="32FA42BB" w14:textId="77777777" w:rsidR="001F367C" w:rsidRPr="00113F39" w:rsidRDefault="001F367C" w:rsidP="00113F39">
      <w:pPr>
        <w:spacing w:before="120" w:after="0" w:line="240" w:lineRule="auto"/>
        <w:jc w:val="both"/>
        <w:rPr>
          <w:rFonts w:ascii="Times New Roman" w:eastAsia="Times New Roman" w:hAnsi="Times New Roman" w:cs="Times New Roman"/>
          <w:sz w:val="24"/>
          <w:szCs w:val="24"/>
          <w:lang w:eastAsia="bg-BG"/>
        </w:rPr>
      </w:pPr>
    </w:p>
    <w:p w14:paraId="45DED5CD" w14:textId="77777777" w:rsidR="00113F39" w:rsidRPr="001F367C" w:rsidRDefault="00113F39" w:rsidP="001A0506">
      <w:pPr>
        <w:numPr>
          <w:ilvl w:val="0"/>
          <w:numId w:val="23"/>
        </w:numPr>
        <w:spacing w:before="120" w:after="0" w:line="240" w:lineRule="auto"/>
        <w:contextualSpacing/>
        <w:jc w:val="both"/>
        <w:rPr>
          <w:rFonts w:ascii="Times New Roman" w:eastAsia="Times New Roman" w:hAnsi="Times New Roman" w:cs="Times New Roman"/>
          <w:b/>
          <w:sz w:val="24"/>
          <w:szCs w:val="24"/>
          <w:lang w:eastAsia="bg-BG"/>
        </w:rPr>
      </w:pPr>
      <w:r w:rsidRPr="001F367C">
        <w:rPr>
          <w:rFonts w:ascii="Times New Roman" w:eastAsia="Times New Roman" w:hAnsi="Times New Roman" w:cs="Times New Roman"/>
          <w:b/>
          <w:sz w:val="24"/>
          <w:szCs w:val="24"/>
          <w:lang w:eastAsia="bg-BG"/>
        </w:rPr>
        <w:t>Приложения за автомобилния транспорт</w:t>
      </w:r>
    </w:p>
    <w:p w14:paraId="10BCF976" w14:textId="77777777" w:rsidR="00113F39" w:rsidRPr="00113F39" w:rsidRDefault="00113F39" w:rsidP="00280F68">
      <w:pPr>
        <w:spacing w:before="120" w:after="0" w:line="240" w:lineRule="auto"/>
        <w:ind w:firstLine="360"/>
        <w:jc w:val="both"/>
        <w:rPr>
          <w:rFonts w:ascii="Times New Roman" w:eastAsia="Times New Roman" w:hAnsi="Times New Roman" w:cs="Times New Roman"/>
          <w:i/>
          <w:sz w:val="24"/>
          <w:szCs w:val="24"/>
          <w:lang w:eastAsia="bg-BG"/>
        </w:rPr>
      </w:pPr>
      <w:r w:rsidRPr="00113F39">
        <w:rPr>
          <w:rFonts w:ascii="Times New Roman" w:eastAsia="Times New Roman" w:hAnsi="Times New Roman" w:cs="Times New Roman"/>
          <w:i/>
          <w:sz w:val="24"/>
          <w:szCs w:val="24"/>
          <w:lang w:eastAsia="bg-BG"/>
        </w:rPr>
        <w:t>Електрически превозни средства, задвижвани и с горивни клетки, включително и такива с удължен пробег</w:t>
      </w:r>
    </w:p>
    <w:p w14:paraId="3CBACB21"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5914CA">
        <w:rPr>
          <w:rFonts w:ascii="Times New Roman" w:eastAsia="Times New Roman" w:hAnsi="Times New Roman" w:cs="Times New Roman"/>
          <w:sz w:val="24"/>
          <w:szCs w:val="24"/>
          <w:lang w:eastAsia="bg-BG"/>
        </w:rPr>
        <w:t>Към хибридните електрически превозни средства се отнасят и тези, които използват батерия като устройство за съхранение и конверсия на енергия и горивна клетка на база водород (range extender) за увеличаване пробега на превозното средство.</w:t>
      </w:r>
    </w:p>
    <w:p w14:paraId="650F91B8" w14:textId="3E33683B"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Комбинирането на горивни клетки с батерии използва предимствата от двете технологии и обуславя бързото пазарно навлизане на горивните клетки в градския транспорт. Този подход вече е бил използван във Франция в проекта Моби</w:t>
      </w:r>
      <w:r w:rsidR="00941B5E">
        <w:rPr>
          <w:rFonts w:ascii="Times New Roman" w:eastAsia="Times New Roman" w:hAnsi="Times New Roman" w:cs="Times New Roman"/>
          <w:sz w:val="24"/>
          <w:szCs w:val="24"/>
          <w:lang w:eastAsia="bg-BG"/>
        </w:rPr>
        <w:t>лн</w:t>
      </w:r>
      <w:r w:rsidRPr="00113F39">
        <w:rPr>
          <w:rFonts w:ascii="Times New Roman" w:eastAsia="Times New Roman" w:hAnsi="Times New Roman" w:cs="Times New Roman"/>
          <w:sz w:val="24"/>
          <w:szCs w:val="24"/>
          <w:lang w:eastAsia="bg-BG"/>
        </w:rPr>
        <w:t xml:space="preserve">ост, при който електромобилите на френските пощи имат инсталирани малки горивни клетки. Резултатите показват нарастване на ефективността на превозните средства. Този проект е интересен за България поради това, че: </w:t>
      </w:r>
    </w:p>
    <w:p w14:paraId="21562CCB" w14:textId="77777777" w:rsidR="00113F39" w:rsidRPr="00113F39" w:rsidRDefault="00113F39" w:rsidP="00113F39">
      <w:pPr>
        <w:spacing w:before="120"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-съществува експертен опит по отношение на хибридизацията</w:t>
      </w:r>
    </w:p>
    <w:p w14:paraId="02011F46" w14:textId="77777777" w:rsidR="00113F39" w:rsidRPr="00113F39" w:rsidRDefault="00113F39" w:rsidP="00113F39">
      <w:pPr>
        <w:spacing w:before="120"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-електрически ванове се използват от фирми за куриерски доставки</w:t>
      </w:r>
    </w:p>
    <w:p w14:paraId="00196466" w14:textId="77777777" w:rsidR="00113F39" w:rsidRPr="00113F39" w:rsidRDefault="00113F39" w:rsidP="00113F39">
      <w:pPr>
        <w:spacing w:before="120"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-налице е интерес от страна на Столична община за въвеждане на малки хибридни микробуси за превоз на пътници на къси разстояния за бърза връзка с метрото, което е част от Инициативата Зелена енергия в транспорта.</w:t>
      </w:r>
    </w:p>
    <w:p w14:paraId="692D57B9" w14:textId="77777777" w:rsidR="00113F39" w:rsidRPr="00113F39" w:rsidRDefault="00113F39" w:rsidP="00280F68">
      <w:pPr>
        <w:spacing w:before="120" w:after="0" w:line="240" w:lineRule="auto"/>
        <w:ind w:firstLine="708"/>
        <w:jc w:val="both"/>
        <w:rPr>
          <w:rFonts w:ascii="Times New Roman" w:eastAsia="Times New Roman" w:hAnsi="Times New Roman" w:cs="Times New Roman"/>
          <w:i/>
          <w:sz w:val="24"/>
          <w:szCs w:val="24"/>
          <w:lang w:eastAsia="bg-BG"/>
        </w:rPr>
      </w:pPr>
      <w:r w:rsidRPr="00113F39">
        <w:rPr>
          <w:rFonts w:ascii="Times New Roman" w:eastAsia="Times New Roman" w:hAnsi="Times New Roman" w:cs="Times New Roman"/>
          <w:i/>
          <w:sz w:val="24"/>
          <w:szCs w:val="24"/>
          <w:lang w:eastAsia="bg-BG"/>
        </w:rPr>
        <w:t xml:space="preserve">Бордово производство на водород чрез </w:t>
      </w:r>
      <w:r w:rsidRPr="00280F68">
        <w:rPr>
          <w:rFonts w:ascii="Times New Roman" w:eastAsia="Times New Roman" w:hAnsi="Times New Roman" w:cs="Times New Roman"/>
          <w:i/>
          <w:sz w:val="24"/>
          <w:szCs w:val="24"/>
          <w:lang w:eastAsia="bg-BG"/>
        </w:rPr>
        <w:t>реформинг</w:t>
      </w:r>
      <w:r w:rsidRPr="00113F39">
        <w:rPr>
          <w:rFonts w:ascii="Times New Roman" w:eastAsia="Times New Roman" w:hAnsi="Times New Roman" w:cs="Times New Roman"/>
          <w:i/>
          <w:sz w:val="24"/>
          <w:szCs w:val="24"/>
          <w:lang w:eastAsia="bg-BG"/>
        </w:rPr>
        <w:t xml:space="preserve"> на конвенционални горива (за директно впръскване или за горивни клетки)</w:t>
      </w:r>
    </w:p>
    <w:p w14:paraId="0B8B4DAA" w14:textId="77777777" w:rsidR="00113F39" w:rsidRPr="00113F39" w:rsidRDefault="00113F39" w:rsidP="006D09E6">
      <w:pPr>
        <w:spacing w:before="120"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Реформингът на въглеводороди все още е най-евтиният начин за производство на водород. Този подход премахва необходимостта от превозването на водород, както и нуждата от зарядни станции за водород и намалява токсичните емисии и парниковите газове. Съществува потенциална ниша за развитие и производство на спомагателни енергийни агрегати (за кораби и тежкотоварни превозни средства).</w:t>
      </w:r>
    </w:p>
    <w:p w14:paraId="7A2F2628" w14:textId="77777777" w:rsidR="00113F39" w:rsidRPr="00113F39" w:rsidRDefault="00AA325D" w:rsidP="006D09E6">
      <w:pPr>
        <w:spacing w:before="120" w:after="0" w:line="240" w:lineRule="auto"/>
        <w:ind w:firstLine="708"/>
        <w:jc w:val="both"/>
        <w:rPr>
          <w:rFonts w:ascii="Times New Roman" w:eastAsia="Times New Roman" w:hAnsi="Times New Roman" w:cs="Times New Roman"/>
          <w:b/>
          <w:sz w:val="24"/>
          <w:szCs w:val="24"/>
          <w:lang w:eastAsia="bg-BG"/>
        </w:rPr>
      </w:pPr>
      <w:r w:rsidRPr="00113F39">
        <w:rPr>
          <w:rFonts w:ascii="Times New Roman" w:eastAsia="Times New Roman" w:hAnsi="Times New Roman" w:cs="Times New Roman"/>
          <w:sz w:val="24"/>
          <w:szCs w:val="24"/>
          <w:lang w:eastAsia="bg-BG"/>
        </w:rPr>
        <w:t>Н</w:t>
      </w:r>
      <w:r w:rsidR="00113F39" w:rsidRPr="00113F39">
        <w:rPr>
          <w:rFonts w:ascii="Times New Roman" w:eastAsia="Times New Roman" w:hAnsi="Times New Roman" w:cs="Times New Roman"/>
          <w:sz w:val="24"/>
          <w:szCs w:val="24"/>
          <w:lang w:eastAsia="bg-BG"/>
        </w:rPr>
        <w:t>еобходимостта, предимствата и възможностите за развитие на водородните технологии все още не са достатъчно разпространени сред обществото като цяло (индустрия, регионални структури, политици, обществени групи). Опитът натрупан през последните 2-3 години показва, че нашето общество – от индустрия до консуматори, е отворено към водородните технологии, но е слабо запознато с тях.</w:t>
      </w:r>
    </w:p>
    <w:p w14:paraId="7DD7BD98" w14:textId="77777777" w:rsidR="00113F39" w:rsidRPr="00113F39" w:rsidRDefault="00113F39" w:rsidP="00113F39">
      <w:pPr>
        <w:autoSpaceDE w:val="0"/>
        <w:autoSpaceDN w:val="0"/>
        <w:adjustRightInd w:val="0"/>
        <w:spacing w:after="0" w:line="240" w:lineRule="auto"/>
        <w:jc w:val="both"/>
        <w:rPr>
          <w:rFonts w:ascii="Times New Roman" w:hAnsi="Times New Roman" w:cs="Times New Roman"/>
          <w:color w:val="000000"/>
          <w:sz w:val="24"/>
          <w:szCs w:val="24"/>
        </w:rPr>
      </w:pPr>
      <w:r w:rsidRPr="00113F39">
        <w:rPr>
          <w:rFonts w:ascii="Times New Roman" w:hAnsi="Times New Roman" w:cs="Times New Roman"/>
          <w:color w:val="000000"/>
          <w:sz w:val="24"/>
          <w:szCs w:val="24"/>
        </w:rPr>
        <w:t>За това е необходимо:</w:t>
      </w:r>
    </w:p>
    <w:p w14:paraId="5891742B" w14:textId="77777777" w:rsidR="00113F39" w:rsidRPr="00113F39" w:rsidRDefault="00113F39" w:rsidP="001A0506">
      <w:pPr>
        <w:numPr>
          <w:ilvl w:val="0"/>
          <w:numId w:val="2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13F39">
        <w:rPr>
          <w:rFonts w:ascii="Times New Roman" w:hAnsi="Times New Roman" w:cs="Times New Roman"/>
          <w:color w:val="000000"/>
          <w:sz w:val="24"/>
          <w:szCs w:val="24"/>
        </w:rPr>
        <w:t xml:space="preserve">Разработване на организирана информационна политика от страна на </w:t>
      </w:r>
      <w:r w:rsidR="00AA325D">
        <w:rPr>
          <w:rFonts w:ascii="Times New Roman" w:hAnsi="Times New Roman" w:cs="Times New Roman"/>
          <w:color w:val="000000"/>
          <w:sz w:val="24"/>
          <w:szCs w:val="24"/>
        </w:rPr>
        <w:t>публичната администрация (</w:t>
      </w:r>
      <w:r w:rsidRPr="00113F39">
        <w:rPr>
          <w:rFonts w:ascii="Times New Roman" w:hAnsi="Times New Roman" w:cs="Times New Roman"/>
          <w:color w:val="000000"/>
          <w:sz w:val="24"/>
          <w:szCs w:val="24"/>
        </w:rPr>
        <w:t>Министерството на образованието и науката и Министерство на икономиката</w:t>
      </w:r>
      <w:r w:rsidR="00AA325D">
        <w:rPr>
          <w:rFonts w:ascii="Times New Roman" w:hAnsi="Times New Roman" w:cs="Times New Roman"/>
          <w:color w:val="000000"/>
          <w:sz w:val="24"/>
          <w:szCs w:val="24"/>
        </w:rPr>
        <w:t>)</w:t>
      </w:r>
      <w:r w:rsidRPr="00113F39">
        <w:rPr>
          <w:rFonts w:ascii="Times New Roman" w:hAnsi="Times New Roman" w:cs="Times New Roman"/>
          <w:color w:val="000000"/>
          <w:sz w:val="24"/>
          <w:szCs w:val="24"/>
        </w:rPr>
        <w:t xml:space="preserve"> със съдействието на БАН, насочена към: </w:t>
      </w:r>
    </w:p>
    <w:p w14:paraId="5F226A83" w14:textId="77777777" w:rsidR="00113F39" w:rsidRPr="00113F39" w:rsidRDefault="00113F39" w:rsidP="00113F39">
      <w:pPr>
        <w:autoSpaceDE w:val="0"/>
        <w:autoSpaceDN w:val="0"/>
        <w:adjustRightInd w:val="0"/>
        <w:spacing w:after="0" w:line="240" w:lineRule="auto"/>
        <w:jc w:val="both"/>
        <w:rPr>
          <w:rFonts w:ascii="Times New Roman" w:hAnsi="Times New Roman" w:cs="Times New Roman"/>
          <w:color w:val="000000"/>
          <w:sz w:val="24"/>
          <w:szCs w:val="24"/>
        </w:rPr>
      </w:pPr>
      <w:r w:rsidRPr="00113F39">
        <w:rPr>
          <w:rFonts w:ascii="Times New Roman" w:hAnsi="Times New Roman" w:cs="Times New Roman"/>
          <w:color w:val="000000"/>
          <w:sz w:val="24"/>
          <w:szCs w:val="24"/>
        </w:rPr>
        <w:lastRenderedPageBreak/>
        <w:t xml:space="preserve">o Индустриално ориентирани структури (Българска търговско-промишлена палата, Българска стопанска камера, Асоциацията на индустриалния капитал в България; браншови сдружения и фирми (електромобилност, възобновяеми енергийни източници, природен газ, биогорива, производители на горива, електроразпределителни дружества и др.); </w:t>
      </w:r>
    </w:p>
    <w:p w14:paraId="465D1C13" w14:textId="77777777" w:rsidR="00113F39" w:rsidRPr="00113F39" w:rsidRDefault="00113F39" w:rsidP="00113F39">
      <w:pPr>
        <w:autoSpaceDE w:val="0"/>
        <w:autoSpaceDN w:val="0"/>
        <w:adjustRightInd w:val="0"/>
        <w:spacing w:after="0" w:line="240" w:lineRule="auto"/>
        <w:jc w:val="both"/>
        <w:rPr>
          <w:rFonts w:ascii="Times New Roman" w:hAnsi="Times New Roman" w:cs="Times New Roman"/>
          <w:color w:val="000000"/>
          <w:sz w:val="24"/>
          <w:szCs w:val="24"/>
        </w:rPr>
      </w:pPr>
      <w:r w:rsidRPr="00113F39">
        <w:rPr>
          <w:rFonts w:ascii="Times New Roman" w:hAnsi="Times New Roman" w:cs="Times New Roman"/>
          <w:color w:val="000000"/>
          <w:sz w:val="24"/>
          <w:szCs w:val="24"/>
        </w:rPr>
        <w:t xml:space="preserve">o Общините: Софийска община, Асоциацията на Националното сдружение на общините (на Европейско ниво успешно работи Сдружението за партньорство на общините по водород и горивни клетки - European Regions аnd Municipalities Partnership оn Hydrogen аnd Fuel Cells, което партнира в редица демонстрационни проекти); </w:t>
      </w:r>
    </w:p>
    <w:p w14:paraId="7D0AE1BC" w14:textId="77777777" w:rsidR="00113F39" w:rsidRPr="004F35F7" w:rsidRDefault="004F35F7" w:rsidP="001A0506">
      <w:pPr>
        <w:numPr>
          <w:ilvl w:val="0"/>
          <w:numId w:val="24"/>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Разработване на</w:t>
      </w:r>
      <w:r w:rsidR="00113F39" w:rsidRPr="004F35F7">
        <w:rPr>
          <w:rFonts w:ascii="Times New Roman" w:hAnsi="Times New Roman" w:cs="Times New Roman"/>
          <w:color w:val="000000"/>
          <w:sz w:val="24"/>
          <w:szCs w:val="24"/>
        </w:rPr>
        <w:t xml:space="preserve"> стратегически план с приоритети, изградени на базата на: анализ на потенциала, стратегии за използването му (управление), визия за бъдещето; </w:t>
      </w:r>
    </w:p>
    <w:p w14:paraId="2582EB86" w14:textId="77777777" w:rsidR="00113F39" w:rsidRPr="00113F39" w:rsidRDefault="004F35F7" w:rsidP="001A0506">
      <w:pPr>
        <w:numPr>
          <w:ilvl w:val="0"/>
          <w:numId w:val="24"/>
        </w:num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Създаване на база данни с</w:t>
      </w:r>
      <w:r w:rsidR="00113F39" w:rsidRPr="00113F39">
        <w:rPr>
          <w:rFonts w:ascii="Times New Roman" w:hAnsi="Times New Roman" w:cs="Times New Roman"/>
          <w:color w:val="000000"/>
          <w:sz w:val="24"/>
          <w:szCs w:val="24"/>
        </w:rPr>
        <w:t xml:space="preserve"> </w:t>
      </w:r>
      <w:r w:rsidR="00821193">
        <w:rPr>
          <w:rFonts w:ascii="Times New Roman" w:hAnsi="Times New Roman" w:cs="Times New Roman"/>
          <w:color w:val="000000"/>
          <w:sz w:val="24"/>
          <w:szCs w:val="24"/>
        </w:rPr>
        <w:t>добри практики и опита на</w:t>
      </w:r>
      <w:r w:rsidR="00113F39" w:rsidRPr="00113F39">
        <w:rPr>
          <w:rFonts w:ascii="Times New Roman" w:hAnsi="Times New Roman" w:cs="Times New Roman"/>
          <w:color w:val="000000"/>
          <w:sz w:val="24"/>
          <w:szCs w:val="24"/>
        </w:rPr>
        <w:t xml:space="preserve"> други региони, в т.ч. чрез коопериране, базирано на общи цели, ползи</w:t>
      </w:r>
      <w:r>
        <w:rPr>
          <w:rFonts w:ascii="Times New Roman" w:hAnsi="Times New Roman" w:cs="Times New Roman"/>
          <w:color w:val="000000"/>
          <w:sz w:val="24"/>
          <w:szCs w:val="24"/>
        </w:rPr>
        <w:t xml:space="preserve"> и взаимна нужда. Нужна е </w:t>
      </w:r>
      <w:r w:rsidR="00113F39" w:rsidRPr="00113F3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овече </w:t>
      </w:r>
      <w:r w:rsidR="00113F39" w:rsidRPr="00113F39">
        <w:rPr>
          <w:rFonts w:ascii="Times New Roman" w:hAnsi="Times New Roman" w:cs="Times New Roman"/>
          <w:color w:val="000000"/>
          <w:sz w:val="24"/>
          <w:szCs w:val="24"/>
        </w:rPr>
        <w:t>информация от успешни региони, както и от механизми за комбинир</w:t>
      </w:r>
      <w:r>
        <w:rPr>
          <w:rFonts w:ascii="Times New Roman" w:hAnsi="Times New Roman" w:cs="Times New Roman"/>
          <w:color w:val="000000"/>
          <w:sz w:val="24"/>
          <w:szCs w:val="24"/>
        </w:rPr>
        <w:t>а</w:t>
      </w:r>
      <w:r w:rsidR="00113F39" w:rsidRPr="00113F39">
        <w:rPr>
          <w:rFonts w:ascii="Times New Roman" w:hAnsi="Times New Roman" w:cs="Times New Roman"/>
          <w:color w:val="000000"/>
          <w:sz w:val="24"/>
          <w:szCs w:val="24"/>
        </w:rPr>
        <w:t xml:space="preserve">не на национално с европейско съфинансиране. </w:t>
      </w:r>
    </w:p>
    <w:p w14:paraId="2A9241D5" w14:textId="77777777" w:rsidR="00113F39" w:rsidRPr="00113F39" w:rsidRDefault="00113F39" w:rsidP="006D09E6">
      <w:pPr>
        <w:autoSpaceDE w:val="0"/>
        <w:autoSpaceDN w:val="0"/>
        <w:adjustRightInd w:val="0"/>
        <w:spacing w:before="100" w:after="100" w:line="240" w:lineRule="auto"/>
        <w:ind w:firstLine="360"/>
        <w:jc w:val="both"/>
        <w:rPr>
          <w:rFonts w:ascii="Times New Roman" w:hAnsi="Times New Roman" w:cs="Times New Roman"/>
          <w:color w:val="000000"/>
          <w:sz w:val="24"/>
          <w:szCs w:val="24"/>
        </w:rPr>
      </w:pPr>
      <w:r w:rsidRPr="00113F39">
        <w:rPr>
          <w:rFonts w:ascii="Times New Roman" w:hAnsi="Times New Roman" w:cs="Times New Roman"/>
          <w:color w:val="000000"/>
          <w:sz w:val="24"/>
          <w:szCs w:val="24"/>
        </w:rPr>
        <w:t>В заключение следва да отбележим,</w:t>
      </w:r>
      <w:r w:rsidRPr="007C469F">
        <w:rPr>
          <w:rFonts w:ascii="Times New Roman" w:hAnsi="Times New Roman" w:cs="Times New Roman"/>
          <w:color w:val="000000"/>
          <w:sz w:val="24"/>
          <w:szCs w:val="24"/>
        </w:rPr>
        <w:t xml:space="preserve"> </w:t>
      </w:r>
      <w:r w:rsidRPr="00113F39">
        <w:rPr>
          <w:rFonts w:ascii="Times New Roman" w:hAnsi="Times New Roman" w:cs="Times New Roman"/>
          <w:color w:val="000000"/>
          <w:sz w:val="24"/>
          <w:szCs w:val="24"/>
        </w:rPr>
        <w:t>че за развитието на описаните потенциалните ниши в областта на водородните технологии е необходима координирана целенасочена дейност, приоритизиране, съобразено с реалностите (икономически и практически), адаптиране на обществото към водородните технологии и институционално съдействие за ефективно използване на наличните механизми.</w:t>
      </w:r>
    </w:p>
    <w:p w14:paraId="47F44D2A" w14:textId="77777777" w:rsidR="00113F39" w:rsidRPr="00113F39" w:rsidRDefault="00113F39" w:rsidP="00113F39">
      <w:pPr>
        <w:spacing w:after="0"/>
        <w:rPr>
          <w:rFonts w:ascii="Times New Roman" w:hAnsi="Times New Roman" w:cs="Times New Roman"/>
          <w:b/>
          <w:sz w:val="24"/>
          <w:szCs w:val="24"/>
        </w:rPr>
      </w:pPr>
    </w:p>
    <w:p w14:paraId="0241145C" w14:textId="77777777" w:rsidR="00113F39" w:rsidRPr="00594C88" w:rsidRDefault="001B1979" w:rsidP="00EE194E">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EC3B3C">
        <w:rPr>
          <w:rFonts w:ascii="Times New Roman" w:hAnsi="Times New Roman" w:cs="Times New Roman"/>
          <w:b/>
          <w:sz w:val="24"/>
          <w:szCs w:val="24"/>
        </w:rPr>
        <w:t>.</w:t>
      </w:r>
      <w:r w:rsidR="001F367C">
        <w:rPr>
          <w:rFonts w:ascii="Times New Roman" w:hAnsi="Times New Roman" w:cs="Times New Roman"/>
          <w:b/>
          <w:sz w:val="24"/>
          <w:szCs w:val="24"/>
        </w:rPr>
        <w:t xml:space="preserve"> </w:t>
      </w:r>
      <w:r w:rsidR="00594C88" w:rsidRPr="00594C88">
        <w:rPr>
          <w:rFonts w:ascii="Times New Roman" w:hAnsi="Times New Roman" w:cs="Times New Roman"/>
          <w:b/>
          <w:sz w:val="24"/>
          <w:szCs w:val="24"/>
        </w:rPr>
        <w:t>Актуално състояние на инфраструктурата за алтернативни горива във водния транспорт</w:t>
      </w:r>
    </w:p>
    <w:p w14:paraId="15B6C792" w14:textId="77777777" w:rsidR="00986483" w:rsidRPr="00986483" w:rsidRDefault="00986483" w:rsidP="00986483">
      <w:pPr>
        <w:ind w:firstLine="708"/>
        <w:jc w:val="both"/>
        <w:rPr>
          <w:rFonts w:ascii="Times New Roman" w:hAnsi="Times New Roman" w:cs="Times New Roman"/>
          <w:sz w:val="24"/>
          <w:szCs w:val="24"/>
        </w:rPr>
      </w:pPr>
      <w:r w:rsidRPr="00986483">
        <w:rPr>
          <w:rFonts w:ascii="Times New Roman" w:hAnsi="Times New Roman" w:cs="Times New Roman"/>
          <w:sz w:val="24"/>
          <w:szCs w:val="24"/>
        </w:rPr>
        <w:t>Перспективите за развитие на пристанищата и пристанищните терминали в Република България в голяма степен са свързани с видовете и количествата товари, които се обработват на тях. В тази връзка основното усилие следва да бъде насочено към осигуряване на възможности за повишаване на товарния и пътническия трафик и развитие на водния транспорт в съответствие с европейската транспортната политика.</w:t>
      </w:r>
      <w:r w:rsidRPr="00986483">
        <w:rPr>
          <w:rFonts w:ascii="Times New Roman" w:hAnsi="Times New Roman" w:cs="Times New Roman"/>
          <w:sz w:val="24"/>
          <w:szCs w:val="24"/>
          <w:lang w:val="ru-RU"/>
        </w:rPr>
        <w:t xml:space="preserve"> </w:t>
      </w:r>
      <w:r w:rsidRPr="00986483">
        <w:rPr>
          <w:rFonts w:ascii="Times New Roman" w:hAnsi="Times New Roman" w:cs="Times New Roman"/>
          <w:sz w:val="24"/>
          <w:szCs w:val="24"/>
        </w:rPr>
        <w:t xml:space="preserve">От съществено значение в тази насока е създаването на благоприятни условия за модернизиране на съществуващата инфраструктура и подобряване на техническото й състояние. Дългосрочният подход при определянето на тенденциите за развитие на пристанищата следва да осигурява предприемането на мерки за по-доброто интегриране на българските пристанища в европейската транспортна система, което отчасти се свързва с осигуряване на висока степен на безопасност и сигурност на транспорта, както и ограничаване на вредното му въздействие върху околната среда и здравето на хората. </w:t>
      </w:r>
    </w:p>
    <w:p w14:paraId="2012DDB9" w14:textId="77777777" w:rsidR="00986483" w:rsidRPr="00986483" w:rsidRDefault="00986483" w:rsidP="00986483">
      <w:pPr>
        <w:ind w:firstLine="708"/>
        <w:jc w:val="both"/>
        <w:rPr>
          <w:rFonts w:ascii="Times New Roman" w:hAnsi="Times New Roman" w:cs="Times New Roman"/>
          <w:sz w:val="24"/>
          <w:szCs w:val="24"/>
        </w:rPr>
      </w:pPr>
      <w:r w:rsidRPr="00986483">
        <w:rPr>
          <w:rFonts w:ascii="Times New Roman" w:hAnsi="Times New Roman" w:cs="Times New Roman"/>
          <w:sz w:val="24"/>
          <w:szCs w:val="24"/>
        </w:rPr>
        <w:t xml:space="preserve">Създаването на условия за изграждане, развитие и поддържане на инфраструктура за алтернативни горива за водния транспорт в значителна степен ще подпомогне интегрирането на българските пристанища в европейската транспортна система. Към настоящия момент по отношение на водния транспорт в Република България следните алтернативни горива </w:t>
      </w:r>
      <w:r>
        <w:rPr>
          <w:rFonts w:ascii="Times New Roman" w:hAnsi="Times New Roman" w:cs="Times New Roman"/>
          <w:sz w:val="24"/>
          <w:szCs w:val="24"/>
        </w:rPr>
        <w:t>са отразени</w:t>
      </w:r>
      <w:r w:rsidRPr="00986483">
        <w:rPr>
          <w:rFonts w:ascii="Times New Roman" w:hAnsi="Times New Roman" w:cs="Times New Roman"/>
          <w:sz w:val="24"/>
          <w:szCs w:val="24"/>
        </w:rPr>
        <w:t xml:space="preserve"> в</w:t>
      </w:r>
      <w:r>
        <w:rPr>
          <w:rFonts w:ascii="Times New Roman" w:hAnsi="Times New Roman" w:cs="Times New Roman"/>
          <w:sz w:val="24"/>
          <w:szCs w:val="24"/>
        </w:rPr>
        <w:t xml:space="preserve"> н</w:t>
      </w:r>
      <w:r w:rsidRPr="00986483">
        <w:rPr>
          <w:rFonts w:ascii="Times New Roman" w:hAnsi="Times New Roman" w:cs="Times New Roman"/>
          <w:sz w:val="24"/>
          <w:szCs w:val="24"/>
        </w:rPr>
        <w:t>ационалната рамка за политиката: снабдяване на транспорта с електроенергия (брегово електроснабдяване)  и снабдяване на транспорта с втечнен природен газ.</w:t>
      </w:r>
    </w:p>
    <w:p w14:paraId="0ED0B6BC" w14:textId="77777777" w:rsidR="00113F39" w:rsidRDefault="00113F39" w:rsidP="00F17EF7">
      <w:pPr>
        <w:spacing w:after="0"/>
        <w:rPr>
          <w:rFonts w:ascii="Times New Roman" w:hAnsi="Times New Roman" w:cs="Times New Roman"/>
          <w:b/>
          <w:sz w:val="24"/>
          <w:szCs w:val="24"/>
        </w:rPr>
      </w:pPr>
    </w:p>
    <w:p w14:paraId="77FF0A6F" w14:textId="77777777" w:rsidR="0089314C" w:rsidRPr="002C36F8" w:rsidRDefault="00EE194E" w:rsidP="00F17EF7">
      <w:pPr>
        <w:spacing w:after="0"/>
        <w:rPr>
          <w:rFonts w:ascii="Times New Roman" w:hAnsi="Times New Roman" w:cs="Times New Roman"/>
          <w:b/>
          <w:sz w:val="24"/>
          <w:szCs w:val="24"/>
        </w:rPr>
      </w:pPr>
      <w:r>
        <w:rPr>
          <w:rFonts w:ascii="Times New Roman" w:hAnsi="Times New Roman" w:cs="Times New Roman"/>
          <w:b/>
          <w:sz w:val="24"/>
          <w:szCs w:val="24"/>
        </w:rPr>
        <w:t>8</w:t>
      </w:r>
      <w:r w:rsidR="00FF63D8">
        <w:rPr>
          <w:rFonts w:ascii="Times New Roman" w:hAnsi="Times New Roman" w:cs="Times New Roman"/>
          <w:b/>
          <w:sz w:val="24"/>
          <w:szCs w:val="24"/>
        </w:rPr>
        <w:t>.</w:t>
      </w:r>
      <w:r w:rsidR="00594C88">
        <w:rPr>
          <w:rFonts w:ascii="Times New Roman" w:hAnsi="Times New Roman" w:cs="Times New Roman"/>
          <w:b/>
          <w:sz w:val="24"/>
          <w:szCs w:val="24"/>
        </w:rPr>
        <w:t>1</w:t>
      </w:r>
      <w:r w:rsidR="00FF63D8">
        <w:rPr>
          <w:rFonts w:ascii="Times New Roman" w:hAnsi="Times New Roman" w:cs="Times New Roman"/>
          <w:b/>
          <w:sz w:val="24"/>
          <w:szCs w:val="24"/>
        </w:rPr>
        <w:t xml:space="preserve"> </w:t>
      </w:r>
      <w:r w:rsidR="00554C19" w:rsidRPr="002C36F8">
        <w:rPr>
          <w:rFonts w:ascii="Times New Roman" w:eastAsia="Times New Roman" w:hAnsi="Times New Roman" w:cs="Times New Roman"/>
          <w:b/>
          <w:i/>
          <w:sz w:val="24"/>
          <w:szCs w:val="24"/>
          <w:lang w:eastAsia="bg-BG"/>
        </w:rPr>
        <w:t>Наземно електроснабдяване в пристанища</w:t>
      </w:r>
      <w:r w:rsidR="005278D2">
        <w:rPr>
          <w:rFonts w:ascii="Times New Roman" w:eastAsia="Times New Roman" w:hAnsi="Times New Roman" w:cs="Times New Roman"/>
          <w:b/>
          <w:i/>
          <w:sz w:val="24"/>
          <w:szCs w:val="24"/>
          <w:lang w:eastAsia="bg-BG"/>
        </w:rPr>
        <w:t xml:space="preserve">та </w:t>
      </w:r>
      <w:r w:rsidR="00554C19" w:rsidRPr="002C36F8">
        <w:rPr>
          <w:rFonts w:ascii="Times New Roman" w:eastAsia="Times New Roman" w:hAnsi="Times New Roman" w:cs="Times New Roman"/>
          <w:b/>
          <w:i/>
          <w:sz w:val="24"/>
          <w:szCs w:val="24"/>
          <w:lang w:eastAsia="bg-BG"/>
        </w:rPr>
        <w:t xml:space="preserve"> </w:t>
      </w:r>
    </w:p>
    <w:tbl>
      <w:tblPr>
        <w:tblW w:w="8505" w:type="dxa"/>
        <w:tblLayout w:type="fixed"/>
        <w:tblCellMar>
          <w:left w:w="0" w:type="dxa"/>
          <w:right w:w="0" w:type="dxa"/>
        </w:tblCellMar>
        <w:tblLook w:val="0000" w:firstRow="0" w:lastRow="0" w:firstColumn="0" w:lastColumn="0" w:noHBand="0" w:noVBand="0"/>
      </w:tblPr>
      <w:tblGrid>
        <w:gridCol w:w="8505"/>
      </w:tblGrid>
      <w:tr w:rsidR="0089314C" w:rsidRPr="002C36F8" w14:paraId="700E1379" w14:textId="77777777" w:rsidTr="00C2633F">
        <w:trPr>
          <w:trHeight w:val="304"/>
        </w:trPr>
        <w:tc>
          <w:tcPr>
            <w:tcW w:w="8505" w:type="dxa"/>
            <w:shd w:val="clear" w:color="auto" w:fill="auto"/>
            <w:vAlign w:val="bottom"/>
          </w:tcPr>
          <w:p w14:paraId="0E4030C0" w14:textId="77777777" w:rsidR="00DE0D68" w:rsidRPr="002C36F8" w:rsidRDefault="00DE0D68" w:rsidP="0089314C">
            <w:pPr>
              <w:spacing w:after="0" w:line="240" w:lineRule="auto"/>
              <w:jc w:val="both"/>
              <w:rPr>
                <w:rFonts w:ascii="Times New Roman" w:eastAsia="Times New Roman" w:hAnsi="Times New Roman" w:cs="Times New Roman"/>
                <w:b/>
                <w:sz w:val="24"/>
                <w:szCs w:val="24"/>
                <w:u w:val="single"/>
                <w:lang w:eastAsia="bg-BG"/>
              </w:rPr>
            </w:pPr>
          </w:p>
          <w:p w14:paraId="4F9AE2EE" w14:textId="77777777" w:rsidR="005278D2" w:rsidRDefault="0089314C" w:rsidP="005411A6">
            <w:pPr>
              <w:spacing w:after="0" w:line="240" w:lineRule="auto"/>
              <w:ind w:left="567" w:hanging="567"/>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b/>
                <w:i/>
                <w:sz w:val="24"/>
                <w:szCs w:val="24"/>
                <w:lang w:eastAsia="bg-BG"/>
              </w:rPr>
              <w:t>Наземно електроснабдяване в морски</w:t>
            </w:r>
            <w:r w:rsidR="005278D2">
              <w:rPr>
                <w:rFonts w:ascii="Times New Roman" w:eastAsia="Times New Roman" w:hAnsi="Times New Roman" w:cs="Times New Roman"/>
                <w:b/>
                <w:i/>
                <w:sz w:val="24"/>
                <w:szCs w:val="24"/>
                <w:lang w:eastAsia="bg-BG"/>
              </w:rPr>
              <w:t>те пристанища и пристанищата по</w:t>
            </w:r>
          </w:p>
          <w:p w14:paraId="0400B29C" w14:textId="77777777" w:rsidR="00DE0D68" w:rsidRPr="002C36F8" w:rsidRDefault="0089314C" w:rsidP="005411A6">
            <w:pPr>
              <w:spacing w:after="0" w:line="240" w:lineRule="auto"/>
              <w:ind w:left="567" w:hanging="567"/>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b/>
                <w:i/>
                <w:sz w:val="24"/>
                <w:szCs w:val="24"/>
                <w:lang w:eastAsia="bg-BG"/>
              </w:rPr>
              <w:t xml:space="preserve">вътрешните водни пътища </w:t>
            </w:r>
          </w:p>
          <w:p w14:paraId="29D0BE99" w14:textId="77777777" w:rsidR="0089314C" w:rsidRPr="002C36F8" w:rsidRDefault="0089314C" w:rsidP="00DE0D68">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lastRenderedPageBreak/>
              <w:t>От член 4 на Директива 2014/94/ЕС произтича изискването към държавите членки, в рамките на вътрешнодържавната политика, да бъде оценена и необ</w:t>
            </w:r>
            <w:r w:rsidRPr="002C36F8">
              <w:rPr>
                <w:rFonts w:ascii="Times New Roman" w:eastAsia="Times New Roman" w:hAnsi="Times New Roman" w:cs="Times New Roman"/>
                <w:sz w:val="24"/>
                <w:szCs w:val="24"/>
                <w:lang w:eastAsia="bg-BG"/>
              </w:rPr>
              <w:softHyphen/>
              <w:t>ходимостта от доставки на електричество за плавателните съдове по вътрешните водни пътища и морските кораби в морските и вътрешните пристанища. Според Директивата доставянето на електричество следва да бъде инсталирано с предимство в пристанищата от основната TEN-T мрежа, като това следва да стане до 31 декември 2025 г., в противен случай не е необходимо инсталиране, след като няма търсене и разходите не отговарят на ползите, включително и принос към околната среда.</w:t>
            </w:r>
          </w:p>
          <w:p w14:paraId="482CC8B3" w14:textId="77777777" w:rsidR="0089314C" w:rsidRPr="002C36F8" w:rsidRDefault="0089314C" w:rsidP="00DE0D68">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Снабдяването на корабите с електрическа енергия е морско-техническа услуга, която се предоставя на пристанищата за обществен транспорт от пристанищните оператори. Към настоящия момент услугата е налична на голям брой терминали от пристанищата в Република България, както за обществен транспорт с национално и регионално значение, така и на редица яхтени, рибарски и пристанища със специално предназначение. Възможността за предоставяне на услугата се вписва в Удостоверението за експлоатационна годност, издадено на съответното пристанище. </w:t>
            </w:r>
          </w:p>
          <w:p w14:paraId="791C620D" w14:textId="77777777" w:rsidR="0089314C" w:rsidRPr="002C36F8" w:rsidRDefault="0089314C" w:rsidP="00DE0D68">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Общият брой пристанища и пристанищни терминали (морски и речни, с национално и с регионално значение</w:t>
            </w:r>
            <w:r w:rsidRPr="002C36F8">
              <w:rPr>
                <w:rFonts w:ascii="Times New Roman" w:eastAsia="Times New Roman" w:hAnsi="Times New Roman" w:cs="Times New Roman"/>
                <w:sz w:val="24"/>
                <w:szCs w:val="24"/>
                <w:vertAlign w:val="superscript"/>
                <w:lang w:eastAsia="bg-BG"/>
              </w:rPr>
              <w:footnoteReference w:id="12"/>
            </w:r>
            <w:r w:rsidRPr="002C36F8">
              <w:rPr>
                <w:rFonts w:ascii="Times New Roman" w:eastAsia="Times New Roman" w:hAnsi="Times New Roman" w:cs="Times New Roman"/>
                <w:sz w:val="24"/>
                <w:szCs w:val="24"/>
                <w:lang w:eastAsia="bg-BG"/>
              </w:rPr>
              <w:t xml:space="preserve">, разположени в рамките на основната и широкообхватната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val="ru-RU" w:eastAsia="bg-BG"/>
              </w:rPr>
              <w:t xml:space="preserve"> </w:t>
            </w:r>
            <w:r w:rsidRPr="002C36F8">
              <w:rPr>
                <w:rFonts w:ascii="Times New Roman" w:eastAsia="Times New Roman" w:hAnsi="Times New Roman" w:cs="Times New Roman"/>
                <w:sz w:val="24"/>
                <w:szCs w:val="24"/>
                <w:lang w:eastAsia="bg-BG"/>
              </w:rPr>
              <w:t>мрежа), на които се предоставя услугата по данн</w:t>
            </w:r>
            <w:r w:rsidR="005278D2">
              <w:rPr>
                <w:rFonts w:ascii="Times New Roman" w:eastAsia="Times New Roman" w:hAnsi="Times New Roman" w:cs="Times New Roman"/>
                <w:sz w:val="24"/>
                <w:szCs w:val="24"/>
                <w:lang w:eastAsia="bg-BG"/>
              </w:rPr>
              <w:t>и за периода до края на 2015 г. са</w:t>
            </w:r>
            <w:r w:rsidRPr="002C36F8">
              <w:rPr>
                <w:rFonts w:ascii="Times New Roman" w:eastAsia="Times New Roman" w:hAnsi="Times New Roman" w:cs="Times New Roman"/>
                <w:sz w:val="24"/>
                <w:szCs w:val="24"/>
                <w:lang w:eastAsia="bg-BG"/>
              </w:rPr>
              <w:t xml:space="preserve"> 31 бр</w:t>
            </w:r>
            <w:r w:rsidR="005278D2">
              <w:rPr>
                <w:rFonts w:ascii="Times New Roman" w:eastAsia="Times New Roman" w:hAnsi="Times New Roman" w:cs="Times New Roman"/>
                <w:sz w:val="24"/>
                <w:szCs w:val="24"/>
                <w:lang w:eastAsia="bg-BG"/>
              </w:rPr>
              <w:t>оя</w:t>
            </w:r>
            <w:r w:rsidRPr="002C36F8">
              <w:rPr>
                <w:rFonts w:ascii="Times New Roman" w:eastAsia="Times New Roman" w:hAnsi="Times New Roman" w:cs="Times New Roman"/>
                <w:sz w:val="24"/>
                <w:szCs w:val="24"/>
                <w:lang w:eastAsia="bg-BG"/>
              </w:rPr>
              <w:t>.</w:t>
            </w:r>
          </w:p>
          <w:p w14:paraId="50EA838F" w14:textId="77777777" w:rsidR="0089314C" w:rsidRPr="002C36F8" w:rsidRDefault="0089314C" w:rsidP="0089314C">
            <w:pPr>
              <w:spacing w:after="0" w:line="240" w:lineRule="auto"/>
              <w:jc w:val="both"/>
              <w:rPr>
                <w:rFonts w:ascii="Times New Roman" w:eastAsia="Times New Roman" w:hAnsi="Times New Roman" w:cs="Times New Roman"/>
                <w:sz w:val="24"/>
                <w:szCs w:val="24"/>
                <w:lang w:eastAsia="bg-BG"/>
              </w:rPr>
            </w:pPr>
          </w:p>
          <w:p w14:paraId="4FC5E216" w14:textId="77777777" w:rsidR="00DE0D68" w:rsidRPr="002C36F8" w:rsidRDefault="00EE194E" w:rsidP="005411A6">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i/>
                <w:sz w:val="24"/>
                <w:szCs w:val="24"/>
                <w:lang w:eastAsia="bg-BG"/>
              </w:rPr>
              <w:t>8</w:t>
            </w:r>
            <w:r w:rsidR="00554C19">
              <w:rPr>
                <w:rFonts w:ascii="Times New Roman" w:eastAsia="Times New Roman" w:hAnsi="Times New Roman" w:cs="Times New Roman"/>
                <w:b/>
                <w:i/>
                <w:sz w:val="24"/>
                <w:szCs w:val="24"/>
                <w:lang w:eastAsia="bg-BG"/>
              </w:rPr>
              <w:t>.1</w:t>
            </w:r>
            <w:r w:rsidR="00594C88">
              <w:rPr>
                <w:rFonts w:ascii="Times New Roman" w:eastAsia="Times New Roman" w:hAnsi="Times New Roman" w:cs="Times New Roman"/>
                <w:b/>
                <w:i/>
                <w:sz w:val="24"/>
                <w:szCs w:val="24"/>
                <w:lang w:eastAsia="bg-BG"/>
              </w:rPr>
              <w:t>.1</w:t>
            </w:r>
            <w:r w:rsidR="00DE0D68" w:rsidRPr="002C36F8">
              <w:rPr>
                <w:rFonts w:ascii="Times New Roman" w:eastAsia="Times New Roman" w:hAnsi="Times New Roman" w:cs="Times New Roman"/>
                <w:b/>
                <w:i/>
                <w:sz w:val="24"/>
                <w:szCs w:val="24"/>
                <w:lang w:eastAsia="bg-BG"/>
              </w:rPr>
              <w:t xml:space="preserve"> </w:t>
            </w:r>
            <w:r w:rsidR="0089314C" w:rsidRPr="002C36F8">
              <w:rPr>
                <w:rFonts w:ascii="Times New Roman" w:eastAsia="Times New Roman" w:hAnsi="Times New Roman" w:cs="Times New Roman"/>
                <w:b/>
                <w:i/>
                <w:sz w:val="24"/>
                <w:szCs w:val="24"/>
                <w:lang w:eastAsia="bg-BG"/>
              </w:rPr>
              <w:t>Морски пристанища по основната TEN-T мрежа</w:t>
            </w:r>
          </w:p>
          <w:p w14:paraId="757F375D" w14:textId="77777777" w:rsidR="0089314C" w:rsidRPr="002C36F8" w:rsidRDefault="0089314C" w:rsidP="006D09E6">
            <w:pPr>
              <w:spacing w:after="12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Географското разпределение на пристанищата и пристанищните терминали на Република България, на които се извършва снабдяване на корабите с електрическа енергия е равномерно. </w:t>
            </w:r>
          </w:p>
          <w:p w14:paraId="2C7BCEAB" w14:textId="77777777" w:rsidR="0089314C" w:rsidRPr="002C36F8" w:rsidRDefault="0089314C" w:rsidP="006D09E6">
            <w:pPr>
              <w:spacing w:after="12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Морските пристанища и пристанищни терминали (с национално и с регионално значение) в рамките на основната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eastAsia="bg-BG"/>
              </w:rPr>
              <w:t xml:space="preserve"> мрежа, които предоставят услугата са 7 на брой.</w:t>
            </w:r>
          </w:p>
          <w:p w14:paraId="24B42E8B" w14:textId="77777777" w:rsidR="00E210A7" w:rsidRDefault="0089314C" w:rsidP="006D09E6">
            <w:pPr>
              <w:spacing w:after="12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Обхванати са следните морски пристанища и терминали, разположени в рамките на основната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eastAsia="bg-BG"/>
              </w:rPr>
              <w:t xml:space="preserve"> мрежа</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eastAsia="bg-BG"/>
              </w:rPr>
              <w:t xml:space="preserve"> </w:t>
            </w:r>
          </w:p>
          <w:p w14:paraId="2F6A5BB8" w14:textId="77777777" w:rsidR="0089314C" w:rsidRPr="00C2633F" w:rsidRDefault="0089314C" w:rsidP="006D09E6">
            <w:pPr>
              <w:spacing w:after="120" w:line="240" w:lineRule="auto"/>
              <w:ind w:firstLine="567"/>
              <w:jc w:val="both"/>
              <w:rPr>
                <w:rFonts w:ascii="Times New Roman" w:eastAsia="Times New Roman" w:hAnsi="Times New Roman" w:cs="Times New Roman"/>
                <w:sz w:val="24"/>
                <w:szCs w:val="24"/>
                <w:lang w:eastAsia="bg-BG"/>
              </w:rPr>
            </w:pPr>
            <w:r w:rsidRPr="00C2633F">
              <w:rPr>
                <w:rFonts w:ascii="Times New Roman" w:eastAsia="Times New Roman" w:hAnsi="Times New Roman" w:cs="Times New Roman"/>
                <w:sz w:val="24"/>
                <w:szCs w:val="24"/>
                <w:lang w:eastAsia="bg-BG"/>
              </w:rPr>
              <w:t xml:space="preserve">Пристанище за обществен транспорт с национално значение Бургас, включващо терминали: Бургас-изток-1, Бургас-изток-2, Бургас-запад, Несебър, </w:t>
            </w:r>
            <w:r w:rsidRPr="00C2633F">
              <w:rPr>
                <w:rFonts w:ascii="Times New Roman" w:eastAsia="Times New Roman" w:hAnsi="Times New Roman" w:cs="Times New Roman"/>
                <w:sz w:val="24"/>
                <w:szCs w:val="24"/>
                <w:lang w:val="ru-RU" w:eastAsia="bg-BG"/>
              </w:rPr>
              <w:t>“</w:t>
            </w:r>
            <w:r w:rsidRPr="00C2633F">
              <w:rPr>
                <w:rFonts w:ascii="Times New Roman" w:eastAsia="Times New Roman" w:hAnsi="Times New Roman" w:cs="Times New Roman"/>
                <w:sz w:val="24"/>
                <w:szCs w:val="24"/>
                <w:lang w:eastAsia="bg-BG"/>
              </w:rPr>
              <w:t>Росенец</w:t>
            </w:r>
            <w:r w:rsidR="005278D2" w:rsidRPr="00C2633F">
              <w:rPr>
                <w:rFonts w:ascii="Times New Roman" w:eastAsia="Times New Roman" w:hAnsi="Times New Roman" w:cs="Times New Roman"/>
                <w:sz w:val="24"/>
                <w:szCs w:val="24"/>
                <w:lang w:eastAsia="bg-BG"/>
              </w:rPr>
              <w:t>“.</w:t>
            </w:r>
            <w:r w:rsidRPr="00C2633F">
              <w:rPr>
                <w:rFonts w:ascii="Times New Roman" w:eastAsia="Times New Roman" w:hAnsi="Times New Roman" w:cs="Times New Roman"/>
                <w:sz w:val="24"/>
                <w:szCs w:val="24"/>
                <w:lang w:eastAsia="bg-BG"/>
              </w:rPr>
              <w:t xml:space="preserve"> </w:t>
            </w:r>
          </w:p>
          <w:p w14:paraId="1E4D77CA" w14:textId="77777777" w:rsidR="00E210A7" w:rsidRPr="00E210A7" w:rsidRDefault="00E210A7" w:rsidP="006D09E6">
            <w:pPr>
              <w:spacing w:after="120" w:line="240" w:lineRule="auto"/>
              <w:ind w:firstLine="708"/>
              <w:jc w:val="both"/>
              <w:rPr>
                <w:lang w:val="ru-RU"/>
              </w:rPr>
            </w:pP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Порт България Уест</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Трансстрой-Бургас</w:t>
            </w:r>
            <w:r w:rsidRPr="00C2633F">
              <w:rPr>
                <w:lang w:val="ru-RU"/>
              </w:rPr>
              <w:t>”;</w:t>
            </w:r>
            <w:r>
              <w:rPr>
                <w:lang w:val="ru-RU"/>
              </w:rPr>
              <w:t xml:space="preserve"> </w:t>
            </w:r>
          </w:p>
          <w:p w14:paraId="1CF940F9" w14:textId="77777777" w:rsidR="0089314C" w:rsidRPr="002C36F8" w:rsidRDefault="0089314C" w:rsidP="006D09E6">
            <w:pPr>
              <w:spacing w:after="120" w:line="240" w:lineRule="auto"/>
              <w:jc w:val="both"/>
              <w:rPr>
                <w:rFonts w:ascii="Times New Roman" w:eastAsia="Times New Roman" w:hAnsi="Times New Roman" w:cs="Times New Roman"/>
                <w:sz w:val="24"/>
                <w:szCs w:val="24"/>
                <w:lang w:val="ru-RU" w:eastAsia="bg-BG"/>
              </w:rPr>
            </w:pPr>
            <w:r w:rsidRPr="002C36F8">
              <w:rPr>
                <w:rFonts w:ascii="Times New Roman" w:eastAsia="Times New Roman" w:hAnsi="Times New Roman" w:cs="Times New Roman"/>
                <w:sz w:val="24"/>
                <w:szCs w:val="24"/>
                <w:lang w:eastAsia="bg-BG"/>
              </w:rPr>
              <w:t>При сравняване на данните за броя на пристанищата и пристанищните терминали, на които се извършва снабдяване на кораби с електрическа енергия от брега към края на 2015 г. и настоящия момент, се наблюдава нарастваща тенденция.</w:t>
            </w:r>
          </w:p>
          <w:p w14:paraId="213E59F7" w14:textId="77777777" w:rsidR="0089314C" w:rsidRPr="002C36F8" w:rsidRDefault="0089314C" w:rsidP="0089314C">
            <w:pPr>
              <w:spacing w:after="0" w:line="240" w:lineRule="auto"/>
              <w:jc w:val="both"/>
              <w:rPr>
                <w:rFonts w:ascii="Times New Roman" w:eastAsia="Times New Roman" w:hAnsi="Times New Roman" w:cs="Times New Roman"/>
                <w:sz w:val="24"/>
                <w:szCs w:val="24"/>
                <w:lang w:eastAsia="bg-BG"/>
              </w:rPr>
            </w:pPr>
          </w:p>
        </w:tc>
      </w:tr>
      <w:tr w:rsidR="0089314C" w:rsidRPr="002C36F8" w14:paraId="1D1862F5" w14:textId="77777777" w:rsidTr="00C2633F">
        <w:trPr>
          <w:trHeight w:val="302"/>
        </w:trPr>
        <w:tc>
          <w:tcPr>
            <w:tcW w:w="8505" w:type="dxa"/>
            <w:shd w:val="clear" w:color="auto" w:fill="auto"/>
            <w:vAlign w:val="bottom"/>
          </w:tcPr>
          <w:p w14:paraId="670DF261" w14:textId="77777777" w:rsidR="00DE0D68" w:rsidRPr="00554C19" w:rsidRDefault="00EE194E" w:rsidP="00554C19">
            <w:pPr>
              <w:spacing w:after="0" w:line="240" w:lineRule="auto"/>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lastRenderedPageBreak/>
              <w:t>8</w:t>
            </w:r>
            <w:r w:rsidR="00594C88">
              <w:rPr>
                <w:rFonts w:ascii="Times New Roman" w:eastAsia="Times New Roman" w:hAnsi="Times New Roman" w:cs="Times New Roman"/>
                <w:b/>
                <w:i/>
                <w:color w:val="000000"/>
                <w:sz w:val="24"/>
                <w:szCs w:val="24"/>
                <w:lang w:eastAsia="bg-BG"/>
              </w:rPr>
              <w:t>.1.2</w:t>
            </w:r>
            <w:r w:rsidR="00554C19">
              <w:rPr>
                <w:rFonts w:ascii="Times New Roman" w:eastAsia="Times New Roman" w:hAnsi="Times New Roman" w:cs="Times New Roman"/>
                <w:b/>
                <w:i/>
                <w:color w:val="000000"/>
                <w:sz w:val="24"/>
                <w:szCs w:val="24"/>
                <w:lang w:eastAsia="bg-BG"/>
              </w:rPr>
              <w:t xml:space="preserve"> </w:t>
            </w:r>
            <w:r w:rsidR="0089314C" w:rsidRPr="00554C19">
              <w:rPr>
                <w:rFonts w:ascii="Times New Roman" w:eastAsia="Times New Roman" w:hAnsi="Times New Roman" w:cs="Times New Roman"/>
                <w:b/>
                <w:i/>
                <w:color w:val="000000"/>
                <w:sz w:val="24"/>
                <w:szCs w:val="24"/>
                <w:lang w:eastAsia="bg-BG"/>
              </w:rPr>
              <w:t>Морски пристанища извън основната TEN-T мрежа</w:t>
            </w:r>
          </w:p>
        </w:tc>
      </w:tr>
      <w:tr w:rsidR="0089314C" w:rsidRPr="002C36F8" w14:paraId="4A511243" w14:textId="77777777" w:rsidTr="00C2633F">
        <w:trPr>
          <w:trHeight w:val="304"/>
        </w:trPr>
        <w:tc>
          <w:tcPr>
            <w:tcW w:w="8505" w:type="dxa"/>
            <w:shd w:val="clear" w:color="auto" w:fill="auto"/>
            <w:vAlign w:val="bottom"/>
          </w:tcPr>
          <w:p w14:paraId="4B99242D" w14:textId="77777777" w:rsidR="0089314C" w:rsidRPr="002C36F8" w:rsidRDefault="00123E59" w:rsidP="00123E59">
            <w:pPr>
              <w:spacing w:after="0" w:line="240" w:lineRule="auto"/>
              <w:ind w:firstLine="567"/>
              <w:jc w:val="both"/>
              <w:rPr>
                <w:rFonts w:ascii="Times New Roman" w:eastAsia="Times New Roman" w:hAnsi="Times New Roman" w:cs="Times New Roman"/>
                <w:sz w:val="24"/>
                <w:szCs w:val="24"/>
                <w:lang w:eastAsia="bg-BG"/>
              </w:rPr>
            </w:pPr>
            <w:r>
              <w:rPr>
                <w:rFonts w:ascii="Times New Roman" w:hAnsi="Times New Roman" w:cs="Times New Roman"/>
                <w:sz w:val="24"/>
                <w:szCs w:val="24"/>
                <w:lang w:eastAsia="bg-BG"/>
              </w:rPr>
              <w:t xml:space="preserve">Услугата наземно електроснабдяване се предоставя в следните морски пристанища и пристанищни терминали извън основната </w:t>
            </w:r>
            <w:r w:rsidRPr="002C36F8">
              <w:rPr>
                <w:rFonts w:ascii="Times New Roman" w:hAnsi="Times New Roman" w:cs="Times New Roman"/>
                <w:sz w:val="24"/>
                <w:szCs w:val="24"/>
                <w:lang w:val="en-US" w:eastAsia="bg-BG"/>
              </w:rPr>
              <w:t>TEN</w:t>
            </w:r>
            <w:r w:rsidRPr="002C36F8">
              <w:rPr>
                <w:rFonts w:ascii="Times New Roman" w:hAnsi="Times New Roman" w:cs="Times New Roman"/>
                <w:sz w:val="24"/>
                <w:szCs w:val="24"/>
                <w:lang w:val="ru-RU" w:eastAsia="bg-BG"/>
              </w:rPr>
              <w:t>-</w:t>
            </w:r>
            <w:r w:rsidRPr="002C36F8">
              <w:rPr>
                <w:rFonts w:ascii="Times New Roman" w:hAnsi="Times New Roman" w:cs="Times New Roman"/>
                <w:sz w:val="24"/>
                <w:szCs w:val="24"/>
                <w:lang w:val="en-US" w:eastAsia="bg-BG"/>
              </w:rPr>
              <w:t>T</w:t>
            </w:r>
            <w:r w:rsidRPr="002C36F8">
              <w:rPr>
                <w:rFonts w:ascii="Times New Roman" w:hAnsi="Times New Roman" w:cs="Times New Roman"/>
                <w:sz w:val="24"/>
                <w:szCs w:val="24"/>
                <w:lang w:eastAsia="bg-BG"/>
              </w:rPr>
              <w:t xml:space="preserve"> мрежа</w:t>
            </w:r>
            <w:r w:rsidR="0089314C" w:rsidRPr="002C36F8">
              <w:rPr>
                <w:rFonts w:ascii="Times New Roman" w:eastAsia="Times New Roman" w:hAnsi="Times New Roman" w:cs="Times New Roman"/>
                <w:sz w:val="24"/>
                <w:szCs w:val="24"/>
                <w:lang w:eastAsia="bg-BG"/>
              </w:rPr>
              <w:t xml:space="preserve">: </w:t>
            </w:r>
            <w:r w:rsidR="0089314C" w:rsidRPr="002C36F8">
              <w:rPr>
                <w:rFonts w:ascii="Times New Roman" w:eastAsia="Times New Roman" w:hAnsi="Times New Roman" w:cs="Times New Roman"/>
                <w:sz w:val="24"/>
                <w:szCs w:val="24"/>
                <w:lang w:val="ru-RU" w:eastAsia="bg-BG"/>
              </w:rPr>
              <w:t xml:space="preserve"> </w:t>
            </w:r>
            <w:r w:rsidR="0089314C" w:rsidRPr="002C36F8">
              <w:rPr>
                <w:rFonts w:ascii="Times New Roman" w:eastAsia="Times New Roman" w:hAnsi="Times New Roman" w:cs="Times New Roman"/>
                <w:sz w:val="24"/>
                <w:szCs w:val="24"/>
                <w:lang w:eastAsia="bg-BG"/>
              </w:rPr>
              <w:lastRenderedPageBreak/>
              <w:t xml:space="preserve">Пристанище за обществен транспорт с национално значение Варна, включващо терминали: Варна-изток, Варна-запад, </w:t>
            </w:r>
            <w:r w:rsidR="00FE0340">
              <w:rPr>
                <w:rFonts w:ascii="Times New Roman" w:eastAsia="Times New Roman" w:hAnsi="Times New Roman" w:cs="Times New Roman"/>
                <w:sz w:val="24"/>
                <w:szCs w:val="24"/>
                <w:lang w:eastAsia="bg-BG"/>
              </w:rPr>
              <w:t xml:space="preserve">и </w:t>
            </w:r>
            <w:r w:rsidR="0089314C" w:rsidRPr="002C36F8">
              <w:rPr>
                <w:rFonts w:ascii="Times New Roman" w:eastAsia="Times New Roman" w:hAnsi="Times New Roman" w:cs="Times New Roman"/>
                <w:sz w:val="24"/>
                <w:szCs w:val="24"/>
                <w:lang w:val="ru-RU" w:eastAsia="bg-BG"/>
              </w:rPr>
              <w:t>“</w:t>
            </w:r>
            <w:r w:rsidR="0089314C" w:rsidRPr="002C36F8">
              <w:rPr>
                <w:rFonts w:ascii="Times New Roman" w:eastAsia="Times New Roman" w:hAnsi="Times New Roman" w:cs="Times New Roman"/>
                <w:sz w:val="24"/>
                <w:szCs w:val="24"/>
                <w:lang w:eastAsia="bg-BG"/>
              </w:rPr>
              <w:t>Леспорт</w:t>
            </w:r>
            <w:r w:rsidR="0089314C" w:rsidRPr="002C36F8">
              <w:rPr>
                <w:rFonts w:ascii="Times New Roman" w:eastAsia="Times New Roman" w:hAnsi="Times New Roman" w:cs="Times New Roman"/>
                <w:sz w:val="24"/>
                <w:szCs w:val="24"/>
                <w:lang w:val="ru-RU" w:eastAsia="bg-BG"/>
              </w:rPr>
              <w:t>”</w:t>
            </w:r>
            <w:r w:rsidR="0089314C" w:rsidRPr="002C36F8">
              <w:rPr>
                <w:rFonts w:ascii="Times New Roman" w:eastAsia="Times New Roman" w:hAnsi="Times New Roman" w:cs="Times New Roman"/>
                <w:sz w:val="24"/>
                <w:szCs w:val="24"/>
                <w:lang w:eastAsia="bg-BG"/>
              </w:rPr>
              <w:t>.</w:t>
            </w:r>
            <w:r w:rsidR="0089314C" w:rsidRPr="002C36F8">
              <w:rPr>
                <w:rFonts w:ascii="Times New Roman" w:eastAsia="Times New Roman" w:hAnsi="Times New Roman" w:cs="Times New Roman"/>
                <w:sz w:val="24"/>
                <w:szCs w:val="24"/>
              </w:rPr>
              <w:t xml:space="preserve"> </w:t>
            </w:r>
          </w:p>
          <w:p w14:paraId="4D0D9DA6" w14:textId="77777777" w:rsidR="005411A6" w:rsidRPr="002C36F8" w:rsidRDefault="005411A6" w:rsidP="005411A6">
            <w:pPr>
              <w:spacing w:after="0" w:line="240" w:lineRule="auto"/>
              <w:ind w:left="567" w:hanging="567"/>
              <w:jc w:val="both"/>
              <w:rPr>
                <w:rFonts w:ascii="Times New Roman" w:eastAsia="Times New Roman" w:hAnsi="Times New Roman" w:cs="Times New Roman"/>
                <w:b/>
                <w:i/>
                <w:color w:val="000000"/>
                <w:sz w:val="24"/>
                <w:szCs w:val="24"/>
                <w:lang w:eastAsia="bg-BG"/>
              </w:rPr>
            </w:pPr>
          </w:p>
          <w:p w14:paraId="1E65D833" w14:textId="77777777" w:rsidR="00DE0D68" w:rsidRPr="002C36F8" w:rsidRDefault="00EE194E" w:rsidP="005411A6">
            <w:pPr>
              <w:spacing w:after="0" w:line="240" w:lineRule="auto"/>
              <w:ind w:left="567" w:hanging="567"/>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t>8</w:t>
            </w:r>
            <w:r w:rsidR="00594C88">
              <w:rPr>
                <w:rFonts w:ascii="Times New Roman" w:eastAsia="Times New Roman" w:hAnsi="Times New Roman" w:cs="Times New Roman"/>
                <w:b/>
                <w:i/>
                <w:color w:val="000000"/>
                <w:sz w:val="24"/>
                <w:szCs w:val="24"/>
                <w:lang w:eastAsia="bg-BG"/>
              </w:rPr>
              <w:t>.1.3</w:t>
            </w:r>
            <w:r w:rsidR="00DE0D68" w:rsidRPr="002C36F8">
              <w:rPr>
                <w:rFonts w:ascii="Times New Roman" w:eastAsia="Times New Roman" w:hAnsi="Times New Roman" w:cs="Times New Roman"/>
                <w:b/>
                <w:i/>
                <w:color w:val="000000"/>
                <w:sz w:val="24"/>
                <w:szCs w:val="24"/>
                <w:lang w:eastAsia="bg-BG"/>
              </w:rPr>
              <w:t xml:space="preserve"> </w:t>
            </w:r>
            <w:r w:rsidR="0089314C" w:rsidRPr="002C36F8">
              <w:rPr>
                <w:rFonts w:ascii="Times New Roman" w:eastAsia="Times New Roman" w:hAnsi="Times New Roman" w:cs="Times New Roman"/>
                <w:b/>
                <w:i/>
                <w:color w:val="000000"/>
                <w:sz w:val="24"/>
                <w:szCs w:val="24"/>
                <w:lang w:eastAsia="bg-BG"/>
              </w:rPr>
              <w:t>Пристанища по вътрешните водни пътища в рамките на основната TEN-T мрежа</w:t>
            </w:r>
          </w:p>
          <w:p w14:paraId="4423EFC6" w14:textId="77777777" w:rsidR="00E65997" w:rsidRDefault="0089314C" w:rsidP="00DE0D68">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Пристанища и пристанищни терминали по вътрешните водни пътища (с национално и с регионално значение) в рамките на основната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eastAsia="bg-BG"/>
              </w:rPr>
              <w:t xml:space="preserve"> мрежа са 13 броя.</w:t>
            </w:r>
            <w:r w:rsidR="00DE0D68" w:rsidRPr="002C36F8">
              <w:rPr>
                <w:rFonts w:ascii="Times New Roman" w:eastAsia="Times New Roman" w:hAnsi="Times New Roman" w:cs="Times New Roman"/>
                <w:sz w:val="24"/>
                <w:szCs w:val="24"/>
                <w:lang w:eastAsia="bg-BG"/>
              </w:rPr>
              <w:t xml:space="preserve"> </w:t>
            </w:r>
          </w:p>
          <w:p w14:paraId="31B25134" w14:textId="77777777" w:rsidR="00E65997" w:rsidRDefault="0089314C" w:rsidP="00DE0D68">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Услугата </w:t>
            </w:r>
            <w:r w:rsidR="00E65997">
              <w:rPr>
                <w:rFonts w:ascii="Times New Roman" w:eastAsia="Times New Roman" w:hAnsi="Times New Roman" w:cs="Times New Roman"/>
                <w:sz w:val="24"/>
                <w:szCs w:val="24"/>
                <w:lang w:eastAsia="bg-BG"/>
              </w:rPr>
              <w:t xml:space="preserve">наземно електроснабдяване </w:t>
            </w:r>
            <w:r w:rsidRPr="002C36F8">
              <w:rPr>
                <w:rFonts w:ascii="Times New Roman" w:eastAsia="Times New Roman" w:hAnsi="Times New Roman" w:cs="Times New Roman"/>
                <w:sz w:val="24"/>
                <w:szCs w:val="24"/>
                <w:lang w:eastAsia="bg-BG"/>
              </w:rPr>
              <w:t>е</w:t>
            </w:r>
            <w:r w:rsidR="00E65997">
              <w:rPr>
                <w:rFonts w:ascii="Times New Roman" w:eastAsia="Times New Roman" w:hAnsi="Times New Roman" w:cs="Times New Roman"/>
                <w:sz w:val="24"/>
                <w:szCs w:val="24"/>
                <w:lang w:eastAsia="bg-BG"/>
              </w:rPr>
              <w:t xml:space="preserve"> налична в следните пристанища</w:t>
            </w:r>
            <w:r w:rsidRPr="002C36F8">
              <w:rPr>
                <w:rFonts w:ascii="Times New Roman" w:eastAsia="Times New Roman" w:hAnsi="Times New Roman" w:cs="Times New Roman"/>
                <w:sz w:val="24"/>
                <w:szCs w:val="24"/>
                <w:lang w:eastAsia="bg-BG"/>
              </w:rPr>
              <w:t xml:space="preserve"> по вътрешните водни пътища от основната</w:t>
            </w:r>
            <w:r w:rsidRPr="002C36F8">
              <w:rPr>
                <w:rFonts w:ascii="Times New Roman" w:eastAsia="Times New Roman" w:hAnsi="Times New Roman" w:cs="Times New Roman"/>
                <w:sz w:val="24"/>
                <w:szCs w:val="24"/>
                <w:lang w:val="ru-RU" w:eastAsia="bg-BG"/>
              </w:rPr>
              <w:t xml:space="preserve">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eastAsia="bg-BG"/>
              </w:rPr>
              <w:t xml:space="preserve"> мрежа</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eastAsia="bg-BG"/>
              </w:rPr>
              <w:t xml:space="preserve"> </w:t>
            </w:r>
          </w:p>
          <w:p w14:paraId="20E1FC4D" w14:textId="77777777" w:rsidR="00E65997" w:rsidRPr="00C2633F" w:rsidRDefault="00E65997" w:rsidP="00E65997">
            <w:pPr>
              <w:ind w:firstLine="708"/>
              <w:jc w:val="both"/>
              <w:rPr>
                <w:rFonts w:ascii="Times New Roman" w:hAnsi="Times New Roman" w:cs="Times New Roman"/>
                <w:sz w:val="24"/>
                <w:szCs w:val="24"/>
                <w:lang w:val="ru-RU"/>
              </w:rPr>
            </w:pPr>
            <w:r w:rsidRPr="00C2633F">
              <w:rPr>
                <w:rFonts w:ascii="Times New Roman" w:hAnsi="Times New Roman" w:cs="Times New Roman"/>
                <w:sz w:val="24"/>
                <w:szCs w:val="24"/>
              </w:rPr>
              <w:t xml:space="preserve">Пристанище за обществен транспорт с национално значение Русе, включващо терминали: Русе-изток, Русе-център, Русе-запад, 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Порт Булмаркет -Русе</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Дунавски драгажен флот - Русе</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 xml:space="preserve"> 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Дубъл Ве Ко - Русе</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Пристанище за обществен транспорт с национално значение Видин, включващо терминали: Видин-север,</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Фериботен комплекс-Видин</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 xml:space="preserve">, Видин-център, Видин-юг; 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Ро-Ро СО МАТ” - Видин</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“Дунавски драгажен флот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Бъдин</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 Видин”, Пристанище за обществен транспорт с регионално значение</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Пристис</w:t>
            </w:r>
            <w:r w:rsidRPr="00C2633F">
              <w:rPr>
                <w:rFonts w:ascii="Times New Roman" w:hAnsi="Times New Roman" w:cs="Times New Roman"/>
                <w:sz w:val="24"/>
                <w:szCs w:val="24"/>
                <w:lang w:val="ru-RU"/>
              </w:rPr>
              <w:t>”;</w:t>
            </w:r>
          </w:p>
          <w:p w14:paraId="1898E998" w14:textId="77777777" w:rsidR="0089314C" w:rsidRPr="002C36F8" w:rsidRDefault="0089314C" w:rsidP="0089314C">
            <w:pPr>
              <w:spacing w:after="0" w:line="240" w:lineRule="auto"/>
              <w:jc w:val="both"/>
              <w:rPr>
                <w:rFonts w:ascii="Times New Roman" w:eastAsia="Times New Roman" w:hAnsi="Times New Roman" w:cs="Times New Roman"/>
                <w:b/>
                <w:sz w:val="24"/>
                <w:szCs w:val="24"/>
                <w:lang w:eastAsia="bg-BG"/>
              </w:rPr>
            </w:pPr>
          </w:p>
          <w:p w14:paraId="3D463AF8" w14:textId="77777777" w:rsidR="0089314C" w:rsidRPr="002C36F8" w:rsidRDefault="00EE194E" w:rsidP="00DE0D68">
            <w:pPr>
              <w:spacing w:after="0" w:line="240" w:lineRule="auto"/>
              <w:ind w:left="567" w:hanging="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color w:val="000000"/>
                <w:sz w:val="24"/>
                <w:szCs w:val="24"/>
                <w:lang w:eastAsia="bg-BG"/>
              </w:rPr>
              <w:t>8</w:t>
            </w:r>
            <w:r w:rsidR="00554C19">
              <w:rPr>
                <w:rFonts w:ascii="Times New Roman" w:eastAsia="Times New Roman" w:hAnsi="Times New Roman" w:cs="Times New Roman"/>
                <w:b/>
                <w:i/>
                <w:color w:val="000000"/>
                <w:sz w:val="24"/>
                <w:szCs w:val="24"/>
                <w:lang w:eastAsia="bg-BG"/>
              </w:rPr>
              <w:t>.</w:t>
            </w:r>
            <w:r w:rsidR="00594C88">
              <w:rPr>
                <w:rFonts w:ascii="Times New Roman" w:eastAsia="Times New Roman" w:hAnsi="Times New Roman" w:cs="Times New Roman"/>
                <w:b/>
                <w:i/>
                <w:color w:val="000000"/>
                <w:sz w:val="24"/>
                <w:szCs w:val="24"/>
                <w:lang w:eastAsia="bg-BG"/>
              </w:rPr>
              <w:t>1.</w:t>
            </w:r>
            <w:r w:rsidR="00554C19">
              <w:rPr>
                <w:rFonts w:ascii="Times New Roman" w:eastAsia="Times New Roman" w:hAnsi="Times New Roman" w:cs="Times New Roman"/>
                <w:b/>
                <w:i/>
                <w:color w:val="000000"/>
                <w:sz w:val="24"/>
                <w:szCs w:val="24"/>
                <w:lang w:eastAsia="bg-BG"/>
              </w:rPr>
              <w:t>4</w:t>
            </w:r>
            <w:r w:rsidR="00DE0D68" w:rsidRPr="002C36F8">
              <w:rPr>
                <w:rFonts w:ascii="Times New Roman" w:eastAsia="Times New Roman" w:hAnsi="Times New Roman" w:cs="Times New Roman"/>
                <w:b/>
                <w:i/>
                <w:color w:val="000000"/>
                <w:sz w:val="24"/>
                <w:szCs w:val="24"/>
                <w:lang w:eastAsia="bg-BG"/>
              </w:rPr>
              <w:t xml:space="preserve"> </w:t>
            </w:r>
            <w:hyperlink w:anchor="page26" w:history="1">
              <w:r w:rsidR="0089314C" w:rsidRPr="002C36F8">
                <w:rPr>
                  <w:rFonts w:ascii="Times New Roman" w:eastAsia="Times New Roman" w:hAnsi="Times New Roman" w:cs="Times New Roman"/>
                  <w:b/>
                  <w:i/>
                  <w:color w:val="000000"/>
                  <w:sz w:val="24"/>
                  <w:szCs w:val="24"/>
                  <w:lang w:eastAsia="bg-BG"/>
                </w:rPr>
                <w:t>Пристанища по вътрешните водни пътища извън основната TEN-T мрежа.</w:t>
              </w:r>
            </w:hyperlink>
            <w:r w:rsidR="0089314C" w:rsidRPr="002C36F8">
              <w:rPr>
                <w:rFonts w:ascii="Times New Roman" w:eastAsia="Times New Roman" w:hAnsi="Times New Roman" w:cs="Times New Roman"/>
                <w:b/>
                <w:i/>
                <w:color w:val="000000"/>
                <w:sz w:val="24"/>
                <w:szCs w:val="24"/>
                <w:lang w:eastAsia="bg-BG"/>
              </w:rPr>
              <w:t xml:space="preserve"> </w:t>
            </w:r>
          </w:p>
        </w:tc>
      </w:tr>
      <w:tr w:rsidR="0089314C" w:rsidRPr="002C36F8" w14:paraId="44F126D0" w14:textId="77777777" w:rsidTr="00C2633F">
        <w:trPr>
          <w:trHeight w:val="304"/>
        </w:trPr>
        <w:tc>
          <w:tcPr>
            <w:tcW w:w="8505" w:type="dxa"/>
            <w:shd w:val="clear" w:color="auto" w:fill="auto"/>
            <w:vAlign w:val="bottom"/>
          </w:tcPr>
          <w:p w14:paraId="233669D6" w14:textId="77777777" w:rsidR="00C2633F" w:rsidRDefault="00E65997" w:rsidP="006D09E6">
            <w:pPr>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Услугата наземно електроснабдяване се предоставя в следните пристанища по вътрешните водни пътища </w:t>
            </w:r>
            <w:r w:rsidR="0089314C" w:rsidRPr="002C36F8">
              <w:rPr>
                <w:rFonts w:ascii="Times New Roman" w:eastAsia="Times New Roman" w:hAnsi="Times New Roman" w:cs="Times New Roman"/>
                <w:sz w:val="24"/>
                <w:szCs w:val="24"/>
                <w:lang w:eastAsia="bg-BG"/>
              </w:rPr>
              <w:t xml:space="preserve">от широкообхватната </w:t>
            </w:r>
            <w:r w:rsidR="0089314C" w:rsidRPr="002C36F8">
              <w:rPr>
                <w:rFonts w:ascii="Times New Roman" w:eastAsia="Times New Roman" w:hAnsi="Times New Roman" w:cs="Times New Roman"/>
                <w:sz w:val="24"/>
                <w:szCs w:val="24"/>
                <w:lang w:val="en-US" w:eastAsia="bg-BG"/>
              </w:rPr>
              <w:t>TEN</w:t>
            </w:r>
            <w:r w:rsidR="0089314C" w:rsidRPr="002C36F8">
              <w:rPr>
                <w:rFonts w:ascii="Times New Roman" w:eastAsia="Times New Roman" w:hAnsi="Times New Roman" w:cs="Times New Roman"/>
                <w:sz w:val="24"/>
                <w:szCs w:val="24"/>
                <w:lang w:val="ru-RU" w:eastAsia="bg-BG"/>
              </w:rPr>
              <w:t>-</w:t>
            </w:r>
            <w:r w:rsidR="0089314C" w:rsidRPr="002C36F8">
              <w:rPr>
                <w:rFonts w:ascii="Times New Roman" w:eastAsia="Times New Roman" w:hAnsi="Times New Roman" w:cs="Times New Roman"/>
                <w:sz w:val="24"/>
                <w:szCs w:val="24"/>
                <w:lang w:val="en-US" w:eastAsia="bg-BG"/>
              </w:rPr>
              <w:t>T</w:t>
            </w:r>
            <w:r w:rsidR="0089314C" w:rsidRPr="002C36F8">
              <w:rPr>
                <w:rFonts w:ascii="Times New Roman" w:eastAsia="Times New Roman" w:hAnsi="Times New Roman" w:cs="Times New Roman"/>
                <w:sz w:val="24"/>
                <w:szCs w:val="24"/>
                <w:lang w:eastAsia="bg-BG"/>
              </w:rPr>
              <w:t xml:space="preserve"> мрежа: </w:t>
            </w:r>
          </w:p>
          <w:p w14:paraId="7986F3E1" w14:textId="77777777" w:rsidR="00E65997" w:rsidRPr="00C2633F" w:rsidRDefault="00E65997" w:rsidP="006D09E6">
            <w:pPr>
              <w:spacing w:after="120" w:line="240" w:lineRule="auto"/>
              <w:jc w:val="both"/>
              <w:rPr>
                <w:rFonts w:ascii="Times New Roman" w:hAnsi="Times New Roman" w:cs="Times New Roman"/>
                <w:sz w:val="24"/>
                <w:szCs w:val="24"/>
              </w:rPr>
            </w:pPr>
            <w:r w:rsidRPr="00C2633F">
              <w:rPr>
                <w:rFonts w:ascii="Times New Roman" w:hAnsi="Times New Roman" w:cs="Times New Roman"/>
                <w:sz w:val="24"/>
                <w:szCs w:val="24"/>
              </w:rPr>
              <w:t xml:space="preserve">Пристанище за обществен транспорт с национално значение Лом – пристанищен терминал Оряхово; Пристанище за обществен транспорт с национално значение Русе, включващо терминали Силистра и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Фериботен терминал Силистра</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Силистра-Поларис 8</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Силистра-Лесил</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 xml:space="preserve">Пристанище за обществен транспорт с регионално значение </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Ийст Пойнт- Силистра</w:t>
            </w:r>
            <w:r w:rsidRPr="00C2633F">
              <w:rPr>
                <w:rFonts w:ascii="Times New Roman" w:hAnsi="Times New Roman" w:cs="Times New Roman"/>
                <w:sz w:val="24"/>
                <w:szCs w:val="24"/>
                <w:lang w:val="ru-RU"/>
              </w:rPr>
              <w:t xml:space="preserve">”, </w:t>
            </w:r>
            <w:r w:rsidRPr="00C2633F">
              <w:rPr>
                <w:rFonts w:ascii="Times New Roman" w:hAnsi="Times New Roman" w:cs="Times New Roman"/>
                <w:sz w:val="24"/>
                <w:szCs w:val="24"/>
              </w:rPr>
              <w:t>Пристанище за обществен транспорт с регионално значение „Свищов – Свилоза”, включващо терминалите: „Свилоза</w:t>
            </w:r>
            <w:r w:rsidRPr="00C2633F">
              <w:rPr>
                <w:rFonts w:ascii="Times New Roman" w:hAnsi="Times New Roman" w:cs="Times New Roman"/>
                <w:sz w:val="24"/>
                <w:szCs w:val="24"/>
                <w:lang w:val="ru-RU"/>
              </w:rPr>
              <w:t xml:space="preserve">” и </w:t>
            </w:r>
            <w:r w:rsidRPr="00C2633F">
              <w:rPr>
                <w:rFonts w:ascii="Times New Roman" w:hAnsi="Times New Roman" w:cs="Times New Roman"/>
                <w:sz w:val="24"/>
                <w:szCs w:val="24"/>
              </w:rPr>
              <w:t>„ТЕЦ Свилоза</w:t>
            </w:r>
            <w:r w:rsidRPr="00C2633F">
              <w:rPr>
                <w:rFonts w:ascii="Times New Roman" w:hAnsi="Times New Roman" w:cs="Times New Roman"/>
                <w:sz w:val="24"/>
                <w:szCs w:val="24"/>
                <w:lang w:val="ru-RU"/>
              </w:rPr>
              <w:t>”</w:t>
            </w:r>
            <w:r w:rsidRPr="00C2633F">
              <w:rPr>
                <w:rFonts w:ascii="Times New Roman" w:hAnsi="Times New Roman" w:cs="Times New Roman"/>
                <w:sz w:val="24"/>
                <w:szCs w:val="24"/>
              </w:rPr>
              <w:t xml:space="preserve">. </w:t>
            </w:r>
          </w:p>
          <w:p w14:paraId="49470755" w14:textId="77777777" w:rsidR="0089314C" w:rsidRPr="002C36F8" w:rsidRDefault="0089314C" w:rsidP="00C2633F">
            <w:pPr>
              <w:spacing w:after="0" w:line="240" w:lineRule="auto"/>
              <w:jc w:val="both"/>
              <w:rPr>
                <w:rFonts w:ascii="Times New Roman" w:eastAsia="Times New Roman" w:hAnsi="Times New Roman" w:cs="Times New Roman"/>
                <w:sz w:val="24"/>
                <w:szCs w:val="24"/>
                <w:lang w:eastAsia="bg-BG"/>
              </w:rPr>
            </w:pPr>
          </w:p>
        </w:tc>
      </w:tr>
      <w:tr w:rsidR="00DE0D68" w:rsidRPr="002C36F8" w14:paraId="2C2C2DEC" w14:textId="77777777" w:rsidTr="00C2633F">
        <w:trPr>
          <w:trHeight w:val="304"/>
        </w:trPr>
        <w:tc>
          <w:tcPr>
            <w:tcW w:w="8505" w:type="dxa"/>
            <w:shd w:val="clear" w:color="auto" w:fill="auto"/>
            <w:vAlign w:val="bottom"/>
          </w:tcPr>
          <w:p w14:paraId="681DCE3A" w14:textId="77777777" w:rsidR="00E67B50" w:rsidRDefault="00E67B50" w:rsidP="0089314C">
            <w:pPr>
              <w:spacing w:after="0" w:line="240" w:lineRule="auto"/>
              <w:jc w:val="both"/>
              <w:rPr>
                <w:rFonts w:ascii="Times New Roman" w:eastAsia="Times New Roman" w:hAnsi="Times New Roman" w:cs="Times New Roman"/>
                <w:b/>
                <w:sz w:val="24"/>
                <w:szCs w:val="24"/>
                <w:lang w:eastAsia="bg-BG"/>
              </w:rPr>
            </w:pPr>
          </w:p>
          <w:p w14:paraId="5A7D82A0" w14:textId="77777777" w:rsidR="00E67B50" w:rsidRDefault="00E67B50" w:rsidP="0089314C">
            <w:pPr>
              <w:spacing w:after="0" w:line="240" w:lineRule="auto"/>
              <w:jc w:val="both"/>
              <w:rPr>
                <w:rFonts w:ascii="Times New Roman" w:eastAsia="Times New Roman" w:hAnsi="Times New Roman" w:cs="Times New Roman"/>
                <w:b/>
                <w:sz w:val="24"/>
                <w:szCs w:val="24"/>
                <w:lang w:eastAsia="bg-BG"/>
              </w:rPr>
            </w:pPr>
          </w:p>
          <w:p w14:paraId="1C09221F" w14:textId="77777777" w:rsidR="00E67B50" w:rsidRDefault="00E67B50" w:rsidP="0089314C">
            <w:pPr>
              <w:spacing w:after="0" w:line="240" w:lineRule="auto"/>
              <w:jc w:val="both"/>
              <w:rPr>
                <w:rFonts w:ascii="Times New Roman" w:eastAsia="Times New Roman" w:hAnsi="Times New Roman" w:cs="Times New Roman"/>
                <w:b/>
                <w:sz w:val="24"/>
                <w:szCs w:val="24"/>
                <w:lang w:eastAsia="bg-BG"/>
              </w:rPr>
            </w:pPr>
          </w:p>
          <w:p w14:paraId="726AD8B8" w14:textId="77777777" w:rsidR="00DE0D68" w:rsidRDefault="00EE194E" w:rsidP="0089314C">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8</w:t>
            </w:r>
            <w:r w:rsidR="00594C88" w:rsidRPr="00594C88">
              <w:rPr>
                <w:rFonts w:ascii="Times New Roman" w:eastAsia="Times New Roman" w:hAnsi="Times New Roman" w:cs="Times New Roman"/>
                <w:b/>
                <w:sz w:val="24"/>
                <w:szCs w:val="24"/>
                <w:lang w:eastAsia="bg-BG"/>
              </w:rPr>
              <w:t>.2</w:t>
            </w:r>
            <w:r w:rsidR="00986483">
              <w:rPr>
                <w:rFonts w:ascii="Times New Roman" w:eastAsia="Times New Roman" w:hAnsi="Times New Roman" w:cs="Times New Roman"/>
                <w:b/>
                <w:sz w:val="24"/>
                <w:szCs w:val="24"/>
                <w:lang w:eastAsia="bg-BG"/>
              </w:rPr>
              <w:t xml:space="preserve"> Снабдяване на водния транспорт с втечнен природен газ</w:t>
            </w:r>
          </w:p>
          <w:p w14:paraId="0808FEE9" w14:textId="77777777" w:rsidR="00C73217" w:rsidRDefault="00C73217" w:rsidP="0089314C">
            <w:pPr>
              <w:spacing w:after="0" w:line="240" w:lineRule="auto"/>
              <w:jc w:val="both"/>
              <w:rPr>
                <w:rFonts w:ascii="Times New Roman" w:eastAsia="Times New Roman" w:hAnsi="Times New Roman" w:cs="Times New Roman"/>
                <w:b/>
                <w:sz w:val="24"/>
                <w:szCs w:val="24"/>
                <w:lang w:eastAsia="bg-BG"/>
              </w:rPr>
            </w:pPr>
          </w:p>
          <w:p w14:paraId="5C27F20E" w14:textId="77777777" w:rsidR="00986483" w:rsidRDefault="00986483" w:rsidP="00986483">
            <w:pPr>
              <w:tabs>
                <w:tab w:val="left" w:pos="360"/>
                <w:tab w:val="left" w:pos="540"/>
              </w:tabs>
              <w:spacing w:before="120" w:after="0" w:line="240" w:lineRule="auto"/>
              <w:contextualSpacing/>
              <w:jc w:val="both"/>
              <w:rPr>
                <w:rFonts w:ascii="Times New Roman" w:eastAsia="Calibri" w:hAnsi="Times New Roman" w:cs="Times New Roman"/>
                <w:sz w:val="24"/>
                <w:szCs w:val="24"/>
                <w:highlight w:val="yellow"/>
              </w:rPr>
            </w:pPr>
            <w:r w:rsidRPr="00986483">
              <w:rPr>
                <w:rFonts w:ascii="Times New Roman" w:hAnsi="Times New Roman" w:cs="Times New Roman"/>
                <w:sz w:val="24"/>
                <w:szCs w:val="24"/>
                <w:lang w:val="ru-RU"/>
              </w:rPr>
              <w:t>Към настоящия момент на територията на българските пристанища не е изградена инфраструктура за зареждане с втечнен природен газ.</w:t>
            </w:r>
            <w:r w:rsidRPr="00113F39">
              <w:rPr>
                <w:rFonts w:ascii="Times New Roman" w:eastAsia="Calibri" w:hAnsi="Times New Roman" w:cs="Times New Roman"/>
                <w:sz w:val="24"/>
                <w:szCs w:val="24"/>
                <w:highlight w:val="yellow"/>
              </w:rPr>
              <w:t xml:space="preserve"> </w:t>
            </w:r>
          </w:p>
          <w:p w14:paraId="11DB7BE1" w14:textId="55326EB5" w:rsidR="00986483" w:rsidRPr="00986483" w:rsidRDefault="00986483" w:rsidP="00280F68">
            <w:pPr>
              <w:tabs>
                <w:tab w:val="left" w:pos="360"/>
                <w:tab w:val="left" w:pos="540"/>
              </w:tabs>
              <w:spacing w:before="120" w:after="0" w:line="240" w:lineRule="auto"/>
              <w:contextualSpacing/>
              <w:jc w:val="both"/>
              <w:rPr>
                <w:rFonts w:ascii="Times New Roman" w:eastAsia="Times New Roman" w:hAnsi="Times New Roman" w:cs="Times New Roman"/>
                <w:b/>
                <w:sz w:val="24"/>
                <w:szCs w:val="24"/>
                <w:lang w:eastAsia="bg-BG"/>
              </w:rPr>
            </w:pPr>
            <w:r w:rsidRPr="00C73217">
              <w:rPr>
                <w:rFonts w:ascii="Times New Roman" w:eastAsia="Calibri" w:hAnsi="Times New Roman" w:cs="Times New Roman"/>
                <w:sz w:val="24"/>
                <w:szCs w:val="24"/>
              </w:rPr>
              <w:t>Следва обаче да се отчете факта, че в България вече е изграден първия</w:t>
            </w:r>
            <w:r w:rsidRPr="007C469F">
              <w:rPr>
                <w:rFonts w:ascii="Times New Roman" w:eastAsia="Calibri" w:hAnsi="Times New Roman" w:cs="Times New Roman"/>
                <w:sz w:val="24"/>
                <w:szCs w:val="24"/>
              </w:rPr>
              <w:t xml:space="preserve"> </w:t>
            </w:r>
            <w:r w:rsidRPr="00C73217">
              <w:rPr>
                <w:rFonts w:ascii="Times New Roman" w:eastAsia="Calibri" w:hAnsi="Times New Roman" w:cs="Times New Roman"/>
                <w:sz w:val="24"/>
                <w:szCs w:val="24"/>
              </w:rPr>
              <w:t xml:space="preserve">по рода си </w:t>
            </w:r>
            <w:r w:rsidRPr="00C73217">
              <w:rPr>
                <w:rFonts w:ascii="Times New Roman" w:hAnsi="Times New Roman" w:cs="Times New Roman"/>
                <w:sz w:val="24"/>
                <w:szCs w:val="24"/>
              </w:rPr>
              <w:t>дребномащабен терминал за втечнен природен газ на р. Дунав с общ капацитет от 1000 m3, които се използват за съхраняване на втечнен природен газ, бункероване на вътрешноводни плавателни съдове, зареждане с гориво на товарни автомобили, а също така и по-нататъшно разпространение на втечнения природен газ в региона.</w:t>
            </w:r>
            <w:r w:rsidRPr="00113F39">
              <w:rPr>
                <w:rFonts w:ascii="Times New Roman" w:hAnsi="Times New Roman" w:cs="Times New Roman"/>
                <w:b/>
                <w:sz w:val="24"/>
                <w:szCs w:val="24"/>
              </w:rPr>
              <w:t xml:space="preserve"> </w:t>
            </w:r>
            <w:r w:rsidRPr="00113F39">
              <w:rPr>
                <w:rFonts w:ascii="Times New Roman" w:hAnsi="Times New Roman" w:cs="Times New Roman"/>
                <w:sz w:val="24"/>
                <w:szCs w:val="24"/>
              </w:rPr>
              <w:t xml:space="preserve">Терминалът е разположен на р. Дунав, в района на пристанище Русе </w:t>
            </w:r>
            <w:r w:rsidRPr="007C469F">
              <w:rPr>
                <w:rFonts w:ascii="Times New Roman" w:hAnsi="Times New Roman" w:cs="Times New Roman"/>
                <w:sz w:val="24"/>
                <w:szCs w:val="24"/>
              </w:rPr>
              <w:t>(</w:t>
            </w:r>
            <w:r w:rsidRPr="00113F39">
              <w:rPr>
                <w:rFonts w:ascii="Times New Roman" w:hAnsi="Times New Roman" w:cs="Times New Roman"/>
                <w:sz w:val="24"/>
                <w:szCs w:val="24"/>
              </w:rPr>
              <w:t>България</w:t>
            </w:r>
            <w:r w:rsidRPr="007C469F">
              <w:rPr>
                <w:rFonts w:ascii="Times New Roman" w:hAnsi="Times New Roman" w:cs="Times New Roman"/>
                <w:sz w:val="24"/>
                <w:szCs w:val="24"/>
              </w:rPr>
              <w:t>)</w:t>
            </w:r>
            <w:r w:rsidRPr="00113F39">
              <w:rPr>
                <w:rFonts w:ascii="Times New Roman" w:hAnsi="Times New Roman" w:cs="Times New Roman"/>
                <w:sz w:val="24"/>
                <w:szCs w:val="24"/>
              </w:rPr>
              <w:t xml:space="preserve">, върху площите на бившия завод за тежко машиностроене, на площ от 1000 </w:t>
            </w:r>
            <w:r w:rsidRPr="00113F39">
              <w:rPr>
                <w:rFonts w:ascii="Times New Roman" w:hAnsi="Times New Roman" w:cs="Times New Roman"/>
                <w:sz w:val="24"/>
                <w:szCs w:val="24"/>
                <w:lang w:val="en-US"/>
              </w:rPr>
              <w:t>m</w:t>
            </w:r>
            <w:r w:rsidRPr="007C469F">
              <w:rPr>
                <w:rFonts w:ascii="Times New Roman" w:hAnsi="Times New Roman" w:cs="Times New Roman"/>
                <w:sz w:val="24"/>
                <w:szCs w:val="24"/>
              </w:rPr>
              <w:t>2.</w:t>
            </w:r>
            <w:r w:rsidRPr="00113F39">
              <w:rPr>
                <w:rFonts w:ascii="Times New Roman" w:hAnsi="Times New Roman" w:cs="Times New Roman"/>
                <w:sz w:val="24"/>
                <w:szCs w:val="24"/>
              </w:rPr>
              <w:t xml:space="preserve"> </w:t>
            </w:r>
          </w:p>
        </w:tc>
      </w:tr>
      <w:tr w:rsidR="00B369AB" w:rsidRPr="002C36F8" w14:paraId="002F864E" w14:textId="77777777" w:rsidTr="00C2633F">
        <w:trPr>
          <w:trHeight w:val="304"/>
        </w:trPr>
        <w:tc>
          <w:tcPr>
            <w:tcW w:w="8505" w:type="dxa"/>
            <w:shd w:val="clear" w:color="auto" w:fill="auto"/>
            <w:vAlign w:val="bottom"/>
          </w:tcPr>
          <w:p w14:paraId="35EA7FA4" w14:textId="77777777" w:rsidR="00B369AB" w:rsidRDefault="00B369AB" w:rsidP="0089314C">
            <w:pPr>
              <w:spacing w:after="0" w:line="240" w:lineRule="auto"/>
              <w:jc w:val="both"/>
              <w:rPr>
                <w:rFonts w:ascii="Times New Roman" w:eastAsia="Times New Roman" w:hAnsi="Times New Roman" w:cs="Times New Roman"/>
                <w:b/>
                <w:sz w:val="24"/>
                <w:szCs w:val="24"/>
                <w:lang w:eastAsia="bg-BG"/>
              </w:rPr>
            </w:pPr>
          </w:p>
        </w:tc>
      </w:tr>
      <w:tr w:rsidR="00E67B50" w:rsidRPr="002C36F8" w14:paraId="69482BF6" w14:textId="77777777" w:rsidTr="00C2633F">
        <w:trPr>
          <w:trHeight w:val="304"/>
        </w:trPr>
        <w:tc>
          <w:tcPr>
            <w:tcW w:w="8505" w:type="dxa"/>
            <w:shd w:val="clear" w:color="auto" w:fill="auto"/>
            <w:vAlign w:val="bottom"/>
          </w:tcPr>
          <w:p w14:paraId="1FFDDE5C" w14:textId="77777777" w:rsidR="00E67B50" w:rsidRDefault="00E67B50" w:rsidP="0089314C">
            <w:pPr>
              <w:spacing w:after="0" w:line="240" w:lineRule="auto"/>
              <w:jc w:val="both"/>
              <w:rPr>
                <w:rFonts w:ascii="Times New Roman" w:eastAsia="Times New Roman" w:hAnsi="Times New Roman" w:cs="Times New Roman"/>
                <w:b/>
                <w:sz w:val="24"/>
                <w:szCs w:val="24"/>
                <w:lang w:eastAsia="bg-BG"/>
              </w:rPr>
            </w:pPr>
          </w:p>
        </w:tc>
      </w:tr>
    </w:tbl>
    <w:p w14:paraId="3A401C01" w14:textId="0ACDF657" w:rsidR="00986483" w:rsidRPr="007C469F" w:rsidRDefault="00E67B50" w:rsidP="00280F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Т</w:t>
      </w:r>
      <w:r w:rsidR="00986483">
        <w:rPr>
          <w:rFonts w:ascii="Times New Roman" w:eastAsia="Calibri" w:hAnsi="Times New Roman" w:cs="Times New Roman"/>
          <w:sz w:val="24"/>
          <w:szCs w:val="24"/>
        </w:rPr>
        <w:t xml:space="preserve">ерминалът </w:t>
      </w:r>
      <w:r w:rsidR="00986483" w:rsidRPr="00113F39">
        <w:rPr>
          <w:rFonts w:ascii="Times New Roman" w:eastAsia="Calibri" w:hAnsi="Times New Roman" w:cs="Times New Roman"/>
          <w:sz w:val="24"/>
          <w:szCs w:val="24"/>
        </w:rPr>
        <w:t xml:space="preserve">е реализиран по линия на проект </w:t>
      </w:r>
      <w:r w:rsidR="000D410B">
        <w:rPr>
          <w:rFonts w:ascii="Times New Roman" w:eastAsia="Calibri" w:hAnsi="Times New Roman" w:cs="Times New Roman"/>
          <w:sz w:val="24"/>
          <w:szCs w:val="24"/>
        </w:rPr>
        <w:t>Генерален план относно ВПГ за оста на вътрешните водни пътища Рейн–Майн-Дунав в областта на трансевропейската транспортна мрежа (</w:t>
      </w:r>
      <w:r w:rsidR="00986483" w:rsidRPr="00113F39">
        <w:rPr>
          <w:rFonts w:ascii="Times New Roman" w:eastAsia="Calibri" w:hAnsi="Times New Roman" w:cs="Times New Roman"/>
          <w:sz w:val="24"/>
          <w:szCs w:val="24"/>
        </w:rPr>
        <w:t>LNG Masterplan Rhein-Main-Danube</w:t>
      </w:r>
      <w:r w:rsidR="000D410B">
        <w:rPr>
          <w:rFonts w:ascii="Times New Roman" w:eastAsia="Calibri" w:hAnsi="Times New Roman" w:cs="Times New Roman"/>
          <w:sz w:val="24"/>
          <w:szCs w:val="24"/>
        </w:rPr>
        <w:t xml:space="preserve">). </w:t>
      </w:r>
      <w:r w:rsidR="000D410B">
        <w:rPr>
          <w:rFonts w:ascii="Times New Roman" w:eastAsia="Times New Roman" w:hAnsi="Times New Roman" w:cs="Times New Roman"/>
          <w:sz w:val="24"/>
          <w:szCs w:val="24"/>
          <w:lang w:eastAsia="bg-BG"/>
        </w:rPr>
        <w:t>Този проект</w:t>
      </w:r>
      <w:r w:rsidR="00986483" w:rsidRPr="00113F39">
        <w:rPr>
          <w:rFonts w:ascii="Times New Roman" w:eastAsia="Times New Roman" w:hAnsi="Times New Roman" w:cs="Times New Roman"/>
          <w:sz w:val="24"/>
          <w:szCs w:val="24"/>
          <w:lang w:eastAsia="bg-BG"/>
        </w:rPr>
        <w:t xml:space="preserve"> </w:t>
      </w:r>
      <w:r w:rsidR="00986483" w:rsidRPr="007C469F">
        <w:rPr>
          <w:rFonts w:ascii="Times New Roman" w:eastAsia="Times New Roman" w:hAnsi="Times New Roman" w:cs="Times New Roman"/>
          <w:sz w:val="24"/>
          <w:szCs w:val="24"/>
          <w:lang w:eastAsia="bg-BG"/>
        </w:rPr>
        <w:t xml:space="preserve">предвижда да бъдат създадени точки по Рейн, Майн и Дунав, </w:t>
      </w:r>
      <w:r w:rsidR="00986483" w:rsidRPr="00113F39">
        <w:rPr>
          <w:rFonts w:ascii="Times New Roman" w:eastAsia="Times New Roman" w:hAnsi="Times New Roman" w:cs="Times New Roman"/>
          <w:sz w:val="24"/>
          <w:szCs w:val="24"/>
          <w:lang w:eastAsia="bg-BG"/>
        </w:rPr>
        <w:t xml:space="preserve">с </w:t>
      </w:r>
      <w:r w:rsidR="00986483" w:rsidRPr="007C469F">
        <w:rPr>
          <w:rFonts w:ascii="Times New Roman" w:eastAsia="Times New Roman" w:hAnsi="Times New Roman" w:cs="Times New Roman"/>
          <w:sz w:val="24"/>
          <w:szCs w:val="24"/>
          <w:lang w:eastAsia="bg-BG"/>
        </w:rPr>
        <w:t>малки терминали за доставка, съхранение и по-нататъшна реализация на втечнен природен газ. Консорциумът, който участва в този мастерплан, включва 33</w:t>
      </w:r>
      <w:r w:rsidR="00986483" w:rsidRPr="00113F39">
        <w:rPr>
          <w:rFonts w:ascii="Times New Roman" w:eastAsia="Times New Roman" w:hAnsi="Times New Roman" w:cs="Times New Roman"/>
          <w:sz w:val="24"/>
          <w:szCs w:val="24"/>
          <w:lang w:val="en" w:eastAsia="bg-BG"/>
        </w:rPr>
        <w:t> </w:t>
      </w:r>
      <w:r w:rsidR="00986483" w:rsidRPr="007C469F">
        <w:rPr>
          <w:rFonts w:ascii="Times New Roman" w:eastAsia="Times New Roman" w:hAnsi="Times New Roman" w:cs="Times New Roman"/>
          <w:sz w:val="24"/>
          <w:szCs w:val="24"/>
          <w:lang w:eastAsia="bg-BG"/>
        </w:rPr>
        <w:t>компании от 17</w:t>
      </w:r>
      <w:r w:rsidR="00986483" w:rsidRPr="00113F39">
        <w:rPr>
          <w:rFonts w:ascii="Times New Roman" w:eastAsia="Times New Roman" w:hAnsi="Times New Roman" w:cs="Times New Roman"/>
          <w:sz w:val="24"/>
          <w:szCs w:val="24"/>
          <w:lang w:val="en" w:eastAsia="bg-BG"/>
        </w:rPr>
        <w:t> </w:t>
      </w:r>
      <w:r w:rsidR="00986483" w:rsidRPr="007C469F">
        <w:rPr>
          <w:rFonts w:ascii="Times New Roman" w:eastAsia="Times New Roman" w:hAnsi="Times New Roman" w:cs="Times New Roman"/>
          <w:sz w:val="24"/>
          <w:szCs w:val="24"/>
          <w:lang w:eastAsia="bg-BG"/>
        </w:rPr>
        <w:t xml:space="preserve">държави. Пристанищата Ротердам и Антверпен са основната движеща сила в консорциума, заедно с </w:t>
      </w:r>
      <w:r w:rsidR="00986483" w:rsidRPr="00113F39">
        <w:rPr>
          <w:rFonts w:ascii="Times New Roman" w:eastAsia="Times New Roman" w:hAnsi="Times New Roman" w:cs="Times New Roman"/>
          <w:sz w:val="24"/>
          <w:szCs w:val="24"/>
          <w:lang w:val="en" w:eastAsia="bg-BG"/>
        </w:rPr>
        <w:t>ProDanube</w:t>
      </w:r>
      <w:r w:rsidR="00986483" w:rsidRPr="007C469F">
        <w:rPr>
          <w:rFonts w:ascii="Times New Roman" w:eastAsia="Times New Roman" w:hAnsi="Times New Roman" w:cs="Times New Roman"/>
          <w:sz w:val="24"/>
          <w:szCs w:val="24"/>
          <w:lang w:eastAsia="bg-BG"/>
        </w:rPr>
        <w:t>, Австрия. По Дунавската част освен в Русе са предвидени терминали още в Галац и Констанца.</w:t>
      </w:r>
      <w:r w:rsidR="00986483" w:rsidRPr="00113F39">
        <w:rPr>
          <w:rFonts w:ascii="Times New Roman" w:eastAsia="Times New Roman" w:hAnsi="Times New Roman" w:cs="Times New Roman"/>
          <w:sz w:val="24"/>
          <w:szCs w:val="24"/>
          <w:lang w:eastAsia="bg-BG"/>
        </w:rPr>
        <w:t xml:space="preserve"> </w:t>
      </w:r>
      <w:r w:rsidR="00986483" w:rsidRPr="007C469F">
        <w:rPr>
          <w:rFonts w:ascii="Times New Roman" w:eastAsia="Times New Roman" w:hAnsi="Times New Roman" w:cs="Times New Roman"/>
          <w:sz w:val="24"/>
          <w:szCs w:val="24"/>
          <w:lang w:eastAsia="bg-BG"/>
        </w:rPr>
        <w:t xml:space="preserve">Тласък за ускоряването на процеса по изграждането на терминали е ограничаването на вредните емисии от корабите, което наложи по-бързо да се развие технологията за използването на </w:t>
      </w:r>
      <w:r w:rsidR="00986483" w:rsidRPr="00113F39">
        <w:rPr>
          <w:rFonts w:ascii="Times New Roman" w:eastAsia="Times New Roman" w:hAnsi="Times New Roman" w:cs="Times New Roman"/>
          <w:sz w:val="24"/>
          <w:szCs w:val="24"/>
          <w:lang w:val="en" w:eastAsia="bg-BG"/>
        </w:rPr>
        <w:t>LNG</w:t>
      </w:r>
      <w:r w:rsidR="00986483" w:rsidRPr="007C469F">
        <w:rPr>
          <w:rFonts w:ascii="Times New Roman" w:eastAsia="Times New Roman" w:hAnsi="Times New Roman" w:cs="Times New Roman"/>
          <w:sz w:val="24"/>
          <w:szCs w:val="24"/>
          <w:lang w:eastAsia="bg-BG"/>
        </w:rPr>
        <w:t xml:space="preserve"> като </w:t>
      </w:r>
      <w:r w:rsidR="00986483" w:rsidRPr="00113F39">
        <w:rPr>
          <w:rFonts w:ascii="Times New Roman" w:eastAsia="Times New Roman" w:hAnsi="Times New Roman" w:cs="Times New Roman"/>
          <w:sz w:val="24"/>
          <w:szCs w:val="24"/>
          <w:lang w:eastAsia="bg-BG"/>
        </w:rPr>
        <w:t xml:space="preserve"> корабно </w:t>
      </w:r>
      <w:r w:rsidR="00986483" w:rsidRPr="007C469F">
        <w:rPr>
          <w:rFonts w:ascii="Times New Roman" w:eastAsia="Times New Roman" w:hAnsi="Times New Roman" w:cs="Times New Roman"/>
          <w:sz w:val="24"/>
          <w:szCs w:val="24"/>
          <w:lang w:eastAsia="bg-BG"/>
        </w:rPr>
        <w:t xml:space="preserve">гориво. </w:t>
      </w:r>
    </w:p>
    <w:p w14:paraId="487F18A6" w14:textId="77777777" w:rsidR="00986483" w:rsidRPr="00113F39" w:rsidRDefault="00986483" w:rsidP="0098648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7C469F">
        <w:rPr>
          <w:rFonts w:ascii="Times New Roman" w:eastAsia="Times New Roman" w:hAnsi="Times New Roman" w:cs="Times New Roman"/>
          <w:b/>
          <w:bCs/>
          <w:sz w:val="24"/>
          <w:szCs w:val="24"/>
          <w:lang w:eastAsia="bg-BG"/>
        </w:rPr>
        <w:t>Цели</w:t>
      </w:r>
      <w:r w:rsidRPr="00113F39">
        <w:rPr>
          <w:rFonts w:ascii="Times New Roman" w:eastAsia="Times New Roman" w:hAnsi="Times New Roman" w:cs="Times New Roman"/>
          <w:b/>
          <w:bCs/>
          <w:sz w:val="24"/>
          <w:szCs w:val="24"/>
          <w:lang w:eastAsia="bg-BG"/>
        </w:rPr>
        <w:t>те на проекта</w:t>
      </w:r>
      <w:r w:rsidRPr="007C469F">
        <w:rPr>
          <w:rFonts w:ascii="Times New Roman" w:eastAsia="Times New Roman" w:hAnsi="Times New Roman" w:cs="Times New Roman"/>
          <w:b/>
          <w:bCs/>
          <w:sz w:val="24"/>
          <w:szCs w:val="24"/>
          <w:lang w:eastAsia="bg-BG"/>
        </w:rPr>
        <w:t xml:space="preserve"> </w:t>
      </w:r>
      <w:r w:rsidRPr="00113F39">
        <w:rPr>
          <w:rFonts w:ascii="Times New Roman" w:eastAsia="Times New Roman" w:hAnsi="Times New Roman" w:cs="Times New Roman"/>
          <w:b/>
          <w:bCs/>
          <w:sz w:val="24"/>
          <w:szCs w:val="24"/>
          <w:lang w:val="en-US" w:eastAsia="bg-BG"/>
        </w:rPr>
        <w:t>LNG</w:t>
      </w:r>
      <w:r w:rsidRPr="007C469F">
        <w:rPr>
          <w:rFonts w:ascii="Times New Roman" w:eastAsia="Times New Roman" w:hAnsi="Times New Roman" w:cs="Times New Roman"/>
          <w:b/>
          <w:bCs/>
          <w:sz w:val="24"/>
          <w:szCs w:val="24"/>
          <w:lang w:eastAsia="bg-BG"/>
        </w:rPr>
        <w:t xml:space="preserve"> </w:t>
      </w:r>
      <w:r w:rsidRPr="00113F39">
        <w:rPr>
          <w:rFonts w:ascii="Times New Roman" w:eastAsia="Times New Roman" w:hAnsi="Times New Roman" w:cs="Times New Roman"/>
          <w:b/>
          <w:bCs/>
          <w:sz w:val="24"/>
          <w:szCs w:val="24"/>
          <w:lang w:val="en" w:eastAsia="bg-BG"/>
        </w:rPr>
        <w:t>Masterplan</w:t>
      </w:r>
      <w:r w:rsidRPr="007C469F">
        <w:rPr>
          <w:rFonts w:ascii="Times New Roman" w:eastAsia="Times New Roman" w:hAnsi="Times New Roman" w:cs="Times New Roman"/>
          <w:b/>
          <w:bCs/>
          <w:sz w:val="24"/>
          <w:szCs w:val="24"/>
          <w:lang w:eastAsia="bg-BG"/>
        </w:rPr>
        <w:t xml:space="preserve"> </w:t>
      </w:r>
      <w:r w:rsidRPr="00113F39">
        <w:rPr>
          <w:rFonts w:ascii="Times New Roman" w:eastAsia="Times New Roman" w:hAnsi="Times New Roman" w:cs="Times New Roman"/>
          <w:b/>
          <w:bCs/>
          <w:sz w:val="24"/>
          <w:szCs w:val="24"/>
          <w:lang w:val="en" w:eastAsia="bg-BG"/>
        </w:rPr>
        <w:t>Rhein</w:t>
      </w:r>
      <w:r w:rsidRPr="007C469F">
        <w:rPr>
          <w:rFonts w:ascii="Times New Roman" w:eastAsia="Times New Roman" w:hAnsi="Times New Roman" w:cs="Times New Roman"/>
          <w:b/>
          <w:bCs/>
          <w:sz w:val="24"/>
          <w:szCs w:val="24"/>
          <w:lang w:eastAsia="bg-BG"/>
        </w:rPr>
        <w:t>-</w:t>
      </w:r>
      <w:r w:rsidRPr="00113F39">
        <w:rPr>
          <w:rFonts w:ascii="Times New Roman" w:eastAsia="Times New Roman" w:hAnsi="Times New Roman" w:cs="Times New Roman"/>
          <w:b/>
          <w:bCs/>
          <w:sz w:val="24"/>
          <w:szCs w:val="24"/>
          <w:lang w:val="en" w:eastAsia="bg-BG"/>
        </w:rPr>
        <w:t>Main</w:t>
      </w:r>
      <w:r w:rsidRPr="007C469F">
        <w:rPr>
          <w:rFonts w:ascii="Times New Roman" w:eastAsia="Times New Roman" w:hAnsi="Times New Roman" w:cs="Times New Roman"/>
          <w:b/>
          <w:bCs/>
          <w:sz w:val="24"/>
          <w:szCs w:val="24"/>
          <w:lang w:eastAsia="bg-BG"/>
        </w:rPr>
        <w:t>-</w:t>
      </w:r>
      <w:r w:rsidRPr="00113F39">
        <w:rPr>
          <w:rFonts w:ascii="Times New Roman" w:eastAsia="Times New Roman" w:hAnsi="Times New Roman" w:cs="Times New Roman"/>
          <w:b/>
          <w:bCs/>
          <w:sz w:val="24"/>
          <w:szCs w:val="24"/>
          <w:lang w:val="en" w:eastAsia="bg-BG"/>
        </w:rPr>
        <w:t>Danube</w:t>
      </w:r>
      <w:r w:rsidRPr="007C469F">
        <w:rPr>
          <w:rFonts w:ascii="Times New Roman" w:eastAsia="Times New Roman" w:hAnsi="Times New Roman" w:cs="Times New Roman"/>
          <w:b/>
          <w:bCs/>
          <w:sz w:val="24"/>
          <w:szCs w:val="24"/>
          <w:lang w:eastAsia="bg-BG"/>
        </w:rPr>
        <w:t xml:space="preserve"> </w:t>
      </w:r>
      <w:r w:rsidRPr="00113F39">
        <w:rPr>
          <w:rFonts w:ascii="Times New Roman" w:eastAsia="Times New Roman" w:hAnsi="Times New Roman" w:cs="Times New Roman"/>
          <w:b/>
          <w:bCs/>
          <w:sz w:val="24"/>
          <w:szCs w:val="24"/>
          <w:lang w:eastAsia="bg-BG"/>
        </w:rPr>
        <w:t>са доста амбициозни:</w:t>
      </w:r>
    </w:p>
    <w:p w14:paraId="4EE168B4" w14:textId="77777777" w:rsidR="00986483" w:rsidRPr="007C469F" w:rsidRDefault="00986483" w:rsidP="006D09E6">
      <w:pPr>
        <w:shd w:val="clear" w:color="auto" w:fill="FFFFFF"/>
        <w:spacing w:after="120" w:line="240" w:lineRule="auto"/>
        <w:jc w:val="both"/>
        <w:rPr>
          <w:rFonts w:ascii="Times New Roman" w:eastAsia="Times New Roman" w:hAnsi="Times New Roman" w:cs="Times New Roman"/>
          <w:sz w:val="24"/>
          <w:szCs w:val="24"/>
          <w:lang w:eastAsia="bg-BG"/>
        </w:rPr>
      </w:pPr>
      <w:r w:rsidRPr="007C469F">
        <w:rPr>
          <w:rFonts w:ascii="Segoe UI Symbol" w:eastAsia="Times New Roman" w:hAnsi="Segoe UI Symbol" w:cs="Segoe UI Symbol"/>
          <w:sz w:val="24"/>
          <w:szCs w:val="24"/>
          <w:lang w:eastAsia="bg-BG"/>
        </w:rPr>
        <w:t>❖</w:t>
      </w:r>
      <w:r w:rsidRPr="007C469F">
        <w:rPr>
          <w:rFonts w:ascii="Times New Roman" w:eastAsia="Times New Roman" w:hAnsi="Times New Roman" w:cs="Times New Roman"/>
          <w:sz w:val="24"/>
          <w:szCs w:val="24"/>
          <w:lang w:eastAsia="bg-BG"/>
        </w:rPr>
        <w:t xml:space="preserve"> Определяне на доставките и формиране на първоначални пазари и критична маса потребители в </w:t>
      </w:r>
      <w:r w:rsidRPr="005441AF">
        <w:rPr>
          <w:rFonts w:ascii="Times New Roman" w:eastAsia="Times New Roman" w:hAnsi="Times New Roman" w:cs="Times New Roman"/>
          <w:sz w:val="24"/>
          <w:szCs w:val="24"/>
          <w:lang w:eastAsia="bg-BG"/>
        </w:rPr>
        <w:t>хинтерланда</w:t>
      </w:r>
      <w:r w:rsidRPr="007C469F">
        <w:rPr>
          <w:rFonts w:ascii="Times New Roman" w:eastAsia="Times New Roman" w:hAnsi="Times New Roman" w:cs="Times New Roman"/>
          <w:sz w:val="24"/>
          <w:szCs w:val="24"/>
          <w:lang w:eastAsia="bg-BG"/>
        </w:rPr>
        <w:t xml:space="preserve"> на вътрешните водни пътища.</w:t>
      </w:r>
    </w:p>
    <w:p w14:paraId="387A9769" w14:textId="77777777" w:rsidR="00986483" w:rsidRPr="007C469F" w:rsidRDefault="00986483" w:rsidP="006D09E6">
      <w:pPr>
        <w:shd w:val="clear" w:color="auto" w:fill="FFFFFF"/>
        <w:spacing w:after="120" w:line="240" w:lineRule="auto"/>
        <w:jc w:val="both"/>
        <w:rPr>
          <w:rFonts w:ascii="Times New Roman" w:eastAsia="Times New Roman" w:hAnsi="Times New Roman" w:cs="Times New Roman"/>
          <w:sz w:val="24"/>
          <w:szCs w:val="24"/>
          <w:lang w:eastAsia="bg-BG"/>
        </w:rPr>
      </w:pPr>
      <w:r w:rsidRPr="007C469F">
        <w:rPr>
          <w:rFonts w:ascii="Segoe UI Symbol" w:eastAsia="Times New Roman" w:hAnsi="Segoe UI Symbol" w:cs="Segoe UI Symbol"/>
          <w:sz w:val="24"/>
          <w:szCs w:val="24"/>
          <w:lang w:eastAsia="bg-BG"/>
        </w:rPr>
        <w:t>❖</w:t>
      </w:r>
      <w:r w:rsidRPr="007C469F">
        <w:rPr>
          <w:rFonts w:ascii="Times New Roman" w:eastAsia="Times New Roman" w:hAnsi="Times New Roman" w:cs="Times New Roman"/>
          <w:sz w:val="24"/>
          <w:szCs w:val="24"/>
          <w:lang w:eastAsia="bg-BG"/>
        </w:rPr>
        <w:t xml:space="preserve"> Изработване на технически концепции за сектор Вътрешно корабоплаване чрез изследване и оценка на иновативни двигатели или резервоари и оборудване за </w:t>
      </w:r>
      <w:r w:rsidRPr="006D09E6">
        <w:rPr>
          <w:rFonts w:ascii="Times New Roman" w:eastAsia="Times New Roman" w:hAnsi="Times New Roman" w:cs="Times New Roman"/>
          <w:sz w:val="24"/>
          <w:szCs w:val="24"/>
          <w:lang w:val="en" w:eastAsia="bg-BG"/>
        </w:rPr>
        <w:t>LNG</w:t>
      </w:r>
      <w:r w:rsidRPr="007C469F">
        <w:rPr>
          <w:rFonts w:ascii="Times New Roman" w:eastAsia="Times New Roman" w:hAnsi="Times New Roman" w:cs="Times New Roman"/>
          <w:sz w:val="24"/>
          <w:szCs w:val="24"/>
          <w:lang w:eastAsia="bg-BG"/>
        </w:rPr>
        <w:t xml:space="preserve"> технологии.</w:t>
      </w:r>
    </w:p>
    <w:p w14:paraId="520F5EB3" w14:textId="77777777" w:rsidR="00986483" w:rsidRPr="007C469F" w:rsidRDefault="00986483" w:rsidP="006D09E6">
      <w:pPr>
        <w:shd w:val="clear" w:color="auto" w:fill="FFFFFF"/>
        <w:spacing w:after="120" w:line="240" w:lineRule="auto"/>
        <w:jc w:val="both"/>
        <w:rPr>
          <w:rFonts w:ascii="Times New Roman" w:eastAsia="Times New Roman" w:hAnsi="Times New Roman" w:cs="Times New Roman"/>
          <w:sz w:val="24"/>
          <w:szCs w:val="24"/>
          <w:lang w:eastAsia="bg-BG"/>
        </w:rPr>
      </w:pPr>
      <w:r w:rsidRPr="007C469F">
        <w:rPr>
          <w:rFonts w:ascii="Segoe UI Symbol" w:eastAsia="Times New Roman" w:hAnsi="Segoe UI Symbol" w:cs="Segoe UI Symbol"/>
          <w:sz w:val="24"/>
          <w:szCs w:val="24"/>
          <w:lang w:eastAsia="bg-BG"/>
        </w:rPr>
        <w:t>❖</w:t>
      </w:r>
      <w:r w:rsidRPr="007C469F">
        <w:rPr>
          <w:rFonts w:ascii="Times New Roman" w:eastAsia="Times New Roman" w:hAnsi="Times New Roman" w:cs="Times New Roman"/>
          <w:sz w:val="24"/>
          <w:szCs w:val="24"/>
          <w:lang w:eastAsia="bg-BG"/>
        </w:rPr>
        <w:t xml:space="preserve"> Улесняване на създаването на хармонизирана европейска регулаторна рамка за използване на втечнения природен газ като гориво и като товар за вътрешното корабоплаване.</w:t>
      </w:r>
    </w:p>
    <w:p w14:paraId="32B0E4C6" w14:textId="77777777" w:rsidR="00986483" w:rsidRPr="007C469F" w:rsidRDefault="00986483" w:rsidP="006D09E6">
      <w:pPr>
        <w:shd w:val="clear" w:color="auto" w:fill="FFFFFF"/>
        <w:spacing w:after="120" w:line="240" w:lineRule="auto"/>
        <w:jc w:val="both"/>
        <w:rPr>
          <w:rFonts w:ascii="Times New Roman" w:eastAsia="Times New Roman" w:hAnsi="Times New Roman" w:cs="Times New Roman"/>
          <w:sz w:val="24"/>
          <w:szCs w:val="24"/>
          <w:lang w:eastAsia="bg-BG"/>
        </w:rPr>
      </w:pPr>
      <w:r w:rsidRPr="007C469F">
        <w:rPr>
          <w:rFonts w:ascii="Segoe UI Symbol" w:eastAsia="Times New Roman" w:hAnsi="Segoe UI Symbol" w:cs="Segoe UI Symbol"/>
          <w:sz w:val="24"/>
          <w:szCs w:val="24"/>
          <w:lang w:eastAsia="bg-BG"/>
        </w:rPr>
        <w:t>❖</w:t>
      </w:r>
      <w:r w:rsidRPr="007C469F">
        <w:rPr>
          <w:rFonts w:ascii="Times New Roman" w:eastAsia="Times New Roman" w:hAnsi="Times New Roman" w:cs="Times New Roman"/>
          <w:sz w:val="24"/>
          <w:szCs w:val="24"/>
          <w:lang w:eastAsia="bg-BG"/>
        </w:rPr>
        <w:t xml:space="preserve"> Разработване и оценяване на технически концепции за нови и модернизирани кораби и терминали и изпълнение на пилотни внедрявания (инвестиции).</w:t>
      </w:r>
    </w:p>
    <w:p w14:paraId="47456169" w14:textId="77777777" w:rsidR="00986483" w:rsidRPr="007C469F" w:rsidRDefault="00986483" w:rsidP="006D09E6">
      <w:pPr>
        <w:shd w:val="clear" w:color="auto" w:fill="FFFFFF"/>
        <w:spacing w:after="120" w:line="240" w:lineRule="auto"/>
        <w:jc w:val="both"/>
        <w:rPr>
          <w:rFonts w:ascii="Times New Roman" w:eastAsia="Times New Roman" w:hAnsi="Times New Roman" w:cs="Times New Roman"/>
          <w:sz w:val="24"/>
          <w:szCs w:val="24"/>
          <w:lang w:eastAsia="bg-BG"/>
        </w:rPr>
      </w:pPr>
      <w:r w:rsidRPr="007C469F">
        <w:rPr>
          <w:rFonts w:ascii="Segoe UI Symbol" w:eastAsia="Times New Roman" w:hAnsi="Segoe UI Symbol" w:cs="Segoe UI Symbol"/>
          <w:sz w:val="24"/>
          <w:szCs w:val="24"/>
          <w:lang w:eastAsia="bg-BG"/>
        </w:rPr>
        <w:t>❖</w:t>
      </w:r>
      <w:r w:rsidRPr="007C469F">
        <w:rPr>
          <w:rFonts w:ascii="Times New Roman" w:eastAsia="Times New Roman" w:hAnsi="Times New Roman" w:cs="Times New Roman"/>
          <w:sz w:val="24"/>
          <w:szCs w:val="24"/>
          <w:lang w:eastAsia="bg-BG"/>
        </w:rPr>
        <w:t xml:space="preserve"> Разработване на цялостна стратегия с подробна пътна карта за прилагането на </w:t>
      </w:r>
      <w:r w:rsidRPr="006D09E6">
        <w:rPr>
          <w:rFonts w:ascii="Times New Roman" w:eastAsia="Times New Roman" w:hAnsi="Times New Roman" w:cs="Times New Roman"/>
          <w:sz w:val="24"/>
          <w:szCs w:val="24"/>
          <w:lang w:val="en" w:eastAsia="bg-BG"/>
        </w:rPr>
        <w:t>LNG</w:t>
      </w:r>
      <w:r w:rsidRPr="007C469F">
        <w:rPr>
          <w:rFonts w:ascii="Times New Roman" w:eastAsia="Times New Roman" w:hAnsi="Times New Roman" w:cs="Times New Roman"/>
          <w:sz w:val="24"/>
          <w:szCs w:val="24"/>
          <w:lang w:eastAsia="bg-BG"/>
        </w:rPr>
        <w:t xml:space="preserve"> в съответствие с политиките в областта на транспорта, енергетиката и околната среда на ЕС.</w:t>
      </w:r>
    </w:p>
    <w:p w14:paraId="4BB6DF0C" w14:textId="77777777" w:rsidR="00986483" w:rsidRPr="007C469F"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 xml:space="preserve">Дребномащабният терминал за втечнен природен газ е оборудван с четири вакуумно изолирани криогенни резервоари за съхранение на втечнен природен газ с обем на всеки от 250 </w:t>
      </w:r>
      <w:r w:rsidRPr="00113F39">
        <w:rPr>
          <w:rFonts w:ascii="Times New Roman" w:hAnsi="Times New Roman" w:cs="Times New Roman"/>
          <w:sz w:val="24"/>
          <w:szCs w:val="24"/>
          <w:lang w:val="en-US"/>
        </w:rPr>
        <w:t>m</w:t>
      </w:r>
      <w:r w:rsidRPr="007C469F">
        <w:rPr>
          <w:rFonts w:ascii="Times New Roman" w:hAnsi="Times New Roman" w:cs="Times New Roman"/>
          <w:sz w:val="24"/>
          <w:szCs w:val="24"/>
        </w:rPr>
        <w:t>3</w:t>
      </w:r>
      <w:r w:rsidRPr="00113F39">
        <w:rPr>
          <w:rFonts w:ascii="Times New Roman" w:hAnsi="Times New Roman" w:cs="Times New Roman"/>
          <w:sz w:val="24"/>
          <w:szCs w:val="24"/>
        </w:rPr>
        <w:t>, разположени успоредно на брега, като в същото време е спазена 4-метрова зона за безопасност между всеки един от тях. Всеки резервоар е с 4-метров диаметър и височина от 30 м.</w:t>
      </w:r>
      <w:r w:rsidRPr="007C469F">
        <w:rPr>
          <w:rFonts w:ascii="Times New Roman" w:hAnsi="Times New Roman" w:cs="Times New Roman"/>
          <w:sz w:val="24"/>
          <w:szCs w:val="24"/>
        </w:rPr>
        <w:t xml:space="preserve"> </w:t>
      </w:r>
    </w:p>
    <w:p w14:paraId="4197AA66"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 xml:space="preserve">Терминалът предлага съоръжения за товарене </w:t>
      </w:r>
      <w:r w:rsidRPr="007C469F">
        <w:rPr>
          <w:rFonts w:ascii="Times New Roman" w:hAnsi="Times New Roman" w:cs="Times New Roman"/>
          <w:sz w:val="24"/>
          <w:szCs w:val="24"/>
        </w:rPr>
        <w:t>(</w:t>
      </w:r>
      <w:r w:rsidRPr="00113F39">
        <w:rPr>
          <w:rFonts w:ascii="Times New Roman" w:hAnsi="Times New Roman" w:cs="Times New Roman"/>
          <w:sz w:val="24"/>
          <w:szCs w:val="24"/>
        </w:rPr>
        <w:t>разтоварване</w:t>
      </w:r>
      <w:r w:rsidRPr="007C469F">
        <w:rPr>
          <w:rFonts w:ascii="Times New Roman" w:hAnsi="Times New Roman" w:cs="Times New Roman"/>
          <w:sz w:val="24"/>
          <w:szCs w:val="24"/>
        </w:rPr>
        <w:t xml:space="preserve">) </w:t>
      </w:r>
      <w:r w:rsidRPr="00113F39">
        <w:rPr>
          <w:rFonts w:ascii="Times New Roman" w:hAnsi="Times New Roman" w:cs="Times New Roman"/>
          <w:sz w:val="24"/>
          <w:szCs w:val="24"/>
        </w:rPr>
        <w:t xml:space="preserve">и бункероване на вътрешноводни плавателни съдова с втечнен природен газ, както и зареждане на товарни автомобили, използващи втечнен природен газ. Станциите за зареждане с гориво са свързани със съоръженията за товарене на камиони с втечнен природен газ, за да може да се разпространява втечнения природен газ във вътрешността на страната до различните клиенти. </w:t>
      </w:r>
    </w:p>
    <w:p w14:paraId="7270D921"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Складовите съоръжения за втечнен природен газ са свързани със съществуващия терминал за опасни товари със свой собствен понтон. Танкерите доставящи втечнен природен газ ще застават на съществуващия терминален понтон. Същият понтон ще се използва за бункероване на вътрешноводни плавателни съдове,</w:t>
      </w:r>
      <w:r w:rsidRPr="00113F39">
        <w:t xml:space="preserve"> </w:t>
      </w:r>
      <w:r w:rsidRPr="00113F39">
        <w:rPr>
          <w:rFonts w:ascii="Times New Roman" w:hAnsi="Times New Roman" w:cs="Times New Roman"/>
          <w:sz w:val="24"/>
          <w:szCs w:val="24"/>
        </w:rPr>
        <w:t xml:space="preserve">използващи втечнен природен газ. </w:t>
      </w:r>
    </w:p>
    <w:p w14:paraId="6E46AB2A"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lastRenderedPageBreak/>
        <w:t>Товаро-разтоварните операции ще се извършват посредством специални гъвкави шлангове на понтона и фиксирани тръбопроводи, свързващи понтона със склада.</w:t>
      </w:r>
      <w:r w:rsidRPr="007C469F">
        <w:rPr>
          <w:rFonts w:ascii="Times New Roman" w:hAnsi="Times New Roman" w:cs="Times New Roman"/>
          <w:sz w:val="24"/>
          <w:szCs w:val="24"/>
        </w:rPr>
        <w:t xml:space="preserve"> </w:t>
      </w:r>
      <w:r w:rsidRPr="00113F39">
        <w:rPr>
          <w:rFonts w:ascii="Times New Roman" w:hAnsi="Times New Roman" w:cs="Times New Roman"/>
          <w:sz w:val="24"/>
          <w:szCs w:val="24"/>
        </w:rPr>
        <w:t>Г</w:t>
      </w:r>
      <w:r w:rsidRPr="007C469F">
        <w:rPr>
          <w:rFonts w:ascii="Times New Roman" w:hAnsi="Times New Roman" w:cs="Times New Roman"/>
          <w:sz w:val="24"/>
          <w:szCs w:val="24"/>
        </w:rPr>
        <w:t>ъвкави</w:t>
      </w:r>
      <w:r w:rsidRPr="00113F39">
        <w:rPr>
          <w:rFonts w:ascii="Times New Roman" w:hAnsi="Times New Roman" w:cs="Times New Roman"/>
          <w:sz w:val="24"/>
          <w:szCs w:val="24"/>
        </w:rPr>
        <w:t>те</w:t>
      </w:r>
      <w:r w:rsidRPr="007C469F">
        <w:rPr>
          <w:rFonts w:ascii="Times New Roman" w:hAnsi="Times New Roman" w:cs="Times New Roman"/>
          <w:sz w:val="24"/>
          <w:szCs w:val="24"/>
        </w:rPr>
        <w:t xml:space="preserve"> </w:t>
      </w:r>
      <w:r w:rsidRPr="00113F39">
        <w:rPr>
          <w:rFonts w:ascii="Times New Roman" w:hAnsi="Times New Roman" w:cs="Times New Roman"/>
          <w:sz w:val="24"/>
          <w:szCs w:val="24"/>
        </w:rPr>
        <w:t>шлангове и тръбопроводите имат специална изолация за транспортиране на криогенен газ – втечнен природен газ. Терминалът е свързан към обществената инфраструктура, като водоснабдителна, електроснабдителна и пътна мрежа чрез съществуващите връзки.</w:t>
      </w:r>
    </w:p>
    <w:p w14:paraId="282164EB" w14:textId="77777777" w:rsidR="00986483" w:rsidRPr="00113F39" w:rsidRDefault="00986483" w:rsidP="006D09E6">
      <w:pPr>
        <w:spacing w:before="120" w:after="0" w:line="240" w:lineRule="auto"/>
        <w:ind w:firstLine="708"/>
        <w:jc w:val="both"/>
        <w:rPr>
          <w:rFonts w:ascii="Times New Roman" w:eastAsia="Calibri" w:hAnsi="Times New Roman" w:cs="Times New Roman"/>
          <w:sz w:val="24"/>
          <w:szCs w:val="24"/>
          <w:highlight w:val="yellow"/>
        </w:rPr>
      </w:pPr>
      <w:r w:rsidRPr="00113F39">
        <w:rPr>
          <w:rFonts w:ascii="Times New Roman" w:hAnsi="Times New Roman" w:cs="Times New Roman"/>
          <w:sz w:val="24"/>
          <w:szCs w:val="24"/>
        </w:rPr>
        <w:t xml:space="preserve">Закупени са първите камиони на втечнен природен газ, които ще използват зарядните станции за камиони, разположени в терминалната зона за втечнен природен газ. Камионите ще се използват и за разпространяване на втечнен природен газ до определените от пазарните анализи клиенти. </w:t>
      </w:r>
    </w:p>
    <w:p w14:paraId="24294C30" w14:textId="77777777" w:rsidR="00986483" w:rsidRPr="00113F39" w:rsidRDefault="00986483" w:rsidP="00986483">
      <w:pPr>
        <w:shd w:val="clear" w:color="auto" w:fill="FFFFFF"/>
        <w:spacing w:after="0" w:line="300" w:lineRule="atLeast"/>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Предстои изграждането също и на терминали в София и в Пловдив за срок около 3 години. В Пловдив ще се ползва съществуващ терминал с ж. п. и пътна връзка. Инвестициите в бъдещия терминал за втечнен природен газ в гр. София ще са по-големи</w:t>
      </w:r>
      <w:r w:rsidR="00FE0340">
        <w:rPr>
          <w:rFonts w:ascii="Times New Roman" w:eastAsia="Times New Roman" w:hAnsi="Times New Roman" w:cs="Times New Roman"/>
          <w:sz w:val="24"/>
          <w:szCs w:val="24"/>
          <w:lang w:eastAsia="bg-BG"/>
        </w:rPr>
        <w:t>.</w:t>
      </w:r>
      <w:r w:rsidRPr="00113F39">
        <w:rPr>
          <w:rFonts w:ascii="Times New Roman" w:eastAsia="Times New Roman" w:hAnsi="Times New Roman" w:cs="Times New Roman"/>
          <w:sz w:val="24"/>
          <w:szCs w:val="24"/>
          <w:lang w:eastAsia="bg-BG"/>
        </w:rPr>
        <w:t xml:space="preserve"> Най-вероятното местоположение на терминала ще бъде в близост до ж. п. връзка, като целта е той да се обособи като интермодален център.</w:t>
      </w:r>
    </w:p>
    <w:p w14:paraId="5F5C857B" w14:textId="77777777" w:rsidR="00986483" w:rsidRPr="00113F39" w:rsidRDefault="00986483" w:rsidP="00986483">
      <w:pPr>
        <w:spacing w:after="0" w:line="240" w:lineRule="auto"/>
        <w:rPr>
          <w:rFonts w:ascii="Times New Roman" w:eastAsia="Times New Roman" w:hAnsi="Times New Roman" w:cs="Times New Roman"/>
          <w:sz w:val="24"/>
          <w:szCs w:val="24"/>
          <w:lang w:eastAsia="bg-BG"/>
        </w:rPr>
      </w:pPr>
    </w:p>
    <w:p w14:paraId="7B79BACA" w14:textId="77777777" w:rsidR="00986483" w:rsidRPr="00113F39"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Използването на втечнен природен газ (</w:t>
      </w:r>
      <w:r w:rsidRPr="00113F39">
        <w:rPr>
          <w:rFonts w:ascii="Times New Roman" w:eastAsia="Times New Roman" w:hAnsi="Times New Roman" w:cs="Times New Roman"/>
          <w:sz w:val="24"/>
          <w:szCs w:val="24"/>
          <w:lang w:val="en-GB" w:eastAsia="bg-BG"/>
        </w:rPr>
        <w:t>LNG</w:t>
      </w:r>
      <w:r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като корабно гориво е една от най-обсъжданите теми във водния транспорт и корабоплаването.</w:t>
      </w:r>
      <w:r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 xml:space="preserve">Този нарастващ интерес се обуславя от законодателството и цената на този вид гориво. ЕС вече е въвел законодателство, което от 2018 г. ще налага на корабите, ползващи пристанищата на ЕС, да следят и проверяват емисиите и да докладват за тях. ЕС може да приведе това законодателство в съответствие със световна система, ако се постигне международно споразумение за такава. По отношение на замърсителите на въздуха </w:t>
      </w:r>
      <w:r w:rsidR="00FE0340">
        <w:rPr>
          <w:rFonts w:ascii="Times New Roman" w:eastAsia="Times New Roman" w:hAnsi="Times New Roman" w:cs="Times New Roman"/>
          <w:sz w:val="24"/>
          <w:szCs w:val="24"/>
          <w:lang w:eastAsia="bg-BG"/>
        </w:rPr>
        <w:t>Европейската к</w:t>
      </w:r>
      <w:r w:rsidRPr="00113F39">
        <w:rPr>
          <w:rFonts w:ascii="Times New Roman" w:eastAsia="Times New Roman" w:hAnsi="Times New Roman" w:cs="Times New Roman"/>
          <w:sz w:val="24"/>
          <w:szCs w:val="24"/>
          <w:lang w:eastAsia="bg-BG"/>
        </w:rPr>
        <w:t>омисия подкрепя допълнителните мерки на Международната морска организация за намаляване на емисиите в атмос</w:t>
      </w:r>
      <w:r w:rsidR="00FE0340">
        <w:rPr>
          <w:rFonts w:ascii="Times New Roman" w:eastAsia="Times New Roman" w:hAnsi="Times New Roman" w:cs="Times New Roman"/>
          <w:sz w:val="24"/>
          <w:szCs w:val="24"/>
          <w:lang w:eastAsia="bg-BG"/>
        </w:rPr>
        <w:t>ф</w:t>
      </w:r>
      <w:r w:rsidRPr="00113F39">
        <w:rPr>
          <w:rFonts w:ascii="Times New Roman" w:eastAsia="Times New Roman" w:hAnsi="Times New Roman" w:cs="Times New Roman"/>
          <w:sz w:val="24"/>
          <w:szCs w:val="24"/>
          <w:lang w:eastAsia="bg-BG"/>
        </w:rPr>
        <w:t xml:space="preserve">ерата, като например определянето на допълнителни контролни зони за емисиите и въвеждането </w:t>
      </w:r>
      <w:r w:rsidRPr="00113F39">
        <w:rPr>
          <w:rFonts w:ascii="Times New Roman" w:eastAsia="Times New Roman" w:hAnsi="Times New Roman" w:cs="Times New Roman"/>
          <w:b/>
          <w:sz w:val="24"/>
          <w:szCs w:val="24"/>
          <w:u w:val="single"/>
          <w:lang w:eastAsia="bg-BG"/>
        </w:rPr>
        <w:t>през 2020 г. в световен мащаб на горна граница за съдържанието на сяра в горивата.</w:t>
      </w:r>
      <w:r w:rsidRPr="00113F39">
        <w:rPr>
          <w:rFonts w:ascii="Times New Roman" w:eastAsia="Times New Roman" w:hAnsi="Times New Roman" w:cs="Times New Roman"/>
          <w:sz w:val="24"/>
          <w:szCs w:val="24"/>
          <w:lang w:eastAsia="bg-BG"/>
        </w:rPr>
        <w:t xml:space="preserve"> </w:t>
      </w:r>
    </w:p>
    <w:p w14:paraId="07FFC1EF" w14:textId="77777777" w:rsidR="00986483" w:rsidRPr="00113F39"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Ограничаването на емисиите на серен окис в контролираните Области (ECA</w:t>
      </w:r>
      <w:r w:rsidRPr="00113F39">
        <w:rPr>
          <w:rFonts w:ascii="Times New Roman" w:eastAsia="Times New Roman" w:hAnsi="Times New Roman" w:cs="Times New Roman"/>
          <w:sz w:val="24"/>
          <w:szCs w:val="24"/>
          <w:lang w:val="en-GB" w:eastAsia="bg-BG"/>
        </w:rPr>
        <w:t>s</w:t>
      </w:r>
      <w:r w:rsidRPr="00113F39">
        <w:rPr>
          <w:rFonts w:ascii="Times New Roman" w:eastAsia="Times New Roman" w:hAnsi="Times New Roman" w:cs="Times New Roman"/>
          <w:sz w:val="24"/>
          <w:szCs w:val="24"/>
          <w:lang w:eastAsia="bg-BG"/>
        </w:rPr>
        <w:t>) до 0,1% от 2015 и до 0,5</w:t>
      </w:r>
      <w:r w:rsidRPr="007C469F">
        <w:rPr>
          <w:rFonts w:ascii="Times New Roman" w:eastAsia="Times New Roman" w:hAnsi="Times New Roman" w:cs="Times New Roman"/>
          <w:sz w:val="24"/>
          <w:szCs w:val="24"/>
          <w:lang w:eastAsia="bg-BG"/>
        </w:rPr>
        <w:t>%</w:t>
      </w:r>
      <w:r w:rsidRPr="00113F39">
        <w:rPr>
          <w:rFonts w:ascii="Times New Roman" w:eastAsia="Times New Roman" w:hAnsi="Times New Roman" w:cs="Times New Roman"/>
          <w:sz w:val="24"/>
          <w:szCs w:val="24"/>
          <w:lang w:eastAsia="bg-BG"/>
        </w:rPr>
        <w:t xml:space="preserve"> в световен мащаб от 2020 г. ефективно ще забрани използването на тежки корабни горива. Това означава, че корабите ще трябва да преминат към горива с ниско съдържание на сяра, </w:t>
      </w:r>
      <w:r w:rsidRPr="00113F39">
        <w:rPr>
          <w:rFonts w:ascii="Times New Roman" w:eastAsia="Times New Roman" w:hAnsi="Times New Roman" w:cs="Times New Roman"/>
          <w:sz w:val="24"/>
          <w:szCs w:val="24"/>
          <w:lang w:val="en-GB" w:eastAsia="bg-BG"/>
        </w:rPr>
        <w:t>Marine</w:t>
      </w:r>
      <w:r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val="en-GB" w:eastAsia="bg-BG"/>
        </w:rPr>
        <w:t>Gasoil</w:t>
      </w:r>
      <w:r w:rsidRPr="00113F39">
        <w:rPr>
          <w:rFonts w:ascii="Times New Roman" w:eastAsia="Times New Roman" w:hAnsi="Times New Roman" w:cs="Times New Roman"/>
          <w:sz w:val="24"/>
          <w:szCs w:val="24"/>
          <w:lang w:eastAsia="bg-BG"/>
        </w:rPr>
        <w:t xml:space="preserve"> или втечнен природен газ. В същото време, ограничаването на Nox емисиите в (ECA</w:t>
      </w:r>
      <w:r w:rsidRPr="00113F39">
        <w:rPr>
          <w:rFonts w:ascii="Times New Roman" w:eastAsia="Times New Roman" w:hAnsi="Times New Roman" w:cs="Times New Roman"/>
          <w:sz w:val="24"/>
          <w:szCs w:val="24"/>
          <w:lang w:val="en-GB" w:eastAsia="bg-BG"/>
        </w:rPr>
        <w:t>s</w:t>
      </w:r>
      <w:r w:rsidRPr="00113F39">
        <w:rPr>
          <w:rFonts w:ascii="Times New Roman" w:eastAsia="Times New Roman" w:hAnsi="Times New Roman" w:cs="Times New Roman"/>
          <w:sz w:val="24"/>
          <w:szCs w:val="24"/>
          <w:lang w:eastAsia="bg-BG"/>
        </w:rPr>
        <w:t>) от 2016 г. принуждава корабите или да инсталират скрубери или да преминат към втечнения природен газ като гориво.</w:t>
      </w:r>
    </w:p>
    <w:p w14:paraId="79BFACB0"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 xml:space="preserve">Наред с безспорните предимства, използването на втечнения природен газ като гориво има все още редица проблеми, които възпрепятстват разпространението му. Специалната форма на танковете, необходимостта от изолации и изискванията за разположение, водят до 3 - 4 пъти по-голям обем за горивото, сравнен с класическите схеми. </w:t>
      </w:r>
    </w:p>
    <w:p w14:paraId="4950C4FD"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 xml:space="preserve">Различни са схемите за бункероване на кораба, което може да стане от брегова станция, чрез камиони или чрез снабдителен кораб по море. Въпреки различните начини, местата за бункероване са недостатъчни и са предимно съсредоточени в Норвегия . Това е и основната причина там да има най-много кораби в експлоатация, използващи втечнен природен газ като гориво. </w:t>
      </w:r>
    </w:p>
    <w:p w14:paraId="3AA1EADD"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Сериозна пречка пред мащабното прилагане на втечнения природен газ като гориво се отчита и липсата на подготвени кадри, свързани с бункероването, експлоатация и обслужването на новите системи и устройства.</w:t>
      </w:r>
    </w:p>
    <w:p w14:paraId="70BBE8AA"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 xml:space="preserve">Открояват се две основни групи проблеми – организационни и чисто технически. Към организационните можем да причислим развитието на международното </w:t>
      </w:r>
      <w:r w:rsidRPr="00113F39">
        <w:rPr>
          <w:rFonts w:ascii="Times New Roman" w:hAnsi="Times New Roman" w:cs="Times New Roman"/>
          <w:sz w:val="24"/>
          <w:szCs w:val="24"/>
        </w:rPr>
        <w:lastRenderedPageBreak/>
        <w:t xml:space="preserve">законодателство и правила, както и необходимата инфраструктура за доставка и бункероване на втечнен природен газ. </w:t>
      </w:r>
    </w:p>
    <w:p w14:paraId="73D9AD6D" w14:textId="77777777" w:rsidR="00986483" w:rsidRPr="00113F39" w:rsidRDefault="00986483" w:rsidP="006D09E6">
      <w:pPr>
        <w:spacing w:before="120" w:after="0" w:line="240" w:lineRule="auto"/>
        <w:ind w:firstLine="708"/>
        <w:jc w:val="both"/>
        <w:rPr>
          <w:rFonts w:ascii="Times New Roman" w:hAnsi="Times New Roman" w:cs="Times New Roman"/>
          <w:sz w:val="24"/>
          <w:szCs w:val="24"/>
        </w:rPr>
      </w:pPr>
      <w:r w:rsidRPr="00113F39">
        <w:rPr>
          <w:rFonts w:ascii="Times New Roman" w:hAnsi="Times New Roman" w:cs="Times New Roman"/>
          <w:sz w:val="24"/>
          <w:szCs w:val="24"/>
        </w:rPr>
        <w:t>Втората група проблеми са свързани с чисто технически решения и по-скоро с надеждна методика за оценка на ефективността от прилагането на едно или друго решение, за съществуващи и новостроящи се кораби.</w:t>
      </w:r>
    </w:p>
    <w:p w14:paraId="00DF2F8E"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От брегова гледна точка, </w:t>
      </w:r>
      <w:r w:rsidRPr="007C469F">
        <w:rPr>
          <w:rFonts w:ascii="Times New Roman" w:eastAsia="Times New Roman" w:hAnsi="Times New Roman" w:cs="Times New Roman"/>
          <w:sz w:val="24"/>
          <w:szCs w:val="24"/>
          <w:lang w:eastAsia="bg-BG"/>
        </w:rPr>
        <w:t>втеч</w:t>
      </w:r>
      <w:r w:rsidRPr="00113F39">
        <w:rPr>
          <w:rFonts w:ascii="Times New Roman" w:eastAsia="Times New Roman" w:hAnsi="Times New Roman" w:cs="Times New Roman"/>
          <w:sz w:val="24"/>
          <w:szCs w:val="24"/>
          <w:lang w:eastAsia="bg-BG"/>
        </w:rPr>
        <w:t>неният природен газ е интересна алтернатива като гориво за корабите, особено в зоните с контрол на емисиите.</w:t>
      </w:r>
      <w:r w:rsidRPr="007C469F">
        <w:rPr>
          <w:rFonts w:ascii="Times New Roman" w:eastAsia="Times New Roman" w:hAnsi="Times New Roman" w:cs="Times New Roman"/>
          <w:sz w:val="24"/>
          <w:szCs w:val="24"/>
          <w:lang w:eastAsia="bg-BG"/>
        </w:rPr>
        <w:t xml:space="preserve"> </w:t>
      </w:r>
      <w:r w:rsidRPr="00113F39">
        <w:rPr>
          <w:rFonts w:ascii="Times New Roman" w:eastAsia="Times New Roman" w:hAnsi="Times New Roman" w:cs="Times New Roman"/>
          <w:sz w:val="24"/>
          <w:szCs w:val="24"/>
          <w:lang w:eastAsia="bg-BG"/>
        </w:rPr>
        <w:t xml:space="preserve">Въпреки това, някои практически въпроси трябва да бъдат решени преди това гориво да бъде въведено в търговски мащаб, като зареждане, безопасност, технически и експлоатационни условия, и накрая инфраструктурата. </w:t>
      </w:r>
    </w:p>
    <w:p w14:paraId="0D2FFEEE" w14:textId="77777777" w:rsidR="00986483" w:rsidRPr="00113F39"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На този етап доставката на втечнен природен газ от Катар за страните от Черноморския басейн Украйна, Румъния и България е малко вероятна поради нежеланието на Турция да</w:t>
      </w:r>
      <w:r w:rsidRPr="00113F39">
        <w:rPr>
          <w:rFonts w:ascii="Times New Roman" w:eastAsia="Times New Roman" w:hAnsi="Times New Roman" w:cs="Times New Roman"/>
          <w:lang w:eastAsia="bg-BG"/>
        </w:rPr>
        <w:t xml:space="preserve"> </w:t>
      </w:r>
      <w:r w:rsidRPr="00113F39">
        <w:rPr>
          <w:rFonts w:ascii="Times New Roman" w:eastAsia="Times New Roman" w:hAnsi="Times New Roman" w:cs="Times New Roman"/>
          <w:sz w:val="24"/>
          <w:szCs w:val="24"/>
          <w:lang w:eastAsia="bg-BG"/>
        </w:rPr>
        <w:t>допусне трафик през Босфора на кораби, превозващи втечнен природен газ.</w:t>
      </w:r>
    </w:p>
    <w:p w14:paraId="0553A79D" w14:textId="77777777" w:rsidR="00986483" w:rsidRPr="007C469F"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Целесъобразно е България да използва добри практики от реализирани проекти на морски и речни пристанища на други европейски страни преди да пристъпи към изграждането на необходимата инфраструктура за доставка и бункероване на втечнен природен газ.</w:t>
      </w:r>
      <w:r w:rsidRPr="007C469F">
        <w:rPr>
          <w:rFonts w:ascii="Times New Roman" w:eastAsia="Times New Roman" w:hAnsi="Times New Roman" w:cs="Times New Roman"/>
          <w:sz w:val="24"/>
          <w:szCs w:val="24"/>
          <w:lang w:eastAsia="bg-BG"/>
        </w:rPr>
        <w:t xml:space="preserve"> </w:t>
      </w:r>
    </w:p>
    <w:p w14:paraId="7551E505" w14:textId="77777777" w:rsidR="00986483" w:rsidRPr="00113F39"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Добър пример в това отношение са </w:t>
      </w:r>
      <w:r w:rsidRPr="007C469F">
        <w:rPr>
          <w:rFonts w:ascii="Times New Roman" w:eastAsia="Times New Roman" w:hAnsi="Times New Roman" w:cs="Times New Roman"/>
          <w:sz w:val="24"/>
          <w:szCs w:val="24"/>
          <w:lang w:eastAsia="bg-BG"/>
        </w:rPr>
        <w:t>проект</w:t>
      </w:r>
      <w:r w:rsidRPr="00113F39">
        <w:rPr>
          <w:rFonts w:ascii="Times New Roman" w:eastAsia="Times New Roman" w:hAnsi="Times New Roman" w:cs="Times New Roman"/>
          <w:sz w:val="24"/>
          <w:szCs w:val="24"/>
          <w:lang w:eastAsia="bg-BG"/>
        </w:rPr>
        <w:t>ите</w:t>
      </w:r>
      <w:r w:rsidRPr="007C469F">
        <w:rPr>
          <w:rFonts w:ascii="Times New Roman" w:eastAsia="Times New Roman" w:hAnsi="Times New Roman" w:cs="Times New Roman"/>
          <w:sz w:val="24"/>
          <w:szCs w:val="24"/>
          <w:lang w:eastAsia="bg-BG"/>
        </w:rPr>
        <w:t xml:space="preserve"> в пристанищата на Балтийско море </w:t>
      </w:r>
      <w:r w:rsidRPr="00113F39">
        <w:rPr>
          <w:rFonts w:ascii="Times New Roman" w:eastAsia="Times New Roman" w:hAnsi="Times New Roman" w:cs="Times New Roman"/>
          <w:sz w:val="24"/>
          <w:szCs w:val="24"/>
          <w:lang w:val="en-GB" w:eastAsia="bg-BG"/>
        </w:rPr>
        <w:t>I</w:t>
      </w:r>
      <w:r w:rsidRPr="007C469F">
        <w:rPr>
          <w:rFonts w:ascii="Times New Roman" w:eastAsia="Times New Roman" w:hAnsi="Times New Roman" w:cs="Times New Roman"/>
          <w:sz w:val="24"/>
          <w:szCs w:val="24"/>
          <w:lang w:eastAsia="bg-BG"/>
        </w:rPr>
        <w:t xml:space="preserve"> + </w:t>
      </w:r>
      <w:r w:rsidRPr="00113F39">
        <w:rPr>
          <w:rFonts w:ascii="Times New Roman" w:eastAsia="Times New Roman" w:hAnsi="Times New Roman" w:cs="Times New Roman"/>
          <w:sz w:val="24"/>
          <w:szCs w:val="24"/>
          <w:lang w:val="en-GB" w:eastAsia="bg-BG"/>
        </w:rPr>
        <w:t>II</w:t>
      </w:r>
      <w:r w:rsidRPr="00113F39">
        <w:rPr>
          <w:rFonts w:ascii="Times New Roman" w:eastAsia="Times New Roman" w:hAnsi="Times New Roman" w:cs="Times New Roman"/>
          <w:sz w:val="24"/>
          <w:szCs w:val="24"/>
          <w:lang w:eastAsia="bg-BG"/>
        </w:rPr>
        <w:t xml:space="preserve">, фокусирани върху втечнения природен газ като ключово решение, чиято цел е да се насърчи хармонизирания подход към бункероване с това гориво и изграждане инфраструктура във въпросните области. Участващи пристанища са Стокхолм, Хелзинки, Турку, Талин, Копенхаген-Малмьо, </w:t>
      </w:r>
      <w:r w:rsidR="00E66958">
        <w:rPr>
          <w:rFonts w:ascii="Times New Roman" w:eastAsia="Times New Roman" w:hAnsi="Times New Roman" w:cs="Times New Roman"/>
          <w:sz w:val="24"/>
          <w:szCs w:val="24"/>
          <w:lang w:eastAsia="bg-BG"/>
        </w:rPr>
        <w:t>Аархус</w:t>
      </w:r>
      <w:r w:rsidRPr="00113F39">
        <w:rPr>
          <w:rFonts w:ascii="Times New Roman" w:eastAsia="Times New Roman" w:hAnsi="Times New Roman" w:cs="Times New Roman"/>
          <w:sz w:val="24"/>
          <w:szCs w:val="24"/>
          <w:lang w:eastAsia="bg-BG"/>
        </w:rPr>
        <w:t xml:space="preserve">, Хелзингборг, </w:t>
      </w:r>
      <w:r w:rsidR="00E66958">
        <w:rPr>
          <w:rFonts w:ascii="Times New Roman" w:eastAsia="Times New Roman" w:hAnsi="Times New Roman" w:cs="Times New Roman"/>
          <w:sz w:val="24"/>
          <w:szCs w:val="24"/>
          <w:lang w:eastAsia="bg-BG"/>
        </w:rPr>
        <w:t>Телеборг</w:t>
      </w:r>
      <w:r w:rsidRPr="00113F39">
        <w:rPr>
          <w:rFonts w:ascii="Times New Roman" w:eastAsia="Times New Roman" w:hAnsi="Times New Roman" w:cs="Times New Roman"/>
          <w:sz w:val="24"/>
          <w:szCs w:val="24"/>
          <w:lang w:eastAsia="bg-BG"/>
        </w:rPr>
        <w:t xml:space="preserve">, Сундсвал, Рощок, Клайпеда. Техните индивидуални проекти са довели до инвестиции в пристанищната инфраструктура и са помогнали да се даде възможност за бункероване на втечнен природен газ чрез: провеждане на проучвания за приложимост на терминали за втечнен природен газ и бункеровчици, извършване на оценка на въздействие върху околната среда, разработване на ръководства за безопасност, проучване на регионални пазари. </w:t>
      </w:r>
    </w:p>
    <w:p w14:paraId="61CBF51A" w14:textId="77777777" w:rsidR="00986483" w:rsidRPr="00113F39"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Опитът от тези проекти препоръчва извършването на следните стъпки:</w:t>
      </w:r>
    </w:p>
    <w:p w14:paraId="6886C77A" w14:textId="77777777" w:rsidR="00986483" w:rsidRPr="007C469F"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 Проучване на техническата осъществимост. </w:t>
      </w:r>
    </w:p>
    <w:p w14:paraId="159F75C7"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На първо място трябва да се извърши цялостно предпроектно проучване по отношение на потенциала на пазара за доставки на втечнен природен газ в пристанището и неговите прилежащи територии, необходими обеми и начин на съхранение. </w:t>
      </w:r>
    </w:p>
    <w:p w14:paraId="217620B2" w14:textId="77777777" w:rsidR="00986483" w:rsidRDefault="00986483" w:rsidP="006D09E6">
      <w:pPr>
        <w:spacing w:after="0" w:line="240" w:lineRule="auto"/>
        <w:ind w:firstLine="708"/>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Следва да се направи ясно разграничение на ролите в създаване терминал за втечнен природен газ. Пристанището най-често е собственик на земята, а инвестицията в терминала може да бъде отговорност на пристанището, общината, доставчик на газ и /или оператора. Определяне на различни инвестиционни роли е важно в началото на проекта.</w:t>
      </w:r>
    </w:p>
    <w:p w14:paraId="4BD1187E" w14:textId="77777777" w:rsidR="00723AAA" w:rsidRPr="00113F39" w:rsidRDefault="00723AAA" w:rsidP="006D09E6">
      <w:pPr>
        <w:spacing w:after="0" w:line="240" w:lineRule="auto"/>
        <w:ind w:firstLine="708"/>
        <w:jc w:val="both"/>
        <w:rPr>
          <w:rFonts w:ascii="Times New Roman" w:eastAsia="Times New Roman" w:hAnsi="Times New Roman" w:cs="Times New Roman"/>
          <w:sz w:val="24"/>
          <w:szCs w:val="24"/>
          <w:lang w:eastAsia="bg-BG"/>
        </w:rPr>
      </w:pPr>
    </w:p>
    <w:p w14:paraId="2FA56CB8"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 </w:t>
      </w:r>
      <w:r w:rsidR="000132E9">
        <w:rPr>
          <w:rFonts w:ascii="Times New Roman" w:eastAsia="Times New Roman" w:hAnsi="Times New Roman" w:cs="Times New Roman"/>
          <w:sz w:val="24"/>
          <w:szCs w:val="24"/>
          <w:lang w:eastAsia="bg-BG"/>
        </w:rPr>
        <w:t>Ф</w:t>
      </w:r>
      <w:r w:rsidRPr="00113F39">
        <w:rPr>
          <w:rFonts w:ascii="Times New Roman" w:eastAsia="Times New Roman" w:hAnsi="Times New Roman" w:cs="Times New Roman"/>
          <w:sz w:val="24"/>
          <w:szCs w:val="24"/>
          <w:lang w:eastAsia="bg-BG"/>
        </w:rPr>
        <w:t xml:space="preserve">инансов анализ за установяване </w:t>
      </w:r>
      <w:r w:rsidR="00723AAA" w:rsidRPr="00113F39">
        <w:rPr>
          <w:rFonts w:ascii="Times New Roman" w:eastAsia="Times New Roman" w:hAnsi="Times New Roman" w:cs="Times New Roman"/>
          <w:sz w:val="24"/>
          <w:szCs w:val="24"/>
          <w:lang w:eastAsia="bg-BG"/>
        </w:rPr>
        <w:t>зрелостта</w:t>
      </w:r>
      <w:r w:rsidRPr="00113F39">
        <w:rPr>
          <w:rFonts w:ascii="Times New Roman" w:eastAsia="Times New Roman" w:hAnsi="Times New Roman" w:cs="Times New Roman"/>
          <w:sz w:val="24"/>
          <w:szCs w:val="24"/>
          <w:lang w:eastAsia="bg-BG"/>
        </w:rPr>
        <w:t xml:space="preserve"> на дадения проект</w:t>
      </w:r>
      <w:r w:rsidR="000132E9">
        <w:rPr>
          <w:rFonts w:ascii="Times New Roman" w:eastAsia="Times New Roman" w:hAnsi="Times New Roman" w:cs="Times New Roman"/>
          <w:sz w:val="24"/>
          <w:szCs w:val="24"/>
          <w:lang w:eastAsia="bg-BG"/>
        </w:rPr>
        <w:t>.</w:t>
      </w:r>
    </w:p>
    <w:p w14:paraId="7848AB9A"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 </w:t>
      </w:r>
      <w:r w:rsidR="000132E9">
        <w:rPr>
          <w:rFonts w:ascii="Times New Roman" w:eastAsia="Times New Roman" w:hAnsi="Times New Roman" w:cs="Times New Roman"/>
          <w:sz w:val="24"/>
          <w:szCs w:val="24"/>
          <w:lang w:eastAsia="bg-BG"/>
        </w:rPr>
        <w:t>Ц</w:t>
      </w:r>
      <w:r w:rsidRPr="00113F39">
        <w:rPr>
          <w:rFonts w:ascii="Times New Roman" w:eastAsia="Times New Roman" w:hAnsi="Times New Roman" w:cs="Times New Roman"/>
          <w:sz w:val="24"/>
          <w:szCs w:val="24"/>
          <w:lang w:eastAsia="bg-BG"/>
        </w:rPr>
        <w:t>ялостна инвентаризация на всички заинтересовани страни и приложими разпоредби.</w:t>
      </w:r>
    </w:p>
    <w:p w14:paraId="16EC2E35"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 </w:t>
      </w:r>
      <w:r w:rsidR="000132E9">
        <w:rPr>
          <w:rFonts w:ascii="Times New Roman" w:eastAsia="Times New Roman" w:hAnsi="Times New Roman" w:cs="Times New Roman"/>
          <w:sz w:val="24"/>
          <w:szCs w:val="24"/>
          <w:lang w:eastAsia="bg-BG"/>
        </w:rPr>
        <w:t>О</w:t>
      </w:r>
      <w:r w:rsidRPr="00113F39">
        <w:rPr>
          <w:rFonts w:ascii="Times New Roman" w:eastAsia="Times New Roman" w:hAnsi="Times New Roman" w:cs="Times New Roman"/>
          <w:sz w:val="24"/>
          <w:szCs w:val="24"/>
          <w:lang w:eastAsia="bg-BG"/>
        </w:rPr>
        <w:t>бучение на персонала по отношение мерки за риск и безопасност.</w:t>
      </w:r>
    </w:p>
    <w:p w14:paraId="7DB55315"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След проектиране на процеса, може да се започне с необходимите инсталации.</w:t>
      </w:r>
    </w:p>
    <w:p w14:paraId="304156CC"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Определяне на съответните закони и наредби, които се прилагат за процеса.</w:t>
      </w:r>
    </w:p>
    <w:p w14:paraId="55ABA7D9"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Диалог със съответните органи в една ранна фаза. Това може да бъде както на местно така и на национално ниво.</w:t>
      </w:r>
    </w:p>
    <w:p w14:paraId="35532492"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По време на фаза проектиране да бъдат включени заинтересованите страни и възможни инвеститори на терминала.</w:t>
      </w:r>
    </w:p>
    <w:p w14:paraId="51AECEBA" w14:textId="77777777" w:rsidR="00986483" w:rsidRPr="00113F39" w:rsidRDefault="00986483" w:rsidP="00986483">
      <w:pPr>
        <w:spacing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 Финансови аспекти: много важно е да се намерят начини за сътрудничество със заинтересованите страни, за да се споделят  инвестиционните разходи за терминала. В </w:t>
      </w:r>
      <w:r w:rsidRPr="00113F39">
        <w:rPr>
          <w:rFonts w:ascii="Times New Roman" w:eastAsia="Times New Roman" w:hAnsi="Times New Roman" w:cs="Times New Roman"/>
          <w:sz w:val="24"/>
          <w:szCs w:val="24"/>
          <w:lang w:eastAsia="bg-BG"/>
        </w:rPr>
        <w:lastRenderedPageBreak/>
        <w:t>по-ранен етап от процеса на планиране, е необходимо да се започне диалог с тези, които финансират, доставчици на газ, оператори и т.н., за идентифициране на финансови решения.</w:t>
      </w:r>
    </w:p>
    <w:p w14:paraId="3A3D9FAB" w14:textId="77777777" w:rsidR="00B826CA" w:rsidRPr="002C36F8" w:rsidRDefault="00B826CA" w:rsidP="00F17EF7">
      <w:pPr>
        <w:spacing w:after="0"/>
        <w:rPr>
          <w:b/>
        </w:rPr>
      </w:pPr>
    </w:p>
    <w:p w14:paraId="692344C0" w14:textId="77777777" w:rsidR="006C5374" w:rsidRPr="002C36F8" w:rsidRDefault="00EE194E" w:rsidP="00EE194E">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986483">
        <w:rPr>
          <w:rFonts w:ascii="Times New Roman" w:hAnsi="Times New Roman" w:cs="Times New Roman"/>
          <w:b/>
          <w:sz w:val="24"/>
          <w:szCs w:val="24"/>
        </w:rPr>
        <w:t>. Актуално състояние на инфраструктура</w:t>
      </w:r>
      <w:r w:rsidR="00233C22">
        <w:rPr>
          <w:rFonts w:ascii="Times New Roman" w:hAnsi="Times New Roman" w:cs="Times New Roman"/>
          <w:b/>
          <w:sz w:val="24"/>
          <w:szCs w:val="24"/>
        </w:rPr>
        <w:t xml:space="preserve">та </w:t>
      </w:r>
      <w:r w:rsidR="00986483">
        <w:rPr>
          <w:rFonts w:ascii="Times New Roman" w:hAnsi="Times New Roman" w:cs="Times New Roman"/>
          <w:b/>
          <w:sz w:val="24"/>
          <w:szCs w:val="24"/>
        </w:rPr>
        <w:t xml:space="preserve">за алтернативни горива във въздушния транспорт </w:t>
      </w:r>
    </w:p>
    <w:p w14:paraId="09116D98" w14:textId="77777777" w:rsidR="00F17EF7" w:rsidRPr="00554C19" w:rsidRDefault="00EE194E" w:rsidP="00F17EF7">
      <w:pPr>
        <w:spacing w:after="0"/>
      </w:pPr>
      <w:r>
        <w:rPr>
          <w:rFonts w:ascii="Times New Roman" w:hAnsi="Times New Roman" w:cs="Times New Roman"/>
          <w:b/>
          <w:sz w:val="24"/>
          <w:szCs w:val="24"/>
        </w:rPr>
        <w:t>9</w:t>
      </w:r>
      <w:r w:rsidR="00170CCA">
        <w:rPr>
          <w:rFonts w:ascii="Times New Roman" w:hAnsi="Times New Roman" w:cs="Times New Roman"/>
          <w:b/>
          <w:sz w:val="24"/>
          <w:szCs w:val="24"/>
        </w:rPr>
        <w:t>.</w:t>
      </w:r>
      <w:r w:rsidR="00986483">
        <w:rPr>
          <w:rFonts w:ascii="Times New Roman" w:hAnsi="Times New Roman" w:cs="Times New Roman"/>
          <w:b/>
          <w:sz w:val="24"/>
          <w:szCs w:val="24"/>
        </w:rPr>
        <w:t>1.</w:t>
      </w:r>
      <w:r w:rsidR="00554C19" w:rsidRPr="00554C19">
        <w:rPr>
          <w:rFonts w:ascii="Times New Roman" w:eastAsia="Times New Roman" w:hAnsi="Times New Roman" w:cs="Times New Roman"/>
          <w:b/>
          <w:sz w:val="24"/>
          <w:szCs w:val="24"/>
          <w:lang w:eastAsia="bg-BG"/>
        </w:rPr>
        <w:t>Електрозахранване на летищата</w:t>
      </w:r>
    </w:p>
    <w:p w14:paraId="7CA60CA6" w14:textId="77777777" w:rsidR="00E210A7" w:rsidRPr="00E210A7" w:rsidRDefault="00E210A7" w:rsidP="00E210A7">
      <w:pPr>
        <w:widowControl w:val="0"/>
        <w:spacing w:before="120" w:after="0" w:line="240" w:lineRule="auto"/>
        <w:ind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Терминът „стационарен самолет“, така както е използван в Директива 2014/94/ЕС, се отнася за фазата, в която самолетът е позициониран на летището стационарно на самолетна стоянка, с неработещи двигатели, за периода между приключване на рулирането след кацане и преди начало на рулиране за следващия полет.</w:t>
      </w:r>
    </w:p>
    <w:p w14:paraId="0940317F" w14:textId="77777777" w:rsidR="00E210A7" w:rsidRPr="00E210A7" w:rsidRDefault="00E210A7" w:rsidP="00E210A7">
      <w:pPr>
        <w:widowControl w:val="0"/>
        <w:spacing w:before="120" w:after="0" w:line="240" w:lineRule="auto"/>
        <w:ind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 xml:space="preserve">За осигуряване на необходимата електроенергия през тази фаза, самолетите разполагат със собствен Спомагателен Енергиен Агрегат - СЕА </w:t>
      </w:r>
      <w:r w:rsidRPr="007C469F">
        <w:rPr>
          <w:rFonts w:ascii="Times New Roman" w:eastAsia="Times New Roman" w:hAnsi="Times New Roman" w:cs="Times New Roman"/>
          <w:color w:val="000000"/>
          <w:sz w:val="24"/>
          <w:szCs w:val="24"/>
          <w:lang w:eastAsia="bg-BG"/>
        </w:rPr>
        <w:t>(</w:t>
      </w:r>
      <w:r w:rsidRPr="00E210A7">
        <w:rPr>
          <w:rFonts w:ascii="Times New Roman" w:eastAsia="Times New Roman" w:hAnsi="Times New Roman" w:cs="Times New Roman"/>
          <w:color w:val="000000"/>
          <w:sz w:val="24"/>
          <w:szCs w:val="24"/>
          <w:lang w:val="en-US" w:eastAsia="bg-BG"/>
        </w:rPr>
        <w:t>Auxiliary</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Power</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Unit</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APU</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който обикновено представлява малък газотурбинен двигател и свързан към него електроагрегат, подаващ необходимата енергия за електрозахранване на бордното оборудване, налягането в хидросистемата и климатизиране на въздуха в салона на самолета.</w:t>
      </w:r>
    </w:p>
    <w:p w14:paraId="7EB78BE8" w14:textId="77777777" w:rsidR="00E210A7" w:rsidRPr="00E210A7" w:rsidRDefault="00E210A7" w:rsidP="00E210A7">
      <w:pPr>
        <w:widowControl w:val="0"/>
        <w:spacing w:before="120" w:after="0" w:line="240" w:lineRule="auto"/>
        <w:ind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Използването на СЕА е свързано с отрицателно влияние на околната среда в две основни направления:</w:t>
      </w:r>
    </w:p>
    <w:p w14:paraId="627F3B04" w14:textId="77777777" w:rsidR="00E210A7" w:rsidRPr="00E210A7" w:rsidRDefault="00E210A7" w:rsidP="001A0506">
      <w:pPr>
        <w:widowControl w:val="0"/>
        <w:numPr>
          <w:ilvl w:val="0"/>
          <w:numId w:val="26"/>
        </w:numPr>
        <w:tabs>
          <w:tab w:val="left" w:pos="8080"/>
        </w:tabs>
        <w:spacing w:before="120" w:after="0" w:line="240" w:lineRule="auto"/>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Ниска ефективност на двигателя (10-14%), висок разход на керосин (над 500 литра на час за самолет от типа на Боинг-747) и съответно високи емисии на парникови газове;</w:t>
      </w:r>
    </w:p>
    <w:p w14:paraId="4607EC7B" w14:textId="77777777" w:rsidR="00E210A7" w:rsidRPr="00E210A7" w:rsidRDefault="00E210A7" w:rsidP="001A0506">
      <w:pPr>
        <w:widowControl w:val="0"/>
        <w:numPr>
          <w:ilvl w:val="0"/>
          <w:numId w:val="26"/>
        </w:numPr>
        <w:tabs>
          <w:tab w:val="left" w:pos="8080"/>
        </w:tabs>
        <w:spacing w:before="120" w:after="0" w:line="240" w:lineRule="auto"/>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Високи шумови нива на перона на летището (около 80 децибела).</w:t>
      </w:r>
    </w:p>
    <w:p w14:paraId="39081755" w14:textId="77777777" w:rsidR="00E210A7" w:rsidRPr="00E210A7" w:rsidRDefault="00E210A7" w:rsidP="00E210A7">
      <w:pPr>
        <w:widowControl w:val="0"/>
        <w:spacing w:after="120" w:line="240" w:lineRule="auto"/>
        <w:ind w:left="40" w:right="2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Влиянието на горецитираните отрицателни фактори може да се намали значително, ако през „стационарната“ фаза се осигури на самолетите енергия от алтернативни източници, като по този начин се избегне използването на техния СЕА.</w:t>
      </w:r>
    </w:p>
    <w:p w14:paraId="0673D9E5" w14:textId="77777777" w:rsidR="00E210A7" w:rsidRPr="00E210A7" w:rsidRDefault="00E210A7" w:rsidP="00E210A7">
      <w:pPr>
        <w:widowControl w:val="0"/>
        <w:spacing w:after="120" w:line="240" w:lineRule="auto"/>
        <w:ind w:left="40" w:right="2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Тази възможност за разгръщане на инфраструктура за алтернативни горива е посочена в Директива 2014/94/ЕС като основно направление по отношение на въздушния транспорт.</w:t>
      </w:r>
    </w:p>
    <w:p w14:paraId="257ADAA5" w14:textId="77777777" w:rsidR="00E210A7" w:rsidRPr="00E210A7" w:rsidRDefault="00E210A7" w:rsidP="00E210A7">
      <w:pPr>
        <w:widowControl w:val="0"/>
        <w:spacing w:after="166" w:line="240" w:lineRule="auto"/>
        <w:ind w:left="40" w:right="2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Съгласно Рецитал (36) на Директивата: „Захранването с електроенергия на стационарни самолети на самите летища може да доведе до намаляване на потреблението на гориво и на равнището на шума, до подобряване на качеството на въздуха и до намаляване на въздействието върху изменението на климата“.</w:t>
      </w:r>
    </w:p>
    <w:p w14:paraId="7522A51C" w14:textId="77777777" w:rsidR="00E210A7" w:rsidRPr="00E210A7" w:rsidRDefault="00E210A7" w:rsidP="00E210A7">
      <w:pPr>
        <w:widowControl w:val="0"/>
        <w:spacing w:after="0" w:line="240" w:lineRule="auto"/>
        <w:ind w:left="40" w:right="2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Инсталирането на съответната инфраструктура за електроснабдяване на стационарни самолети на летищата се определя като ключова оперативна възможност за намаляване до минимум консумацията на гориво, както и съответния шум и емисии на С02 в близост до пътнически терминали.</w:t>
      </w:r>
      <w:bookmarkStart w:id="1" w:name="bookmark2"/>
      <w:r w:rsidRPr="00E210A7">
        <w:rPr>
          <w:rFonts w:ascii="Times New Roman" w:eastAsia="Times New Roman" w:hAnsi="Times New Roman" w:cs="Times New Roman"/>
          <w:color w:val="000000"/>
          <w:sz w:val="24"/>
          <w:szCs w:val="24"/>
          <w:lang w:eastAsia="bg-BG"/>
        </w:rPr>
        <w:t xml:space="preserve"> </w:t>
      </w:r>
    </w:p>
    <w:p w14:paraId="4D2513B7" w14:textId="77777777" w:rsidR="00E210A7" w:rsidRPr="00E210A7" w:rsidRDefault="00E210A7" w:rsidP="00E210A7">
      <w:pPr>
        <w:widowControl w:val="0"/>
        <w:spacing w:after="0" w:line="240" w:lineRule="auto"/>
        <w:ind w:right="20"/>
        <w:jc w:val="both"/>
        <w:rPr>
          <w:rFonts w:ascii="Times New Roman" w:eastAsia="Times New Roman" w:hAnsi="Times New Roman" w:cs="Times New Roman"/>
          <w:b/>
          <w:color w:val="000000"/>
          <w:lang w:eastAsia="bg-BG"/>
        </w:rPr>
      </w:pPr>
    </w:p>
    <w:p w14:paraId="6C782FEB" w14:textId="77777777" w:rsidR="00941B5E" w:rsidRDefault="00941B5E" w:rsidP="00E210A7">
      <w:pPr>
        <w:widowControl w:val="0"/>
        <w:spacing w:after="0" w:line="240" w:lineRule="auto"/>
        <w:ind w:right="20"/>
        <w:jc w:val="both"/>
        <w:rPr>
          <w:rFonts w:ascii="Times New Roman" w:eastAsia="Times New Roman" w:hAnsi="Times New Roman" w:cs="Times New Roman"/>
          <w:b/>
          <w:color w:val="000000"/>
          <w:lang w:eastAsia="bg-BG"/>
        </w:rPr>
      </w:pPr>
    </w:p>
    <w:p w14:paraId="227226BA" w14:textId="14FC9066" w:rsidR="00E210A7" w:rsidRPr="00E210A7" w:rsidRDefault="00E210A7" w:rsidP="00280F68">
      <w:pPr>
        <w:widowControl w:val="0"/>
        <w:spacing w:after="0" w:line="240" w:lineRule="auto"/>
        <w:ind w:right="20" w:firstLine="708"/>
        <w:jc w:val="both"/>
        <w:rPr>
          <w:rFonts w:ascii="Times New Roman" w:eastAsia="Times New Roman" w:hAnsi="Times New Roman" w:cs="Times New Roman"/>
          <w:b/>
          <w:color w:val="000000"/>
          <w:lang w:eastAsia="bg-BG"/>
        </w:rPr>
      </w:pPr>
      <w:r w:rsidRPr="00E210A7">
        <w:rPr>
          <w:rFonts w:ascii="Times New Roman" w:eastAsia="Times New Roman" w:hAnsi="Times New Roman" w:cs="Times New Roman"/>
          <w:b/>
          <w:color w:val="000000"/>
          <w:lang w:eastAsia="bg-BG"/>
        </w:rPr>
        <w:t>Основни технологични възможности за алтернатива на СЕА</w:t>
      </w:r>
      <w:bookmarkEnd w:id="1"/>
    </w:p>
    <w:p w14:paraId="10447FD8" w14:textId="77777777" w:rsidR="00E210A7" w:rsidRPr="007C469F" w:rsidRDefault="00E210A7" w:rsidP="00E210A7">
      <w:pPr>
        <w:widowControl w:val="0"/>
        <w:spacing w:after="0" w:line="240" w:lineRule="auto"/>
        <w:ind w:right="20"/>
        <w:jc w:val="both"/>
        <w:rPr>
          <w:rFonts w:ascii="Times New Roman" w:eastAsia="Times New Roman" w:hAnsi="Times New Roman" w:cs="Times New Roman"/>
          <w:b/>
          <w:color w:val="000000"/>
          <w:sz w:val="24"/>
          <w:szCs w:val="24"/>
          <w:lang w:eastAsia="bg-BG"/>
        </w:rPr>
      </w:pPr>
      <w:r w:rsidRPr="00E210A7">
        <w:rPr>
          <w:rFonts w:ascii="Times New Roman" w:eastAsia="Times New Roman" w:hAnsi="Times New Roman" w:cs="Times New Roman"/>
          <w:color w:val="000000"/>
          <w:sz w:val="24"/>
          <w:szCs w:val="24"/>
          <w:lang w:eastAsia="bg-BG"/>
        </w:rPr>
        <w:t>Към настоящия момент съществуват следните технологии, които предоставят възможност за заместване на СЕА на стационарните самолети.</w:t>
      </w:r>
    </w:p>
    <w:p w14:paraId="2EE945E1" w14:textId="77777777" w:rsidR="00E210A7" w:rsidRPr="00E210A7" w:rsidRDefault="00E210A7" w:rsidP="00E210A7">
      <w:pPr>
        <w:widowControl w:val="0"/>
        <w:tabs>
          <w:tab w:val="left" w:pos="327"/>
        </w:tabs>
        <w:spacing w:before="120" w:after="0" w:line="240" w:lineRule="auto"/>
        <w:ind w:firstLine="709"/>
        <w:jc w:val="both"/>
        <w:rPr>
          <w:rFonts w:ascii="Times New Roman" w:eastAsia="Times New Roman" w:hAnsi="Times New Roman" w:cs="Times New Roman"/>
          <w:b/>
          <w:bCs/>
          <w:color w:val="000000"/>
          <w:sz w:val="24"/>
          <w:szCs w:val="24"/>
          <w:lang w:eastAsia="bg-BG"/>
        </w:rPr>
      </w:pPr>
      <w:r w:rsidRPr="00E210A7">
        <w:rPr>
          <w:rFonts w:ascii="Times New Roman" w:eastAsia="Times New Roman" w:hAnsi="Times New Roman" w:cs="Times New Roman"/>
          <w:b/>
          <w:bCs/>
          <w:color w:val="000000"/>
          <w:sz w:val="24"/>
          <w:szCs w:val="24"/>
          <w:lang w:eastAsia="bg-BG"/>
        </w:rPr>
        <w:t xml:space="preserve">Стационарно наземно електрозахранване </w:t>
      </w:r>
      <w:r w:rsidRPr="007C469F">
        <w:rPr>
          <w:rFonts w:ascii="Times New Roman" w:eastAsia="Times New Roman" w:hAnsi="Times New Roman" w:cs="Times New Roman"/>
          <w:b/>
          <w:bCs/>
          <w:color w:val="000000"/>
          <w:sz w:val="24"/>
          <w:szCs w:val="24"/>
          <w:lang w:eastAsia="bg-BG"/>
        </w:rPr>
        <w:t>(</w:t>
      </w:r>
      <w:r w:rsidRPr="00E210A7">
        <w:rPr>
          <w:rFonts w:ascii="Times New Roman" w:eastAsia="Times New Roman" w:hAnsi="Times New Roman" w:cs="Times New Roman"/>
          <w:b/>
          <w:bCs/>
          <w:color w:val="000000"/>
          <w:sz w:val="24"/>
          <w:szCs w:val="24"/>
          <w:lang w:val="en-US" w:eastAsia="bg-BG"/>
        </w:rPr>
        <w:t>Fixed</w:t>
      </w:r>
      <w:r w:rsidRPr="007C469F">
        <w:rPr>
          <w:rFonts w:ascii="Times New Roman" w:eastAsia="Times New Roman" w:hAnsi="Times New Roman" w:cs="Times New Roman"/>
          <w:b/>
          <w:bCs/>
          <w:color w:val="000000"/>
          <w:sz w:val="24"/>
          <w:szCs w:val="24"/>
          <w:lang w:eastAsia="bg-BG"/>
        </w:rPr>
        <w:t xml:space="preserve"> </w:t>
      </w:r>
      <w:r w:rsidRPr="00E210A7">
        <w:rPr>
          <w:rFonts w:ascii="Times New Roman" w:eastAsia="Times New Roman" w:hAnsi="Times New Roman" w:cs="Times New Roman"/>
          <w:b/>
          <w:bCs/>
          <w:color w:val="000000"/>
          <w:sz w:val="24"/>
          <w:szCs w:val="24"/>
          <w:lang w:val="en-US" w:eastAsia="bg-BG"/>
        </w:rPr>
        <w:t>Electrical</w:t>
      </w:r>
      <w:r w:rsidRPr="007C469F">
        <w:rPr>
          <w:rFonts w:ascii="Times New Roman" w:eastAsia="Times New Roman" w:hAnsi="Times New Roman" w:cs="Times New Roman"/>
          <w:b/>
          <w:bCs/>
          <w:color w:val="000000"/>
          <w:sz w:val="24"/>
          <w:szCs w:val="24"/>
          <w:lang w:eastAsia="bg-BG"/>
        </w:rPr>
        <w:t xml:space="preserve"> </w:t>
      </w:r>
      <w:r w:rsidRPr="00E210A7">
        <w:rPr>
          <w:rFonts w:ascii="Times New Roman" w:eastAsia="Times New Roman" w:hAnsi="Times New Roman" w:cs="Times New Roman"/>
          <w:b/>
          <w:bCs/>
          <w:color w:val="000000"/>
          <w:sz w:val="24"/>
          <w:szCs w:val="24"/>
          <w:lang w:val="en-US" w:eastAsia="bg-BG"/>
        </w:rPr>
        <w:t>Ground</w:t>
      </w:r>
      <w:r w:rsidRPr="007C469F">
        <w:rPr>
          <w:rFonts w:ascii="Times New Roman" w:eastAsia="Times New Roman" w:hAnsi="Times New Roman" w:cs="Times New Roman"/>
          <w:b/>
          <w:bCs/>
          <w:color w:val="000000"/>
          <w:sz w:val="24"/>
          <w:szCs w:val="24"/>
          <w:lang w:eastAsia="bg-BG"/>
        </w:rPr>
        <w:t xml:space="preserve"> </w:t>
      </w:r>
      <w:r w:rsidRPr="00E210A7">
        <w:rPr>
          <w:rFonts w:ascii="Times New Roman" w:eastAsia="Times New Roman" w:hAnsi="Times New Roman" w:cs="Times New Roman"/>
          <w:b/>
          <w:bCs/>
          <w:color w:val="000000"/>
          <w:sz w:val="24"/>
          <w:szCs w:val="24"/>
          <w:lang w:val="en-US" w:eastAsia="bg-BG"/>
        </w:rPr>
        <w:t>Power</w:t>
      </w:r>
      <w:r w:rsidRPr="007C469F">
        <w:rPr>
          <w:rFonts w:ascii="Times New Roman" w:eastAsia="Times New Roman" w:hAnsi="Times New Roman" w:cs="Times New Roman"/>
          <w:b/>
          <w:bCs/>
          <w:color w:val="000000"/>
          <w:sz w:val="24"/>
          <w:szCs w:val="24"/>
          <w:lang w:eastAsia="bg-BG"/>
        </w:rPr>
        <w:t xml:space="preserve"> - </w:t>
      </w:r>
      <w:r w:rsidRPr="00E210A7">
        <w:rPr>
          <w:rFonts w:ascii="Times New Roman" w:eastAsia="Times New Roman" w:hAnsi="Times New Roman" w:cs="Times New Roman"/>
          <w:b/>
          <w:bCs/>
          <w:color w:val="000000"/>
          <w:sz w:val="24"/>
          <w:szCs w:val="24"/>
          <w:lang w:val="en-US" w:eastAsia="bg-BG"/>
        </w:rPr>
        <w:t>FEGP</w:t>
      </w:r>
      <w:r w:rsidRPr="007C469F">
        <w:rPr>
          <w:rFonts w:ascii="Times New Roman" w:eastAsia="Times New Roman" w:hAnsi="Times New Roman" w:cs="Times New Roman"/>
          <w:b/>
          <w:bCs/>
          <w:color w:val="000000"/>
          <w:sz w:val="24"/>
          <w:szCs w:val="24"/>
          <w:lang w:eastAsia="bg-BG"/>
        </w:rPr>
        <w:t>)</w:t>
      </w:r>
    </w:p>
    <w:p w14:paraId="462A9C5C" w14:textId="77777777" w:rsidR="00E210A7" w:rsidRPr="00E210A7" w:rsidRDefault="00E210A7" w:rsidP="00E210A7">
      <w:pPr>
        <w:widowControl w:val="0"/>
        <w:spacing w:before="120" w:after="0" w:line="240" w:lineRule="auto"/>
        <w:ind w:right="4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 xml:space="preserve">Осигуряване на електроенергия от електроенергийната мрежа на летището за захранване на самолета. Тъй като на повечето летища електроенергията е с честота 50 или 60 </w:t>
      </w:r>
      <w:r w:rsidRPr="00E210A7">
        <w:rPr>
          <w:rFonts w:ascii="Times New Roman" w:eastAsia="Times New Roman" w:hAnsi="Times New Roman" w:cs="Times New Roman"/>
          <w:color w:val="000000"/>
          <w:sz w:val="24"/>
          <w:szCs w:val="24"/>
          <w:lang w:val="en-US" w:eastAsia="bg-BG"/>
        </w:rPr>
        <w:t>Hz</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 xml:space="preserve">за промяната й до необходимите за функционирането на самолета 400 </w:t>
      </w:r>
      <w:r w:rsidRPr="00E210A7">
        <w:rPr>
          <w:rFonts w:ascii="Times New Roman" w:eastAsia="Times New Roman" w:hAnsi="Times New Roman" w:cs="Times New Roman"/>
          <w:color w:val="000000"/>
          <w:sz w:val="24"/>
          <w:szCs w:val="24"/>
          <w:lang w:val="en-US" w:eastAsia="bg-BG"/>
        </w:rPr>
        <w:t>Hz</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 xml:space="preserve">са </w:t>
      </w:r>
      <w:r w:rsidRPr="00E210A7">
        <w:rPr>
          <w:rFonts w:ascii="Times New Roman" w:eastAsia="Times New Roman" w:hAnsi="Times New Roman" w:cs="Times New Roman"/>
          <w:color w:val="000000"/>
          <w:sz w:val="24"/>
          <w:szCs w:val="24"/>
          <w:lang w:eastAsia="bg-BG"/>
        </w:rPr>
        <w:lastRenderedPageBreak/>
        <w:t>необходими честотни преобразуватели. Те се инсталират по два начина:</w:t>
      </w:r>
    </w:p>
    <w:p w14:paraId="6BBD442B" w14:textId="77777777" w:rsidR="00E210A7" w:rsidRPr="00E210A7" w:rsidRDefault="00E210A7" w:rsidP="001A0506">
      <w:pPr>
        <w:widowControl w:val="0"/>
        <w:numPr>
          <w:ilvl w:val="0"/>
          <w:numId w:val="27"/>
        </w:numPr>
        <w:spacing w:before="120" w:after="0" w:line="240" w:lineRule="auto"/>
        <w:ind w:right="40"/>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 xml:space="preserve">В долната част на пътническия ръкав - монтираните устройства се прикрепят към пътническия ръкав и се управляват електрически за разгъване на кабела за 400 </w:t>
      </w:r>
      <w:r w:rsidRPr="00E210A7">
        <w:rPr>
          <w:rFonts w:ascii="Times New Roman" w:eastAsia="Times New Roman" w:hAnsi="Times New Roman" w:cs="Times New Roman"/>
          <w:color w:val="000000"/>
          <w:sz w:val="24"/>
          <w:szCs w:val="24"/>
          <w:lang w:val="en-US" w:eastAsia="bg-BG"/>
        </w:rPr>
        <w:t>Hz</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След приключването на операциите електрическото устройство навива кабела обратно на макарата му, или</w:t>
      </w:r>
    </w:p>
    <w:p w14:paraId="56ED2227" w14:textId="77777777" w:rsidR="00E210A7" w:rsidRPr="00E210A7" w:rsidRDefault="00E210A7" w:rsidP="001A0506">
      <w:pPr>
        <w:widowControl w:val="0"/>
        <w:numPr>
          <w:ilvl w:val="0"/>
          <w:numId w:val="27"/>
        </w:numPr>
        <w:spacing w:before="120" w:after="0" w:line="240" w:lineRule="auto"/>
        <w:ind w:right="40"/>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На неподвижна стойка на терминала в близост до носа на паркирания самолет.</w:t>
      </w:r>
    </w:p>
    <w:p w14:paraId="624407CF" w14:textId="77777777" w:rsidR="00E210A7" w:rsidRPr="00E210A7" w:rsidRDefault="00E210A7" w:rsidP="00E210A7">
      <w:pPr>
        <w:widowControl w:val="0"/>
        <w:spacing w:before="120" w:after="0" w:line="240" w:lineRule="auto"/>
        <w:ind w:firstLine="709"/>
        <w:jc w:val="both"/>
        <w:rPr>
          <w:rFonts w:ascii="Times New Roman" w:eastAsia="Times New Roman" w:hAnsi="Times New Roman" w:cs="Times New Roman"/>
          <w:b/>
          <w:bCs/>
          <w:color w:val="000000"/>
          <w:sz w:val="24"/>
          <w:szCs w:val="24"/>
          <w:lang w:eastAsia="bg-BG"/>
        </w:rPr>
      </w:pPr>
      <w:r w:rsidRPr="00E210A7">
        <w:rPr>
          <w:rFonts w:ascii="Times New Roman" w:eastAsia="Times New Roman" w:hAnsi="Times New Roman" w:cs="Times New Roman"/>
          <w:b/>
          <w:bCs/>
          <w:color w:val="000000"/>
          <w:sz w:val="24"/>
          <w:szCs w:val="24"/>
          <w:lang w:eastAsia="bg-BG"/>
        </w:rPr>
        <w:t xml:space="preserve">Стационарни системи за кондициониране на въздух </w:t>
      </w:r>
      <w:r w:rsidRPr="007C469F">
        <w:rPr>
          <w:rFonts w:ascii="Times New Roman" w:eastAsia="Times New Roman" w:hAnsi="Times New Roman" w:cs="Times New Roman"/>
          <w:b/>
          <w:bCs/>
          <w:color w:val="000000"/>
          <w:sz w:val="24"/>
          <w:szCs w:val="24"/>
          <w:lang w:eastAsia="bg-BG"/>
        </w:rPr>
        <w:t>(</w:t>
      </w:r>
      <w:r w:rsidRPr="00E210A7">
        <w:rPr>
          <w:rFonts w:ascii="Times New Roman" w:eastAsia="Times New Roman" w:hAnsi="Times New Roman" w:cs="Times New Roman"/>
          <w:b/>
          <w:bCs/>
          <w:color w:val="000000"/>
          <w:sz w:val="24"/>
          <w:szCs w:val="24"/>
          <w:lang w:val="en-US" w:eastAsia="bg-BG"/>
        </w:rPr>
        <w:t>Pre</w:t>
      </w:r>
      <w:r w:rsidRPr="007C469F">
        <w:rPr>
          <w:rFonts w:ascii="Times New Roman" w:eastAsia="Times New Roman" w:hAnsi="Times New Roman" w:cs="Times New Roman"/>
          <w:b/>
          <w:bCs/>
          <w:color w:val="000000"/>
          <w:sz w:val="24"/>
          <w:szCs w:val="24"/>
          <w:lang w:eastAsia="bg-BG"/>
        </w:rPr>
        <w:t>-</w:t>
      </w:r>
      <w:r w:rsidRPr="00E210A7">
        <w:rPr>
          <w:rFonts w:ascii="Times New Roman" w:eastAsia="Times New Roman" w:hAnsi="Times New Roman" w:cs="Times New Roman"/>
          <w:b/>
          <w:bCs/>
          <w:color w:val="000000"/>
          <w:sz w:val="24"/>
          <w:szCs w:val="24"/>
          <w:lang w:val="en-US" w:eastAsia="bg-BG"/>
        </w:rPr>
        <w:t>Conditioned</w:t>
      </w:r>
      <w:r w:rsidRPr="007C469F">
        <w:rPr>
          <w:rFonts w:ascii="Times New Roman" w:eastAsia="Times New Roman" w:hAnsi="Times New Roman" w:cs="Times New Roman"/>
          <w:b/>
          <w:bCs/>
          <w:color w:val="000000"/>
          <w:sz w:val="24"/>
          <w:szCs w:val="24"/>
          <w:lang w:eastAsia="bg-BG"/>
        </w:rPr>
        <w:t xml:space="preserve"> </w:t>
      </w:r>
      <w:r w:rsidRPr="00E210A7">
        <w:rPr>
          <w:rFonts w:ascii="Times New Roman" w:eastAsia="Times New Roman" w:hAnsi="Times New Roman" w:cs="Times New Roman"/>
          <w:b/>
          <w:bCs/>
          <w:color w:val="000000"/>
          <w:sz w:val="24"/>
          <w:szCs w:val="24"/>
          <w:lang w:val="en-US" w:eastAsia="bg-BG"/>
        </w:rPr>
        <w:t>Air</w:t>
      </w:r>
      <w:r w:rsidRPr="007C469F">
        <w:rPr>
          <w:rFonts w:ascii="Times New Roman" w:eastAsia="Times New Roman" w:hAnsi="Times New Roman" w:cs="Times New Roman"/>
          <w:b/>
          <w:bCs/>
          <w:color w:val="000000"/>
          <w:sz w:val="24"/>
          <w:szCs w:val="24"/>
          <w:lang w:eastAsia="bg-BG"/>
        </w:rPr>
        <w:t xml:space="preserve"> </w:t>
      </w:r>
      <w:r w:rsidRPr="00E210A7">
        <w:rPr>
          <w:rFonts w:ascii="Times New Roman" w:eastAsia="Times New Roman" w:hAnsi="Times New Roman" w:cs="Times New Roman"/>
          <w:b/>
          <w:bCs/>
          <w:color w:val="000000"/>
          <w:sz w:val="24"/>
          <w:szCs w:val="24"/>
          <w:lang w:eastAsia="bg-BG"/>
        </w:rPr>
        <w:t>- РСА)</w:t>
      </w:r>
    </w:p>
    <w:p w14:paraId="66EC81A3" w14:textId="77777777" w:rsidR="00E210A7" w:rsidRPr="00E210A7" w:rsidRDefault="00E210A7" w:rsidP="006D09E6">
      <w:pPr>
        <w:widowControl w:val="0"/>
        <w:spacing w:before="120" w:after="0" w:line="240" w:lineRule="auto"/>
        <w:ind w:right="4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 xml:space="preserve">Устройства за осигуряване на кондициониран въздух за салона на самолета ,които се захранват с електроенергия от централната електроенергийна мрежа </w:t>
      </w:r>
      <w:r w:rsidR="000132E9">
        <w:rPr>
          <w:rFonts w:ascii="Times New Roman" w:eastAsia="Times New Roman" w:hAnsi="Times New Roman" w:cs="Times New Roman"/>
          <w:color w:val="000000"/>
          <w:sz w:val="24"/>
          <w:szCs w:val="24"/>
          <w:lang w:eastAsia="bg-BG"/>
        </w:rPr>
        <w:t>на</w:t>
      </w:r>
      <w:r w:rsidR="000132E9" w:rsidRPr="00E210A7">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летището. Обикновено се закрепят към пътническия ръкав или в близост до него, като подават кондициониран въздух към самолета посредством подвижни въздуховоди.</w:t>
      </w:r>
      <w:bookmarkStart w:id="2" w:name="bookmark3"/>
    </w:p>
    <w:p w14:paraId="1A364A92" w14:textId="03B7000F" w:rsidR="00E210A7" w:rsidRPr="00E210A7" w:rsidRDefault="00E210A7" w:rsidP="00E210A7">
      <w:pPr>
        <w:widowControl w:val="0"/>
        <w:spacing w:before="120" w:after="0" w:line="240" w:lineRule="auto"/>
        <w:ind w:right="40" w:firstLine="709"/>
        <w:rPr>
          <w:rFonts w:ascii="Times New Roman" w:eastAsia="Times New Roman" w:hAnsi="Times New Roman" w:cs="Times New Roman"/>
          <w:b/>
          <w:color w:val="000000"/>
          <w:sz w:val="24"/>
          <w:szCs w:val="24"/>
          <w:lang w:eastAsia="bg-BG"/>
        </w:rPr>
      </w:pPr>
      <w:r w:rsidRPr="00E210A7">
        <w:rPr>
          <w:rFonts w:ascii="Times New Roman" w:eastAsia="Times New Roman" w:hAnsi="Times New Roman" w:cs="Times New Roman"/>
          <w:b/>
          <w:color w:val="000000"/>
          <w:sz w:val="24"/>
          <w:szCs w:val="24"/>
          <w:lang w:eastAsia="bg-BG"/>
        </w:rPr>
        <w:t>Мобилни електроагрегати и кондиционери</w:t>
      </w:r>
      <w:bookmarkEnd w:id="2"/>
    </w:p>
    <w:p w14:paraId="2FD77C49" w14:textId="77777777" w:rsidR="00E210A7" w:rsidRPr="00E210A7" w:rsidRDefault="00E210A7" w:rsidP="006D09E6">
      <w:pPr>
        <w:widowControl w:val="0"/>
        <w:spacing w:before="120" w:after="0" w:line="240" w:lineRule="auto"/>
        <w:ind w:left="23" w:right="4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 xml:space="preserve">Подвижни електроагрегати </w:t>
      </w:r>
      <w:r w:rsidRPr="007C469F">
        <w:rPr>
          <w:rFonts w:ascii="Times New Roman" w:eastAsia="Times New Roman" w:hAnsi="Times New Roman" w:cs="Times New Roman"/>
          <w:color w:val="000000"/>
          <w:sz w:val="24"/>
          <w:szCs w:val="24"/>
          <w:lang w:eastAsia="bg-BG"/>
        </w:rPr>
        <w:t>(</w:t>
      </w:r>
      <w:r w:rsidRPr="00E210A7">
        <w:rPr>
          <w:rFonts w:ascii="Times New Roman" w:eastAsia="Times New Roman" w:hAnsi="Times New Roman" w:cs="Times New Roman"/>
          <w:color w:val="000000"/>
          <w:sz w:val="24"/>
          <w:szCs w:val="24"/>
          <w:lang w:val="en-US" w:eastAsia="bg-BG"/>
        </w:rPr>
        <w:t>Ground</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Power</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Unit</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val="en-US" w:eastAsia="bg-BG"/>
        </w:rPr>
        <w:t>GPU</w:t>
      </w:r>
      <w:r w:rsidRPr="007C469F">
        <w:rPr>
          <w:rFonts w:ascii="Times New Roman" w:eastAsia="Times New Roman" w:hAnsi="Times New Roman" w:cs="Times New Roman"/>
          <w:color w:val="000000"/>
          <w:sz w:val="24"/>
          <w:szCs w:val="24"/>
          <w:lang w:eastAsia="bg-BG"/>
        </w:rPr>
        <w:t xml:space="preserve">) </w:t>
      </w:r>
      <w:r w:rsidRPr="00E210A7">
        <w:rPr>
          <w:rFonts w:ascii="Times New Roman" w:eastAsia="Times New Roman" w:hAnsi="Times New Roman" w:cs="Times New Roman"/>
          <w:color w:val="000000"/>
          <w:sz w:val="24"/>
          <w:szCs w:val="24"/>
          <w:lang w:eastAsia="bg-BG"/>
        </w:rPr>
        <w:t>и кондиционери използващи дизелово гориво, които се явяват алтернатива на СЕА поради по високата ефективност, както и значително по-ниския разход на гориво и ниски нива на шума.</w:t>
      </w:r>
    </w:p>
    <w:p w14:paraId="78C7CDAA" w14:textId="77777777" w:rsidR="00E210A7" w:rsidRPr="00E210A7" w:rsidRDefault="00E210A7" w:rsidP="006D09E6">
      <w:pPr>
        <w:widowControl w:val="0"/>
        <w:spacing w:before="120" w:after="0" w:line="240" w:lineRule="auto"/>
        <w:ind w:left="23" w:right="40" w:firstLine="709"/>
        <w:jc w:val="both"/>
        <w:rPr>
          <w:rFonts w:ascii="Times New Roman" w:eastAsia="Times New Roman" w:hAnsi="Times New Roman" w:cs="Times New Roman"/>
          <w:color w:val="000000"/>
          <w:sz w:val="24"/>
          <w:szCs w:val="24"/>
          <w:lang w:eastAsia="bg-BG"/>
        </w:rPr>
      </w:pPr>
      <w:r w:rsidRPr="00E210A7">
        <w:rPr>
          <w:rFonts w:ascii="Times New Roman" w:eastAsia="Times New Roman" w:hAnsi="Times New Roman" w:cs="Times New Roman"/>
          <w:color w:val="000000"/>
          <w:sz w:val="24"/>
          <w:szCs w:val="24"/>
          <w:lang w:eastAsia="bg-BG"/>
        </w:rPr>
        <w:t>Горецитираните технологии се използват на летищата в зависимост от различни фактори, свързани с разходите, изискванията към инфраструктурата, експлоатационните и екологични съображения. По принцип основен определящ фактор е нивото на пътническия и самолетен трафик, което обуславя ефективността от използване на високотехнологичните решения.</w:t>
      </w:r>
    </w:p>
    <w:p w14:paraId="2429E819" w14:textId="77777777" w:rsidR="00C82A8A" w:rsidRPr="002C36F8" w:rsidRDefault="00C82A8A" w:rsidP="00F17EF7">
      <w:pPr>
        <w:spacing w:after="0"/>
      </w:pPr>
    </w:p>
    <w:p w14:paraId="76B9CBF0" w14:textId="4A0EAFDE" w:rsidR="0089314C" w:rsidRPr="00554C19" w:rsidRDefault="0089314C" w:rsidP="006D09E6">
      <w:pPr>
        <w:spacing w:after="0" w:line="240" w:lineRule="auto"/>
        <w:ind w:firstLine="708"/>
        <w:jc w:val="both"/>
        <w:rPr>
          <w:rFonts w:ascii="Times New Roman" w:eastAsia="Times New Roman" w:hAnsi="Times New Roman" w:cs="Times New Roman"/>
          <w:b/>
          <w:i/>
          <w:sz w:val="24"/>
          <w:szCs w:val="24"/>
          <w:lang w:eastAsia="bg-BG"/>
        </w:rPr>
      </w:pPr>
      <w:r w:rsidRPr="002C36F8">
        <w:rPr>
          <w:rFonts w:ascii="Times New Roman" w:eastAsia="Times New Roman" w:hAnsi="Times New Roman" w:cs="Times New Roman"/>
          <w:sz w:val="24"/>
          <w:szCs w:val="24"/>
          <w:lang w:eastAsia="bg-BG"/>
        </w:rPr>
        <w:t xml:space="preserve">От </w:t>
      </w:r>
      <w:r w:rsidRPr="000132E9">
        <w:rPr>
          <w:rFonts w:ascii="Times New Roman" w:eastAsia="Times New Roman" w:hAnsi="Times New Roman" w:cs="Times New Roman"/>
          <w:sz w:val="24"/>
          <w:szCs w:val="24"/>
          <w:lang w:eastAsia="bg-BG"/>
        </w:rPr>
        <w:t>член 3 на</w:t>
      </w:r>
      <w:r w:rsidRPr="002C36F8">
        <w:rPr>
          <w:rFonts w:ascii="Times New Roman" w:eastAsia="Times New Roman" w:hAnsi="Times New Roman" w:cs="Times New Roman"/>
          <w:sz w:val="24"/>
          <w:szCs w:val="24"/>
          <w:lang w:eastAsia="bg-BG"/>
        </w:rPr>
        <w:t xml:space="preserve"> Директива 2014/94/ЕС произтича изискването към държавите</w:t>
      </w:r>
      <w:r w:rsidR="002800B2">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 xml:space="preserve">членки при подготовката на националната рамка за политика за развитие на пазара на алтернативни горива </w:t>
      </w:r>
      <w:r w:rsidRPr="002800B2">
        <w:rPr>
          <w:rFonts w:ascii="Times New Roman" w:eastAsia="Times New Roman" w:hAnsi="Times New Roman" w:cs="Times New Roman"/>
          <w:sz w:val="24"/>
          <w:szCs w:val="24"/>
          <w:lang w:eastAsia="bg-BG"/>
        </w:rPr>
        <w:t xml:space="preserve">в раздела на транспорта да преценят нуждата от инсталиране </w:t>
      </w:r>
      <w:r w:rsidR="002800B2" w:rsidRPr="002800B2">
        <w:rPr>
          <w:rFonts w:ascii="Times New Roman" w:eastAsia="Times New Roman" w:hAnsi="Times New Roman" w:cs="Times New Roman"/>
          <w:iCs/>
          <w:sz w:val="24"/>
          <w:szCs w:val="24"/>
          <w:lang w:eastAsia="bg-BG"/>
        </w:rPr>
        <w:t>допълнителни съоръжения за захранване с електроенергия на стационарни самолети на летищата.</w:t>
      </w:r>
      <w:r w:rsidR="002800B2">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sz w:val="24"/>
          <w:szCs w:val="24"/>
          <w:lang w:eastAsia="bg-BG"/>
        </w:rPr>
        <w:t xml:space="preserve">От значение е този въпрос да се анализира преди всичко по отношение на летище София, което единствено попада в категорията на т.нар. „големи летища“. </w:t>
      </w:r>
    </w:p>
    <w:p w14:paraId="50D1B39E" w14:textId="77777777" w:rsidR="0089314C" w:rsidRPr="002C36F8" w:rsidRDefault="0089314C" w:rsidP="0089314C">
      <w:pPr>
        <w:spacing w:after="0" w:line="240" w:lineRule="auto"/>
        <w:jc w:val="both"/>
        <w:rPr>
          <w:rFonts w:ascii="Times New Roman" w:eastAsia="Times New Roman" w:hAnsi="Times New Roman" w:cs="Times New Roman"/>
          <w:sz w:val="24"/>
          <w:szCs w:val="24"/>
          <w:lang w:eastAsia="bg-BG"/>
        </w:rPr>
      </w:pPr>
    </w:p>
    <w:p w14:paraId="17E490F0" w14:textId="77777777" w:rsidR="0089314C" w:rsidRPr="002C36F8" w:rsidRDefault="00EE194E" w:rsidP="0089314C">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9</w:t>
      </w:r>
      <w:r w:rsidR="00554C19">
        <w:rPr>
          <w:rFonts w:ascii="Times New Roman" w:eastAsia="Times New Roman" w:hAnsi="Times New Roman" w:cs="Times New Roman"/>
          <w:b/>
          <w:i/>
          <w:sz w:val="24"/>
          <w:szCs w:val="24"/>
          <w:lang w:eastAsia="bg-BG"/>
        </w:rPr>
        <w:t>.1</w:t>
      </w:r>
      <w:r w:rsidR="00986483">
        <w:rPr>
          <w:rFonts w:ascii="Times New Roman" w:eastAsia="Times New Roman" w:hAnsi="Times New Roman" w:cs="Times New Roman"/>
          <w:b/>
          <w:i/>
          <w:sz w:val="24"/>
          <w:szCs w:val="24"/>
          <w:lang w:eastAsia="bg-BG"/>
        </w:rPr>
        <w:t>.1.</w:t>
      </w:r>
      <w:r w:rsidR="008524BE" w:rsidRPr="002C36F8">
        <w:rPr>
          <w:rFonts w:ascii="Times New Roman" w:eastAsia="Times New Roman" w:hAnsi="Times New Roman" w:cs="Times New Roman"/>
          <w:b/>
          <w:i/>
          <w:sz w:val="24"/>
          <w:szCs w:val="24"/>
          <w:lang w:eastAsia="bg-BG"/>
        </w:rPr>
        <w:t xml:space="preserve"> </w:t>
      </w:r>
      <w:r w:rsidR="0089314C" w:rsidRPr="002C36F8">
        <w:rPr>
          <w:rFonts w:ascii="Times New Roman" w:eastAsia="Times New Roman" w:hAnsi="Times New Roman" w:cs="Times New Roman"/>
          <w:b/>
          <w:i/>
          <w:sz w:val="24"/>
          <w:szCs w:val="24"/>
          <w:lang w:eastAsia="bg-BG"/>
        </w:rPr>
        <w:t xml:space="preserve">Летища в основната </w:t>
      </w:r>
      <w:r w:rsidR="0089314C" w:rsidRPr="002C36F8">
        <w:rPr>
          <w:rFonts w:ascii="Times New Roman" w:eastAsia="Times New Roman" w:hAnsi="Times New Roman" w:cs="Times New Roman"/>
          <w:b/>
          <w:i/>
          <w:sz w:val="24"/>
          <w:szCs w:val="24"/>
          <w:lang w:val="en-US" w:eastAsia="bg-BG"/>
        </w:rPr>
        <w:t>TEN</w:t>
      </w:r>
      <w:r w:rsidR="0089314C" w:rsidRPr="002C36F8">
        <w:rPr>
          <w:rFonts w:ascii="Times New Roman" w:eastAsia="Times New Roman" w:hAnsi="Times New Roman" w:cs="Times New Roman"/>
          <w:b/>
          <w:i/>
          <w:sz w:val="24"/>
          <w:szCs w:val="24"/>
          <w:lang w:val="ru-RU" w:eastAsia="bg-BG"/>
        </w:rPr>
        <w:t>-</w:t>
      </w:r>
      <w:r w:rsidR="0089314C" w:rsidRPr="002C36F8">
        <w:rPr>
          <w:rFonts w:ascii="Times New Roman" w:eastAsia="Times New Roman" w:hAnsi="Times New Roman" w:cs="Times New Roman"/>
          <w:b/>
          <w:i/>
          <w:sz w:val="24"/>
          <w:szCs w:val="24"/>
          <w:lang w:val="en-US" w:eastAsia="bg-BG"/>
        </w:rPr>
        <w:t>T</w:t>
      </w:r>
      <w:r w:rsidR="0089314C" w:rsidRPr="002C36F8">
        <w:rPr>
          <w:rFonts w:ascii="Times New Roman" w:eastAsia="Times New Roman" w:hAnsi="Times New Roman" w:cs="Times New Roman"/>
          <w:b/>
          <w:i/>
          <w:sz w:val="24"/>
          <w:szCs w:val="24"/>
          <w:lang w:eastAsia="bg-BG"/>
        </w:rPr>
        <w:t xml:space="preserve"> мрежа</w:t>
      </w:r>
    </w:p>
    <w:p w14:paraId="3699072D" w14:textId="77777777" w:rsidR="0089314C" w:rsidRPr="002C36F8" w:rsidRDefault="0089314C" w:rsidP="008524BE">
      <w:pPr>
        <w:spacing w:after="0" w:line="240" w:lineRule="auto"/>
        <w:ind w:firstLine="567"/>
        <w:jc w:val="both"/>
        <w:rPr>
          <w:rFonts w:ascii="Times New Roman" w:eastAsia="Times New Roman" w:hAnsi="Times New Roman" w:cs="Times New Roman"/>
          <w:b/>
          <w:sz w:val="24"/>
          <w:szCs w:val="24"/>
          <w:lang w:eastAsia="bg-BG"/>
        </w:rPr>
      </w:pPr>
      <w:r w:rsidRPr="002C36F8">
        <w:rPr>
          <w:rFonts w:ascii="Times New Roman" w:eastAsia="Times New Roman" w:hAnsi="Times New Roman" w:cs="Times New Roman"/>
          <w:sz w:val="24"/>
          <w:szCs w:val="24"/>
          <w:lang w:eastAsia="bg-BG"/>
        </w:rPr>
        <w:t xml:space="preserve">Летище София </w:t>
      </w:r>
      <w:r w:rsidR="008524BE" w:rsidRPr="002C36F8">
        <w:rPr>
          <w:rFonts w:ascii="Times New Roman" w:eastAsia="Times New Roman" w:hAnsi="Times New Roman" w:cs="Times New Roman"/>
          <w:sz w:val="24"/>
          <w:szCs w:val="24"/>
          <w:lang w:eastAsia="bg-BG"/>
        </w:rPr>
        <w:t xml:space="preserve">е </w:t>
      </w:r>
      <w:r w:rsidRPr="002C36F8">
        <w:rPr>
          <w:rFonts w:ascii="Times New Roman" w:eastAsia="Times New Roman" w:hAnsi="Times New Roman" w:cs="Times New Roman"/>
          <w:sz w:val="24"/>
          <w:szCs w:val="24"/>
          <w:lang w:eastAsia="bg-BG"/>
        </w:rPr>
        <w:t>с годиш</w:t>
      </w:r>
      <w:r w:rsidR="008524BE" w:rsidRPr="002C36F8">
        <w:rPr>
          <w:rFonts w:ascii="Times New Roman" w:eastAsia="Times New Roman" w:hAnsi="Times New Roman" w:cs="Times New Roman"/>
          <w:sz w:val="24"/>
          <w:szCs w:val="24"/>
          <w:lang w:eastAsia="bg-BG"/>
        </w:rPr>
        <w:t xml:space="preserve">ен трафик над 4 милиона пътника. </w:t>
      </w:r>
      <w:r w:rsidRPr="002C36F8">
        <w:rPr>
          <w:rFonts w:ascii="Times New Roman" w:eastAsia="Times New Roman" w:hAnsi="Times New Roman" w:cs="Times New Roman"/>
          <w:iCs/>
          <w:sz w:val="24"/>
          <w:szCs w:val="24"/>
          <w:lang w:eastAsia="bg-BG"/>
        </w:rPr>
        <w:t>На Терминал 2 на Летище София се предоставя стационарно електрозахранване и кондициониран въздух, които отговарят на най-високите стандарти и изпитани европейски практики.</w:t>
      </w:r>
    </w:p>
    <w:p w14:paraId="27B527D6" w14:textId="77777777" w:rsidR="005411A6" w:rsidRPr="002C36F8" w:rsidRDefault="005411A6" w:rsidP="005411A6">
      <w:pPr>
        <w:spacing w:after="0" w:line="240" w:lineRule="auto"/>
        <w:jc w:val="both"/>
        <w:rPr>
          <w:rFonts w:ascii="Times New Roman" w:eastAsia="Times New Roman" w:hAnsi="Times New Roman" w:cs="Times New Roman"/>
          <w:i/>
          <w:iCs/>
          <w:sz w:val="24"/>
          <w:szCs w:val="24"/>
          <w:lang w:eastAsia="bg-BG"/>
        </w:rPr>
      </w:pPr>
    </w:p>
    <w:p w14:paraId="6BC5F217" w14:textId="77777777" w:rsidR="0089314C" w:rsidRPr="002C36F8" w:rsidRDefault="0089314C" w:rsidP="005411A6">
      <w:pPr>
        <w:spacing w:after="0" w:line="240" w:lineRule="auto"/>
        <w:jc w:val="both"/>
        <w:rPr>
          <w:rFonts w:ascii="Times New Roman" w:eastAsia="Times New Roman" w:hAnsi="Times New Roman" w:cs="Times New Roman"/>
          <w:i/>
          <w:iCs/>
          <w:sz w:val="24"/>
          <w:szCs w:val="24"/>
          <w:lang w:eastAsia="bg-BG"/>
        </w:rPr>
      </w:pPr>
      <w:r w:rsidRPr="002C36F8">
        <w:rPr>
          <w:rFonts w:ascii="Times New Roman" w:eastAsia="Times New Roman" w:hAnsi="Times New Roman" w:cs="Times New Roman"/>
          <w:i/>
          <w:iCs/>
          <w:sz w:val="24"/>
          <w:szCs w:val="24"/>
          <w:lang w:eastAsia="bg-BG"/>
        </w:rPr>
        <w:t xml:space="preserve">Стационарно наземно електрозахранване </w:t>
      </w:r>
      <w:r w:rsidRPr="007C469F">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Fixed</w:t>
      </w:r>
      <w:r w:rsidRPr="007C469F">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Electrical</w:t>
      </w:r>
      <w:r w:rsidRPr="007C469F">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Ground</w:t>
      </w:r>
      <w:r w:rsidRPr="007C469F">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Power</w:t>
      </w:r>
      <w:r w:rsidRPr="007C469F">
        <w:rPr>
          <w:rFonts w:ascii="Times New Roman" w:eastAsia="Times New Roman" w:hAnsi="Times New Roman" w:cs="Times New Roman"/>
          <w:i/>
          <w:iCs/>
          <w:sz w:val="24"/>
          <w:szCs w:val="24"/>
          <w:lang w:eastAsia="bg-BG"/>
        </w:rPr>
        <w:t xml:space="preserve"> - </w:t>
      </w:r>
      <w:r w:rsidRPr="002C36F8">
        <w:rPr>
          <w:rFonts w:ascii="Times New Roman" w:eastAsia="Times New Roman" w:hAnsi="Times New Roman" w:cs="Times New Roman"/>
          <w:i/>
          <w:iCs/>
          <w:sz w:val="24"/>
          <w:szCs w:val="24"/>
          <w:lang w:val="en-US" w:eastAsia="bg-BG"/>
        </w:rPr>
        <w:t>FEGP</w:t>
      </w:r>
      <w:r w:rsidRPr="007C469F">
        <w:rPr>
          <w:rFonts w:ascii="Times New Roman" w:eastAsia="Times New Roman" w:hAnsi="Times New Roman" w:cs="Times New Roman"/>
          <w:i/>
          <w:iCs/>
          <w:sz w:val="24"/>
          <w:szCs w:val="24"/>
          <w:lang w:eastAsia="bg-BG"/>
        </w:rPr>
        <w:t>)</w:t>
      </w:r>
    </w:p>
    <w:p w14:paraId="23E542C9" w14:textId="77777777" w:rsidR="0089314C" w:rsidRPr="002C36F8" w:rsidRDefault="0089314C" w:rsidP="005411A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Осигурява се електрозахранване 400 </w:t>
      </w:r>
      <w:r w:rsidRPr="002C36F8">
        <w:rPr>
          <w:rFonts w:ascii="Times New Roman" w:eastAsia="Times New Roman" w:hAnsi="Times New Roman" w:cs="Times New Roman"/>
          <w:sz w:val="24"/>
          <w:szCs w:val="24"/>
          <w:lang w:val="en-US" w:eastAsia="bg-BG"/>
        </w:rPr>
        <w:t>Hz</w:t>
      </w:r>
      <w:r w:rsidRPr="007C469F">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на всички контактни самолетни стоянки на Терминал 2, посредством стационарно монтирани на пътническия ръкав електро- преобразуватели. Захранването на преобразувателите се подава от електроенергийната мрежа на летището.</w:t>
      </w:r>
      <w:r w:rsidR="005278D2">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Услугата е включена към общия пакет за предоставяне на пътнически ръкав и се ползва от всички авиокомпании ползващи ръкав на Терминал 2.</w:t>
      </w:r>
    </w:p>
    <w:p w14:paraId="2994E8C1" w14:textId="77777777" w:rsidR="002800B2" w:rsidRDefault="002800B2" w:rsidP="005411A6">
      <w:pPr>
        <w:spacing w:after="0" w:line="240" w:lineRule="auto"/>
        <w:jc w:val="both"/>
        <w:rPr>
          <w:rFonts w:ascii="Times New Roman" w:eastAsia="Times New Roman" w:hAnsi="Times New Roman" w:cs="Times New Roman"/>
          <w:i/>
          <w:iCs/>
          <w:sz w:val="24"/>
          <w:szCs w:val="24"/>
          <w:lang w:eastAsia="bg-BG"/>
        </w:rPr>
      </w:pPr>
    </w:p>
    <w:p w14:paraId="2D3FD830" w14:textId="77777777" w:rsidR="0089314C" w:rsidRPr="002C36F8" w:rsidRDefault="0089314C" w:rsidP="005411A6">
      <w:pPr>
        <w:spacing w:after="0" w:line="240" w:lineRule="auto"/>
        <w:jc w:val="both"/>
        <w:rPr>
          <w:rFonts w:ascii="Times New Roman" w:eastAsia="Times New Roman" w:hAnsi="Times New Roman" w:cs="Times New Roman"/>
          <w:i/>
          <w:iCs/>
          <w:sz w:val="24"/>
          <w:szCs w:val="24"/>
          <w:lang w:eastAsia="bg-BG"/>
        </w:rPr>
      </w:pPr>
      <w:r w:rsidRPr="002C36F8">
        <w:rPr>
          <w:rFonts w:ascii="Times New Roman" w:eastAsia="Times New Roman" w:hAnsi="Times New Roman" w:cs="Times New Roman"/>
          <w:i/>
          <w:iCs/>
          <w:sz w:val="24"/>
          <w:szCs w:val="24"/>
          <w:lang w:eastAsia="bg-BG"/>
        </w:rPr>
        <w:t xml:space="preserve">Стационарни системи за кондициониране на въздух </w:t>
      </w:r>
      <w:r w:rsidRPr="007C469F">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Pre</w:t>
      </w:r>
      <w:r w:rsidRPr="007C469F">
        <w:rPr>
          <w:rFonts w:ascii="Times New Roman" w:eastAsia="Times New Roman" w:hAnsi="Times New Roman" w:cs="Times New Roman"/>
          <w:i/>
          <w:iCs/>
          <w:sz w:val="24"/>
          <w:szCs w:val="24"/>
          <w:lang w:eastAsia="bg-BG"/>
        </w:rPr>
        <w:t>-</w:t>
      </w:r>
      <w:r w:rsidRPr="002C36F8">
        <w:rPr>
          <w:rFonts w:ascii="Times New Roman" w:eastAsia="Times New Roman" w:hAnsi="Times New Roman" w:cs="Times New Roman"/>
          <w:i/>
          <w:iCs/>
          <w:sz w:val="24"/>
          <w:szCs w:val="24"/>
          <w:lang w:val="en-US" w:eastAsia="bg-BG"/>
        </w:rPr>
        <w:t>Conditioned</w:t>
      </w:r>
      <w:r w:rsidRPr="007C469F">
        <w:rPr>
          <w:rFonts w:ascii="Times New Roman" w:eastAsia="Times New Roman" w:hAnsi="Times New Roman" w:cs="Times New Roman"/>
          <w:b/>
          <w:bCs/>
          <w:sz w:val="24"/>
          <w:szCs w:val="24"/>
          <w:lang w:eastAsia="bg-BG"/>
        </w:rPr>
        <w:t xml:space="preserve"> </w:t>
      </w:r>
      <w:r w:rsidRPr="000132E9">
        <w:rPr>
          <w:rFonts w:ascii="Times New Roman" w:eastAsia="Times New Roman" w:hAnsi="Times New Roman" w:cs="Times New Roman"/>
          <w:bCs/>
          <w:sz w:val="24"/>
          <w:szCs w:val="24"/>
          <w:lang w:val="en-US" w:eastAsia="bg-BG"/>
        </w:rPr>
        <w:t>Air</w:t>
      </w:r>
      <w:r w:rsidRPr="007C469F">
        <w:rPr>
          <w:rFonts w:ascii="Times New Roman" w:eastAsia="Times New Roman" w:hAnsi="Times New Roman" w:cs="Times New Roman"/>
          <w:bCs/>
          <w:sz w:val="24"/>
          <w:szCs w:val="24"/>
          <w:lang w:eastAsia="bg-BG"/>
        </w:rPr>
        <w:t xml:space="preserve"> </w:t>
      </w:r>
      <w:r w:rsidRPr="002C36F8">
        <w:rPr>
          <w:rFonts w:ascii="Times New Roman" w:eastAsia="Times New Roman" w:hAnsi="Times New Roman" w:cs="Times New Roman"/>
          <w:i/>
          <w:iCs/>
          <w:sz w:val="24"/>
          <w:szCs w:val="24"/>
          <w:lang w:val="en-US" w:eastAsia="bg-BG"/>
        </w:rPr>
        <w:t>PC</w:t>
      </w:r>
      <w:r w:rsidRPr="007C469F">
        <w:rPr>
          <w:rFonts w:ascii="Times New Roman" w:eastAsia="Times New Roman" w:hAnsi="Times New Roman" w:cs="Times New Roman"/>
          <w:i/>
          <w:iCs/>
          <w:sz w:val="24"/>
          <w:szCs w:val="24"/>
          <w:lang w:eastAsia="bg-BG"/>
        </w:rPr>
        <w:t xml:space="preserve"> </w:t>
      </w:r>
      <w:r w:rsidRPr="002C36F8">
        <w:rPr>
          <w:rFonts w:ascii="Times New Roman" w:eastAsia="Times New Roman" w:hAnsi="Times New Roman" w:cs="Times New Roman"/>
          <w:i/>
          <w:iCs/>
          <w:sz w:val="24"/>
          <w:szCs w:val="24"/>
          <w:lang w:val="en-US" w:eastAsia="bg-BG"/>
        </w:rPr>
        <w:t>A</w:t>
      </w:r>
      <w:r w:rsidRPr="007C469F">
        <w:rPr>
          <w:rFonts w:ascii="Times New Roman" w:eastAsia="Times New Roman" w:hAnsi="Times New Roman" w:cs="Times New Roman"/>
          <w:i/>
          <w:iCs/>
          <w:sz w:val="24"/>
          <w:szCs w:val="24"/>
          <w:lang w:eastAsia="bg-BG"/>
        </w:rPr>
        <w:t>)</w:t>
      </w:r>
    </w:p>
    <w:p w14:paraId="055561A3" w14:textId="77777777" w:rsidR="0089314C" w:rsidRPr="002C36F8" w:rsidRDefault="0089314C" w:rsidP="005411A6">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Осигурява се на всички контактни самолетни стоянки на Терминал 2, посредством стационарно монтирани на пътническия ръкав кондиционери. Захранването на кондиционерите се подава от електроенергийната мрежа на летището.</w:t>
      </w:r>
      <w:r w:rsidR="005411A6" w:rsidRPr="002C36F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Услугата е включена към общия пакет за предоставяне на пътнически ръкав и се ползва от всички авиокомпании ползващи ръкав на Терминал 2.</w:t>
      </w:r>
    </w:p>
    <w:p w14:paraId="378F6688" w14:textId="77777777" w:rsidR="005411A6" w:rsidRPr="002C36F8" w:rsidRDefault="005411A6" w:rsidP="008524BE">
      <w:pPr>
        <w:spacing w:after="0" w:line="240" w:lineRule="auto"/>
        <w:ind w:firstLine="567"/>
        <w:jc w:val="both"/>
        <w:rPr>
          <w:rFonts w:ascii="Times New Roman" w:eastAsia="Times New Roman" w:hAnsi="Times New Roman" w:cs="Times New Roman"/>
          <w:i/>
          <w:iCs/>
          <w:sz w:val="24"/>
          <w:szCs w:val="24"/>
          <w:lang w:eastAsia="bg-BG"/>
        </w:rPr>
      </w:pPr>
    </w:p>
    <w:p w14:paraId="135D51B7" w14:textId="63C6E2F6" w:rsidR="0089314C" w:rsidRPr="002C36F8" w:rsidRDefault="0089314C" w:rsidP="00280F68">
      <w:pPr>
        <w:spacing w:after="0" w:line="240" w:lineRule="auto"/>
        <w:ind w:firstLine="567"/>
        <w:jc w:val="both"/>
        <w:rPr>
          <w:rFonts w:ascii="Times New Roman" w:eastAsia="Times New Roman" w:hAnsi="Times New Roman" w:cs="Times New Roman"/>
          <w:i/>
          <w:iCs/>
          <w:sz w:val="24"/>
          <w:szCs w:val="24"/>
          <w:lang w:eastAsia="bg-BG"/>
        </w:rPr>
      </w:pPr>
      <w:r w:rsidRPr="002C36F8">
        <w:rPr>
          <w:rFonts w:ascii="Times New Roman" w:eastAsia="Times New Roman" w:hAnsi="Times New Roman" w:cs="Times New Roman"/>
          <w:i/>
          <w:iCs/>
          <w:sz w:val="24"/>
          <w:szCs w:val="24"/>
          <w:lang w:eastAsia="bg-BG"/>
        </w:rPr>
        <w:lastRenderedPageBreak/>
        <w:t xml:space="preserve">Мобилни електроагрегати и </w:t>
      </w:r>
      <w:r w:rsidR="003D7D98">
        <w:rPr>
          <w:rFonts w:ascii="Times New Roman" w:eastAsia="Times New Roman" w:hAnsi="Times New Roman" w:cs="Times New Roman"/>
          <w:i/>
          <w:iCs/>
          <w:sz w:val="24"/>
          <w:szCs w:val="24"/>
          <w:lang w:eastAsia="bg-BG"/>
        </w:rPr>
        <w:t xml:space="preserve">климатични инсталации </w:t>
      </w:r>
      <w:bookmarkStart w:id="3" w:name="_GoBack"/>
      <w:bookmarkEnd w:id="3"/>
      <w:r w:rsidR="005411A6" w:rsidRPr="007C469F">
        <w:rPr>
          <w:rFonts w:ascii="Times New Roman" w:eastAsia="Times New Roman" w:hAnsi="Times New Roman" w:cs="Times New Roman"/>
          <w:i/>
          <w:sz w:val="24"/>
          <w:szCs w:val="24"/>
          <w:lang w:eastAsia="bg-BG"/>
        </w:rPr>
        <w:t>(</w:t>
      </w:r>
      <w:r w:rsidR="005411A6" w:rsidRPr="002C36F8">
        <w:rPr>
          <w:rFonts w:ascii="Times New Roman" w:eastAsia="Times New Roman" w:hAnsi="Times New Roman" w:cs="Times New Roman"/>
          <w:i/>
          <w:sz w:val="24"/>
          <w:szCs w:val="24"/>
          <w:lang w:val="en-US" w:eastAsia="bg-BG"/>
        </w:rPr>
        <w:t>Ground</w:t>
      </w:r>
      <w:r w:rsidR="005411A6" w:rsidRPr="007C469F">
        <w:rPr>
          <w:rFonts w:ascii="Times New Roman" w:eastAsia="Times New Roman" w:hAnsi="Times New Roman" w:cs="Times New Roman"/>
          <w:i/>
          <w:sz w:val="24"/>
          <w:szCs w:val="24"/>
          <w:lang w:eastAsia="bg-BG"/>
        </w:rPr>
        <w:t xml:space="preserve"> </w:t>
      </w:r>
      <w:r w:rsidR="005411A6" w:rsidRPr="002C36F8">
        <w:rPr>
          <w:rFonts w:ascii="Times New Roman" w:eastAsia="Times New Roman" w:hAnsi="Times New Roman" w:cs="Times New Roman"/>
          <w:i/>
          <w:sz w:val="24"/>
          <w:szCs w:val="24"/>
          <w:lang w:val="en-US" w:eastAsia="bg-BG"/>
        </w:rPr>
        <w:t>Power</w:t>
      </w:r>
      <w:r w:rsidR="005411A6" w:rsidRPr="007C469F">
        <w:rPr>
          <w:rFonts w:ascii="Times New Roman" w:eastAsia="Times New Roman" w:hAnsi="Times New Roman" w:cs="Times New Roman"/>
          <w:i/>
          <w:sz w:val="24"/>
          <w:szCs w:val="24"/>
          <w:lang w:eastAsia="bg-BG"/>
        </w:rPr>
        <w:t xml:space="preserve"> </w:t>
      </w:r>
      <w:r w:rsidR="005411A6" w:rsidRPr="002C36F8">
        <w:rPr>
          <w:rFonts w:ascii="Times New Roman" w:eastAsia="Times New Roman" w:hAnsi="Times New Roman" w:cs="Times New Roman"/>
          <w:i/>
          <w:sz w:val="24"/>
          <w:szCs w:val="24"/>
          <w:lang w:val="en-US" w:eastAsia="bg-BG"/>
        </w:rPr>
        <w:t>Unit</w:t>
      </w:r>
      <w:r w:rsidR="005411A6" w:rsidRPr="007C469F">
        <w:rPr>
          <w:rFonts w:ascii="Times New Roman" w:eastAsia="Times New Roman" w:hAnsi="Times New Roman" w:cs="Times New Roman"/>
          <w:i/>
          <w:sz w:val="24"/>
          <w:szCs w:val="24"/>
          <w:lang w:eastAsia="bg-BG"/>
        </w:rPr>
        <w:t xml:space="preserve"> </w:t>
      </w:r>
      <w:r w:rsidR="005411A6" w:rsidRPr="002C36F8">
        <w:rPr>
          <w:rFonts w:ascii="Times New Roman" w:eastAsia="Times New Roman" w:hAnsi="Times New Roman" w:cs="Times New Roman"/>
          <w:i/>
          <w:sz w:val="24"/>
          <w:szCs w:val="24"/>
          <w:lang w:eastAsia="bg-BG"/>
        </w:rPr>
        <w:t xml:space="preserve">- </w:t>
      </w:r>
      <w:r w:rsidR="005411A6" w:rsidRPr="002C36F8">
        <w:rPr>
          <w:rFonts w:ascii="Times New Roman" w:eastAsia="Times New Roman" w:hAnsi="Times New Roman" w:cs="Times New Roman"/>
          <w:i/>
          <w:sz w:val="24"/>
          <w:szCs w:val="24"/>
          <w:lang w:val="en-US" w:eastAsia="bg-BG"/>
        </w:rPr>
        <w:t>GPU</w:t>
      </w:r>
      <w:r w:rsidR="005411A6" w:rsidRPr="007C469F">
        <w:rPr>
          <w:rFonts w:ascii="Times New Roman" w:eastAsia="Times New Roman" w:hAnsi="Times New Roman" w:cs="Times New Roman"/>
          <w:i/>
          <w:sz w:val="24"/>
          <w:szCs w:val="24"/>
          <w:lang w:eastAsia="bg-BG"/>
        </w:rPr>
        <w:t>)</w:t>
      </w:r>
    </w:p>
    <w:p w14:paraId="7E1498F1" w14:textId="77777777" w:rsidR="0089314C" w:rsidRPr="002C36F8" w:rsidRDefault="0089314C" w:rsidP="008524BE">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Мобилни електроагрегати се предоставят и от трите оператора по наземно обслужване на Летище София, като услугата е включена в общия пакет за наземно обслужване на самолета или се подава при поискване.</w:t>
      </w:r>
    </w:p>
    <w:p w14:paraId="773C4FFB" w14:textId="0544E7D1" w:rsidR="0089314C" w:rsidRPr="002C36F8" w:rsidRDefault="0089314C" w:rsidP="008524BE">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Мобилни </w:t>
      </w:r>
      <w:r w:rsidR="003D7D98">
        <w:rPr>
          <w:rFonts w:ascii="Times New Roman" w:eastAsia="Times New Roman" w:hAnsi="Times New Roman" w:cs="Times New Roman"/>
          <w:sz w:val="24"/>
          <w:szCs w:val="24"/>
          <w:lang w:eastAsia="bg-BG"/>
        </w:rPr>
        <w:t>климатични инсталации</w:t>
      </w:r>
      <w:r w:rsidR="003D7D98" w:rsidRPr="002C36F8">
        <w:rPr>
          <w:rFonts w:ascii="Times New Roman" w:eastAsia="Times New Roman" w:hAnsi="Times New Roman" w:cs="Times New Roman"/>
          <w:sz w:val="24"/>
          <w:szCs w:val="24"/>
          <w:lang w:eastAsia="bg-BG"/>
        </w:rPr>
        <w:t xml:space="preserve"> </w:t>
      </w:r>
      <w:r w:rsidRPr="002C36F8">
        <w:rPr>
          <w:rFonts w:ascii="Times New Roman" w:eastAsia="Times New Roman" w:hAnsi="Times New Roman" w:cs="Times New Roman"/>
          <w:sz w:val="24"/>
          <w:szCs w:val="24"/>
          <w:lang w:eastAsia="bg-BG"/>
        </w:rPr>
        <w:t>не се предоставят като услуга от нито един от операторите за наземно обслужване, поради значителната цена на тези агрегати, което прави икономически неизгодно предлагането на този вид услуга спрямо очаквания брой заявки.</w:t>
      </w:r>
    </w:p>
    <w:p w14:paraId="5FD548E4" w14:textId="77777777" w:rsidR="0089314C" w:rsidRPr="002C36F8" w:rsidRDefault="0089314C" w:rsidP="0089314C">
      <w:pPr>
        <w:spacing w:after="0" w:line="240" w:lineRule="auto"/>
        <w:jc w:val="both"/>
        <w:rPr>
          <w:rFonts w:ascii="Times New Roman" w:eastAsia="Times New Roman" w:hAnsi="Times New Roman" w:cs="Times New Roman"/>
          <w:sz w:val="24"/>
          <w:szCs w:val="24"/>
          <w:lang w:eastAsia="bg-BG"/>
        </w:rPr>
      </w:pPr>
    </w:p>
    <w:p w14:paraId="145A44A6" w14:textId="77777777" w:rsidR="0089314C" w:rsidRPr="002C36F8" w:rsidRDefault="00EE194E" w:rsidP="0089314C">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9</w:t>
      </w:r>
      <w:r w:rsidR="00554C19">
        <w:rPr>
          <w:rFonts w:ascii="Times New Roman" w:eastAsia="Times New Roman" w:hAnsi="Times New Roman" w:cs="Times New Roman"/>
          <w:b/>
          <w:i/>
          <w:sz w:val="24"/>
          <w:szCs w:val="24"/>
          <w:lang w:eastAsia="bg-BG"/>
        </w:rPr>
        <w:t>.</w:t>
      </w:r>
      <w:r w:rsidR="00986483">
        <w:rPr>
          <w:rFonts w:ascii="Times New Roman" w:eastAsia="Times New Roman" w:hAnsi="Times New Roman" w:cs="Times New Roman"/>
          <w:b/>
          <w:i/>
          <w:sz w:val="24"/>
          <w:szCs w:val="24"/>
          <w:lang w:eastAsia="bg-BG"/>
        </w:rPr>
        <w:t>1.</w:t>
      </w:r>
      <w:r w:rsidR="00554C19">
        <w:rPr>
          <w:rFonts w:ascii="Times New Roman" w:eastAsia="Times New Roman" w:hAnsi="Times New Roman" w:cs="Times New Roman"/>
          <w:b/>
          <w:i/>
          <w:sz w:val="24"/>
          <w:szCs w:val="24"/>
          <w:lang w:eastAsia="bg-BG"/>
        </w:rPr>
        <w:t>2</w:t>
      </w:r>
      <w:r w:rsidR="005411A6" w:rsidRPr="002C36F8">
        <w:rPr>
          <w:rFonts w:ascii="Times New Roman" w:eastAsia="Times New Roman" w:hAnsi="Times New Roman" w:cs="Times New Roman"/>
          <w:b/>
          <w:i/>
          <w:sz w:val="24"/>
          <w:szCs w:val="24"/>
          <w:lang w:eastAsia="bg-BG"/>
        </w:rPr>
        <w:t xml:space="preserve"> </w:t>
      </w:r>
      <w:r w:rsidR="0089314C" w:rsidRPr="002C36F8">
        <w:rPr>
          <w:rFonts w:ascii="Times New Roman" w:eastAsia="Times New Roman" w:hAnsi="Times New Roman" w:cs="Times New Roman"/>
          <w:b/>
          <w:i/>
          <w:sz w:val="24"/>
          <w:szCs w:val="24"/>
          <w:lang w:eastAsia="bg-BG"/>
        </w:rPr>
        <w:t xml:space="preserve">Летища извън основната </w:t>
      </w:r>
      <w:r w:rsidR="0089314C" w:rsidRPr="002C36F8">
        <w:rPr>
          <w:rFonts w:ascii="Times New Roman" w:eastAsia="Times New Roman" w:hAnsi="Times New Roman" w:cs="Times New Roman"/>
          <w:b/>
          <w:i/>
          <w:sz w:val="24"/>
          <w:szCs w:val="24"/>
          <w:lang w:val="en-US" w:eastAsia="bg-BG"/>
        </w:rPr>
        <w:t>TEN</w:t>
      </w:r>
      <w:r w:rsidR="0089314C" w:rsidRPr="002C36F8">
        <w:rPr>
          <w:rFonts w:ascii="Times New Roman" w:eastAsia="Times New Roman" w:hAnsi="Times New Roman" w:cs="Times New Roman"/>
          <w:b/>
          <w:i/>
          <w:sz w:val="24"/>
          <w:szCs w:val="24"/>
          <w:lang w:val="ru-RU" w:eastAsia="bg-BG"/>
        </w:rPr>
        <w:t>-</w:t>
      </w:r>
      <w:r w:rsidR="0089314C" w:rsidRPr="002C36F8">
        <w:rPr>
          <w:rFonts w:ascii="Times New Roman" w:eastAsia="Times New Roman" w:hAnsi="Times New Roman" w:cs="Times New Roman"/>
          <w:b/>
          <w:i/>
          <w:sz w:val="24"/>
          <w:szCs w:val="24"/>
          <w:lang w:val="en-US" w:eastAsia="bg-BG"/>
        </w:rPr>
        <w:t>T</w:t>
      </w:r>
      <w:r w:rsidR="0089314C" w:rsidRPr="002C36F8">
        <w:rPr>
          <w:rFonts w:ascii="Times New Roman" w:eastAsia="Times New Roman" w:hAnsi="Times New Roman" w:cs="Times New Roman"/>
          <w:b/>
          <w:i/>
          <w:sz w:val="24"/>
          <w:szCs w:val="24"/>
          <w:lang w:eastAsia="bg-BG"/>
        </w:rPr>
        <w:t xml:space="preserve"> мрежа</w:t>
      </w:r>
    </w:p>
    <w:p w14:paraId="66084468" w14:textId="77777777" w:rsidR="00DD4C17" w:rsidRPr="002C36F8" w:rsidRDefault="0089314C" w:rsidP="001A0506">
      <w:pPr>
        <w:pStyle w:val="ListParagraph"/>
        <w:numPr>
          <w:ilvl w:val="0"/>
          <w:numId w:val="14"/>
        </w:numPr>
        <w:spacing w:after="0" w:line="240" w:lineRule="auto"/>
        <w:ind w:left="567"/>
        <w:jc w:val="both"/>
        <w:rPr>
          <w:rFonts w:ascii="Times New Roman" w:eastAsia="Times New Roman" w:hAnsi="Times New Roman" w:cs="Times New Roman"/>
          <w:bCs/>
          <w:sz w:val="24"/>
          <w:szCs w:val="24"/>
          <w:lang w:eastAsia="bg-BG"/>
        </w:rPr>
      </w:pPr>
      <w:r w:rsidRPr="002C36F8">
        <w:rPr>
          <w:rFonts w:ascii="Times New Roman" w:eastAsia="Times New Roman" w:hAnsi="Times New Roman" w:cs="Times New Roman"/>
          <w:b/>
          <w:bCs/>
          <w:sz w:val="24"/>
          <w:szCs w:val="24"/>
          <w:lang w:eastAsia="bg-BG"/>
        </w:rPr>
        <w:t xml:space="preserve">Летище Бургас </w:t>
      </w:r>
      <w:r w:rsidRPr="002C36F8">
        <w:rPr>
          <w:rFonts w:ascii="Times New Roman" w:eastAsia="Times New Roman" w:hAnsi="Times New Roman" w:cs="Times New Roman"/>
          <w:bCs/>
          <w:sz w:val="24"/>
          <w:szCs w:val="24"/>
          <w:lang w:eastAsia="bg-BG"/>
        </w:rPr>
        <w:t>с годишен трафик над 2,5 млн. пътника;</w:t>
      </w:r>
    </w:p>
    <w:p w14:paraId="66353B25" w14:textId="77777777" w:rsidR="00DD4C17" w:rsidRPr="002C36F8" w:rsidRDefault="0089314C" w:rsidP="001A0506">
      <w:pPr>
        <w:pStyle w:val="ListParagraph"/>
        <w:numPr>
          <w:ilvl w:val="0"/>
          <w:numId w:val="14"/>
        </w:numPr>
        <w:spacing w:after="0" w:line="240" w:lineRule="auto"/>
        <w:ind w:left="567"/>
        <w:jc w:val="both"/>
        <w:rPr>
          <w:rFonts w:ascii="Times New Roman" w:eastAsia="Times New Roman" w:hAnsi="Times New Roman" w:cs="Times New Roman"/>
          <w:bCs/>
          <w:sz w:val="24"/>
          <w:szCs w:val="24"/>
          <w:lang w:eastAsia="bg-BG"/>
        </w:rPr>
      </w:pPr>
      <w:r w:rsidRPr="002C36F8">
        <w:rPr>
          <w:rFonts w:ascii="Times New Roman" w:eastAsia="Times New Roman" w:hAnsi="Times New Roman" w:cs="Times New Roman"/>
          <w:b/>
          <w:bCs/>
          <w:sz w:val="24"/>
          <w:szCs w:val="24"/>
          <w:lang w:eastAsia="bg-BG"/>
        </w:rPr>
        <w:t xml:space="preserve">Летище Варна </w:t>
      </w:r>
      <w:r w:rsidRPr="002C36F8">
        <w:rPr>
          <w:rFonts w:ascii="Times New Roman" w:eastAsia="Times New Roman" w:hAnsi="Times New Roman" w:cs="Times New Roman"/>
          <w:bCs/>
          <w:sz w:val="24"/>
          <w:szCs w:val="24"/>
          <w:lang w:eastAsia="bg-BG"/>
        </w:rPr>
        <w:t>е с годишен трафик около 1,5 млн. пътника;</w:t>
      </w:r>
    </w:p>
    <w:p w14:paraId="232AF3D4" w14:textId="77777777" w:rsidR="00DD4C17" w:rsidRPr="002C36F8" w:rsidRDefault="0089314C" w:rsidP="001A0506">
      <w:pPr>
        <w:pStyle w:val="ListParagraph"/>
        <w:numPr>
          <w:ilvl w:val="0"/>
          <w:numId w:val="14"/>
        </w:numPr>
        <w:spacing w:after="0" w:line="240" w:lineRule="auto"/>
        <w:ind w:left="567"/>
        <w:jc w:val="both"/>
        <w:rPr>
          <w:rFonts w:ascii="Times New Roman" w:eastAsia="Times New Roman" w:hAnsi="Times New Roman" w:cs="Times New Roman"/>
          <w:bCs/>
          <w:sz w:val="24"/>
          <w:szCs w:val="24"/>
          <w:lang w:eastAsia="bg-BG"/>
        </w:rPr>
      </w:pPr>
      <w:r w:rsidRPr="002C36F8">
        <w:rPr>
          <w:rFonts w:ascii="Times New Roman" w:eastAsia="Times New Roman" w:hAnsi="Times New Roman" w:cs="Times New Roman"/>
          <w:b/>
          <w:bCs/>
          <w:sz w:val="24"/>
          <w:szCs w:val="24"/>
          <w:lang w:eastAsia="bg-BG"/>
        </w:rPr>
        <w:t xml:space="preserve">Летище Пловдив </w:t>
      </w:r>
      <w:r w:rsidRPr="002C36F8">
        <w:rPr>
          <w:rFonts w:ascii="Times New Roman" w:eastAsia="Times New Roman" w:hAnsi="Times New Roman" w:cs="Times New Roman"/>
          <w:bCs/>
          <w:sz w:val="24"/>
          <w:szCs w:val="24"/>
          <w:lang w:eastAsia="bg-BG"/>
        </w:rPr>
        <w:t xml:space="preserve">е с годишен трафик около 100 хил. пътника; </w:t>
      </w:r>
    </w:p>
    <w:p w14:paraId="41D8C962" w14:textId="77777777" w:rsidR="002431CC" w:rsidRPr="002C36F8" w:rsidRDefault="0089314C" w:rsidP="001A0506">
      <w:pPr>
        <w:pStyle w:val="ListParagraph"/>
        <w:numPr>
          <w:ilvl w:val="0"/>
          <w:numId w:val="14"/>
        </w:numPr>
        <w:spacing w:after="0" w:line="240" w:lineRule="auto"/>
        <w:ind w:left="567"/>
        <w:jc w:val="both"/>
        <w:rPr>
          <w:rFonts w:ascii="Times New Roman" w:eastAsia="Times New Roman" w:hAnsi="Times New Roman" w:cs="Times New Roman"/>
          <w:bCs/>
          <w:sz w:val="24"/>
          <w:szCs w:val="24"/>
          <w:lang w:eastAsia="bg-BG"/>
        </w:rPr>
      </w:pPr>
      <w:r w:rsidRPr="002C36F8">
        <w:rPr>
          <w:rFonts w:ascii="Times New Roman" w:eastAsia="Times New Roman" w:hAnsi="Times New Roman" w:cs="Times New Roman"/>
          <w:b/>
          <w:bCs/>
          <w:sz w:val="24"/>
          <w:szCs w:val="24"/>
          <w:lang w:eastAsia="bg-BG"/>
        </w:rPr>
        <w:t xml:space="preserve">Летище Горна Оряховица </w:t>
      </w:r>
      <w:r w:rsidRPr="002C36F8">
        <w:rPr>
          <w:rFonts w:ascii="Times New Roman" w:eastAsia="Times New Roman" w:hAnsi="Times New Roman" w:cs="Times New Roman"/>
          <w:bCs/>
          <w:sz w:val="24"/>
          <w:szCs w:val="24"/>
          <w:lang w:eastAsia="bg-BG"/>
        </w:rPr>
        <w:t>е с годишен трафик под 10 хил. пътника</w:t>
      </w:r>
      <w:r w:rsidR="00E60601" w:rsidRPr="007C469F">
        <w:rPr>
          <w:rFonts w:ascii="Times New Roman" w:eastAsia="Times New Roman" w:hAnsi="Times New Roman" w:cs="Times New Roman"/>
          <w:bCs/>
          <w:sz w:val="24"/>
          <w:szCs w:val="24"/>
          <w:lang w:eastAsia="bg-BG"/>
        </w:rPr>
        <w:t>.</w:t>
      </w:r>
    </w:p>
    <w:p w14:paraId="34B28560" w14:textId="77777777" w:rsidR="00DD4C17" w:rsidRPr="002C36F8" w:rsidRDefault="00DD4C17" w:rsidP="00DD4C17">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На тези летища не </w:t>
      </w:r>
      <w:r w:rsidR="0089314C" w:rsidRPr="002C36F8">
        <w:rPr>
          <w:rFonts w:ascii="Times New Roman" w:eastAsia="Times New Roman" w:hAnsi="Times New Roman" w:cs="Times New Roman"/>
          <w:sz w:val="24"/>
          <w:szCs w:val="24"/>
          <w:lang w:eastAsia="bg-BG"/>
        </w:rPr>
        <w:t xml:space="preserve">се осигурява </w:t>
      </w:r>
      <w:r w:rsidR="0089314C" w:rsidRPr="002C36F8">
        <w:rPr>
          <w:rFonts w:ascii="Times New Roman" w:eastAsia="Times New Roman" w:hAnsi="Times New Roman" w:cs="Times New Roman"/>
          <w:iCs/>
          <w:sz w:val="24"/>
          <w:szCs w:val="24"/>
          <w:lang w:eastAsia="bg-BG"/>
        </w:rPr>
        <w:t xml:space="preserve">Стационарно наземно електрозахранване </w:t>
      </w:r>
      <w:r w:rsidR="0089314C" w:rsidRPr="007C469F">
        <w:rPr>
          <w:rFonts w:ascii="Times New Roman" w:eastAsia="Times New Roman" w:hAnsi="Times New Roman" w:cs="Times New Roman"/>
          <w:iCs/>
          <w:sz w:val="24"/>
          <w:szCs w:val="24"/>
          <w:lang w:eastAsia="bg-BG"/>
        </w:rPr>
        <w:t>(</w:t>
      </w:r>
      <w:r w:rsidR="0089314C" w:rsidRPr="002C36F8">
        <w:rPr>
          <w:rFonts w:ascii="Times New Roman" w:eastAsia="Times New Roman" w:hAnsi="Times New Roman" w:cs="Times New Roman"/>
          <w:iCs/>
          <w:sz w:val="24"/>
          <w:szCs w:val="24"/>
          <w:lang w:val="en-US" w:eastAsia="bg-BG"/>
        </w:rPr>
        <w:t>Fixed</w:t>
      </w:r>
      <w:r w:rsidR="0089314C" w:rsidRPr="007C469F">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iCs/>
          <w:sz w:val="24"/>
          <w:szCs w:val="24"/>
          <w:lang w:val="en-US" w:eastAsia="bg-BG"/>
        </w:rPr>
        <w:t>Electrical</w:t>
      </w:r>
      <w:r w:rsidR="0089314C" w:rsidRPr="007C469F">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iCs/>
          <w:sz w:val="24"/>
          <w:szCs w:val="24"/>
          <w:lang w:val="en-US" w:eastAsia="bg-BG"/>
        </w:rPr>
        <w:t>Ground</w:t>
      </w:r>
      <w:r w:rsidR="0089314C" w:rsidRPr="007C469F">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iCs/>
          <w:sz w:val="24"/>
          <w:szCs w:val="24"/>
          <w:lang w:val="en-US" w:eastAsia="bg-BG"/>
        </w:rPr>
        <w:t>Power</w:t>
      </w:r>
      <w:r w:rsidR="0089314C" w:rsidRPr="007C469F">
        <w:rPr>
          <w:rFonts w:ascii="Times New Roman" w:eastAsia="Times New Roman" w:hAnsi="Times New Roman" w:cs="Times New Roman"/>
          <w:iCs/>
          <w:sz w:val="24"/>
          <w:szCs w:val="24"/>
          <w:lang w:eastAsia="bg-BG"/>
        </w:rPr>
        <w:t xml:space="preserve"> - </w:t>
      </w:r>
      <w:r w:rsidR="0089314C" w:rsidRPr="002C36F8">
        <w:rPr>
          <w:rFonts w:ascii="Times New Roman" w:eastAsia="Times New Roman" w:hAnsi="Times New Roman" w:cs="Times New Roman"/>
          <w:iCs/>
          <w:sz w:val="24"/>
          <w:szCs w:val="24"/>
          <w:lang w:val="en-US" w:eastAsia="bg-BG"/>
        </w:rPr>
        <w:t>FEGP</w:t>
      </w:r>
      <w:r w:rsidR="0089314C" w:rsidRPr="007C469F">
        <w:rPr>
          <w:rFonts w:ascii="Times New Roman" w:eastAsia="Times New Roman" w:hAnsi="Times New Roman" w:cs="Times New Roman"/>
          <w:iCs/>
          <w:sz w:val="24"/>
          <w:szCs w:val="24"/>
          <w:lang w:eastAsia="bg-BG"/>
        </w:rPr>
        <w:t>)</w:t>
      </w:r>
      <w:r w:rsidR="0089314C" w:rsidRPr="002C36F8">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sz w:val="24"/>
          <w:szCs w:val="24"/>
          <w:lang w:eastAsia="bg-BG"/>
        </w:rPr>
        <w:t>поради липса на изградена централизирана инфраструктура в пътническите терминали.</w:t>
      </w:r>
      <w:r w:rsidRPr="002C36F8">
        <w:rPr>
          <w:rFonts w:ascii="Times New Roman" w:eastAsia="Times New Roman" w:hAnsi="Times New Roman" w:cs="Times New Roman"/>
          <w:sz w:val="24"/>
          <w:szCs w:val="24"/>
          <w:lang w:eastAsia="bg-BG"/>
        </w:rPr>
        <w:t xml:space="preserve"> </w:t>
      </w:r>
      <w:r w:rsidR="0089314C" w:rsidRPr="002C36F8">
        <w:rPr>
          <w:rFonts w:ascii="Times New Roman" w:eastAsia="Times New Roman" w:hAnsi="Times New Roman" w:cs="Times New Roman"/>
          <w:sz w:val="24"/>
          <w:szCs w:val="24"/>
          <w:lang w:val="en-US" w:eastAsia="bg-BG"/>
        </w:rPr>
        <w:t>He</w:t>
      </w:r>
      <w:r w:rsidR="0089314C" w:rsidRPr="007C469F">
        <w:rPr>
          <w:rFonts w:ascii="Times New Roman" w:eastAsia="Times New Roman" w:hAnsi="Times New Roman" w:cs="Times New Roman"/>
          <w:sz w:val="24"/>
          <w:szCs w:val="24"/>
          <w:lang w:eastAsia="bg-BG"/>
        </w:rPr>
        <w:t xml:space="preserve"> </w:t>
      </w:r>
      <w:r w:rsidR="0089314C" w:rsidRPr="002C36F8">
        <w:rPr>
          <w:rFonts w:ascii="Times New Roman" w:eastAsia="Times New Roman" w:hAnsi="Times New Roman" w:cs="Times New Roman"/>
          <w:sz w:val="24"/>
          <w:szCs w:val="24"/>
          <w:lang w:eastAsia="bg-BG"/>
        </w:rPr>
        <w:t xml:space="preserve">се осигуряват </w:t>
      </w:r>
      <w:r w:rsidR="0089314C" w:rsidRPr="002C36F8">
        <w:rPr>
          <w:rFonts w:ascii="Times New Roman" w:eastAsia="Times New Roman" w:hAnsi="Times New Roman" w:cs="Times New Roman"/>
          <w:iCs/>
          <w:sz w:val="24"/>
          <w:szCs w:val="24"/>
          <w:lang w:eastAsia="bg-BG"/>
        </w:rPr>
        <w:t xml:space="preserve">Стационарни системи за кондициониране на въздух </w:t>
      </w:r>
      <w:r w:rsidR="0089314C" w:rsidRPr="007C469F">
        <w:rPr>
          <w:rFonts w:ascii="Times New Roman" w:eastAsia="Times New Roman" w:hAnsi="Times New Roman" w:cs="Times New Roman"/>
          <w:iCs/>
          <w:sz w:val="24"/>
          <w:szCs w:val="24"/>
          <w:lang w:eastAsia="bg-BG"/>
        </w:rPr>
        <w:t>(</w:t>
      </w:r>
      <w:r w:rsidR="0089314C" w:rsidRPr="002C36F8">
        <w:rPr>
          <w:rFonts w:ascii="Times New Roman" w:eastAsia="Times New Roman" w:hAnsi="Times New Roman" w:cs="Times New Roman"/>
          <w:iCs/>
          <w:sz w:val="24"/>
          <w:szCs w:val="24"/>
          <w:lang w:val="en-US" w:eastAsia="bg-BG"/>
        </w:rPr>
        <w:t>Pre</w:t>
      </w:r>
      <w:r w:rsidR="0089314C" w:rsidRPr="007C469F">
        <w:rPr>
          <w:rFonts w:ascii="Times New Roman" w:eastAsia="Times New Roman" w:hAnsi="Times New Roman" w:cs="Times New Roman"/>
          <w:iCs/>
          <w:sz w:val="24"/>
          <w:szCs w:val="24"/>
          <w:lang w:eastAsia="bg-BG"/>
        </w:rPr>
        <w:t>-</w:t>
      </w:r>
      <w:r w:rsidR="0089314C" w:rsidRPr="002C36F8">
        <w:rPr>
          <w:rFonts w:ascii="Times New Roman" w:eastAsia="Times New Roman" w:hAnsi="Times New Roman" w:cs="Times New Roman"/>
          <w:iCs/>
          <w:sz w:val="24"/>
          <w:szCs w:val="24"/>
          <w:lang w:val="en-US" w:eastAsia="bg-BG"/>
        </w:rPr>
        <w:t>Conditioned</w:t>
      </w:r>
      <w:r w:rsidR="0089314C" w:rsidRPr="007C469F">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bCs/>
          <w:sz w:val="24"/>
          <w:szCs w:val="24"/>
          <w:lang w:val="en-US" w:eastAsia="bg-BG"/>
        </w:rPr>
        <w:t>Air</w:t>
      </w:r>
      <w:r w:rsidR="0089314C" w:rsidRPr="007C469F">
        <w:rPr>
          <w:rFonts w:ascii="Times New Roman" w:eastAsia="Times New Roman" w:hAnsi="Times New Roman" w:cs="Times New Roman"/>
          <w:bCs/>
          <w:sz w:val="24"/>
          <w:szCs w:val="24"/>
          <w:lang w:eastAsia="bg-BG"/>
        </w:rPr>
        <w:t xml:space="preserve"> </w:t>
      </w:r>
      <w:r w:rsidR="0089314C" w:rsidRPr="002C36F8">
        <w:rPr>
          <w:rFonts w:ascii="Times New Roman" w:eastAsia="Times New Roman" w:hAnsi="Times New Roman" w:cs="Times New Roman"/>
          <w:iCs/>
          <w:sz w:val="24"/>
          <w:szCs w:val="24"/>
          <w:lang w:val="en-US" w:eastAsia="bg-BG"/>
        </w:rPr>
        <w:t>PCA</w:t>
      </w:r>
      <w:r w:rsidR="0089314C" w:rsidRPr="007C469F">
        <w:rPr>
          <w:rFonts w:ascii="Times New Roman" w:eastAsia="Times New Roman" w:hAnsi="Times New Roman" w:cs="Times New Roman"/>
          <w:iCs/>
          <w:sz w:val="24"/>
          <w:szCs w:val="24"/>
          <w:lang w:eastAsia="bg-BG"/>
        </w:rPr>
        <w:t>)</w:t>
      </w:r>
      <w:r w:rsidR="0089314C" w:rsidRPr="002C36F8">
        <w:rPr>
          <w:rFonts w:ascii="Times New Roman" w:eastAsia="Times New Roman" w:hAnsi="Times New Roman" w:cs="Times New Roman"/>
          <w:iCs/>
          <w:sz w:val="24"/>
          <w:szCs w:val="24"/>
          <w:lang w:eastAsia="bg-BG"/>
        </w:rPr>
        <w:t xml:space="preserve"> </w:t>
      </w:r>
      <w:r w:rsidR="0089314C" w:rsidRPr="002C36F8">
        <w:rPr>
          <w:rFonts w:ascii="Times New Roman" w:eastAsia="Times New Roman" w:hAnsi="Times New Roman" w:cs="Times New Roman"/>
          <w:sz w:val="24"/>
          <w:szCs w:val="24"/>
          <w:lang w:eastAsia="bg-BG"/>
        </w:rPr>
        <w:t>поради липса на изградена централизирана инфраструктура в пътническите терминали.</w:t>
      </w:r>
    </w:p>
    <w:p w14:paraId="3FB3865F" w14:textId="77777777" w:rsidR="0089314C" w:rsidRPr="0089314C" w:rsidRDefault="0089314C" w:rsidP="00DD4C17">
      <w:pPr>
        <w:spacing w:after="0" w:line="240" w:lineRule="auto"/>
        <w:ind w:firstLine="567"/>
        <w:jc w:val="both"/>
        <w:rPr>
          <w:rFonts w:ascii="Times New Roman" w:eastAsia="Times New Roman" w:hAnsi="Times New Roman" w:cs="Times New Roman"/>
          <w:sz w:val="24"/>
          <w:szCs w:val="24"/>
          <w:lang w:eastAsia="bg-BG"/>
        </w:rPr>
      </w:pPr>
      <w:r w:rsidRPr="002C36F8">
        <w:rPr>
          <w:rFonts w:ascii="Times New Roman" w:eastAsia="Times New Roman" w:hAnsi="Times New Roman" w:cs="Times New Roman"/>
          <w:sz w:val="24"/>
          <w:szCs w:val="24"/>
          <w:lang w:eastAsia="bg-BG"/>
        </w:rPr>
        <w:t xml:space="preserve">Възможността за инсталиране на стационарно оборудване и на летищата извън основната </w:t>
      </w:r>
      <w:r w:rsidRPr="002C36F8">
        <w:rPr>
          <w:rFonts w:ascii="Times New Roman" w:eastAsia="Times New Roman" w:hAnsi="Times New Roman" w:cs="Times New Roman"/>
          <w:sz w:val="24"/>
          <w:szCs w:val="24"/>
          <w:lang w:val="en-US" w:eastAsia="bg-BG"/>
        </w:rPr>
        <w:t>TEN</w:t>
      </w:r>
      <w:r w:rsidRPr="002C36F8">
        <w:rPr>
          <w:rFonts w:ascii="Times New Roman" w:eastAsia="Times New Roman" w:hAnsi="Times New Roman" w:cs="Times New Roman"/>
          <w:sz w:val="24"/>
          <w:szCs w:val="24"/>
          <w:lang w:val="ru-RU" w:eastAsia="bg-BG"/>
        </w:rPr>
        <w:t>-</w:t>
      </w:r>
      <w:r w:rsidRPr="002C36F8">
        <w:rPr>
          <w:rFonts w:ascii="Times New Roman" w:eastAsia="Times New Roman" w:hAnsi="Times New Roman" w:cs="Times New Roman"/>
          <w:sz w:val="24"/>
          <w:szCs w:val="24"/>
          <w:lang w:val="en-US" w:eastAsia="bg-BG"/>
        </w:rPr>
        <w:t>T</w:t>
      </w:r>
      <w:r w:rsidRPr="002C36F8">
        <w:rPr>
          <w:rFonts w:ascii="Times New Roman" w:eastAsia="Times New Roman" w:hAnsi="Times New Roman" w:cs="Times New Roman"/>
          <w:sz w:val="24"/>
          <w:szCs w:val="24"/>
          <w:lang w:eastAsia="bg-BG"/>
        </w:rPr>
        <w:t xml:space="preserve"> мрежа се определя преди всичко от финансовите възможности и икономическата обоснованост спрямо наличния въздушен трафик, като към настоящият момент не е извършван анализ на национално ниво на необходимостта и икономическата обоснованост от подобно изграждане.</w:t>
      </w:r>
    </w:p>
    <w:p w14:paraId="6536C3D3" w14:textId="77777777" w:rsidR="00C82A8A" w:rsidRDefault="00C82A8A" w:rsidP="00C82A8A">
      <w:pPr>
        <w:spacing w:after="0"/>
        <w:jc w:val="both"/>
        <w:rPr>
          <w:rFonts w:ascii="Times New Roman" w:hAnsi="Times New Roman" w:cs="Times New Roman"/>
          <w:sz w:val="24"/>
          <w:szCs w:val="24"/>
        </w:rPr>
      </w:pPr>
    </w:p>
    <w:p w14:paraId="01036347" w14:textId="77777777" w:rsidR="00AA325D" w:rsidRPr="003A665F" w:rsidRDefault="003A665F" w:rsidP="003A66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A325D" w:rsidRPr="003A665F">
        <w:rPr>
          <w:rFonts w:ascii="Times New Roman" w:hAnsi="Times New Roman" w:cs="Times New Roman"/>
          <w:b/>
          <w:sz w:val="24"/>
          <w:szCs w:val="24"/>
        </w:rPr>
        <w:t>Прогнози за навлизането на превозни средства с електрическо и водородно задвижване и за разгръщането на съответната зарядна инфраструктура в България</w:t>
      </w:r>
      <w:r w:rsidR="00AA325D">
        <w:rPr>
          <w:rStyle w:val="FootnoteReference"/>
          <w:rFonts w:ascii="Times New Roman" w:hAnsi="Times New Roman" w:cs="Times New Roman"/>
          <w:b/>
          <w:sz w:val="24"/>
          <w:szCs w:val="24"/>
        </w:rPr>
        <w:footnoteReference w:id="13"/>
      </w:r>
    </w:p>
    <w:p w14:paraId="7A04444D" w14:textId="77777777" w:rsidR="00AA325D" w:rsidRDefault="00AA325D" w:rsidP="00AA325D">
      <w:pPr>
        <w:spacing w:before="120" w:after="0" w:line="240" w:lineRule="auto"/>
        <w:jc w:val="both"/>
        <w:rPr>
          <w:rFonts w:ascii="Times New Roman" w:hAnsi="Times New Roman" w:cs="Times New Roman"/>
          <w:b/>
          <w:sz w:val="24"/>
          <w:szCs w:val="24"/>
        </w:rPr>
      </w:pPr>
    </w:p>
    <w:p w14:paraId="10BD2FF1" w14:textId="77777777" w:rsidR="00AA325D" w:rsidRPr="000A4153" w:rsidRDefault="00AA325D" w:rsidP="00E66958">
      <w:pPr>
        <w:widowControl w:val="0"/>
        <w:spacing w:after="0" w:line="240" w:lineRule="auto"/>
        <w:ind w:left="40" w:firstLine="300"/>
        <w:jc w:val="both"/>
        <w:rPr>
          <w:rFonts w:ascii="Times New Roman" w:eastAsia="Times New Roman" w:hAnsi="Times New Roman" w:cs="Times New Roman"/>
          <w:color w:val="000000"/>
          <w:sz w:val="24"/>
          <w:szCs w:val="24"/>
          <w:lang w:eastAsia="bg-BG"/>
        </w:rPr>
      </w:pPr>
      <w:r w:rsidRPr="000A4153">
        <w:rPr>
          <w:rFonts w:ascii="Times New Roman" w:eastAsia="Times New Roman" w:hAnsi="Times New Roman" w:cs="Times New Roman"/>
          <w:color w:val="000000"/>
          <w:sz w:val="24"/>
          <w:szCs w:val="24"/>
          <w:lang w:eastAsia="bg-BG"/>
        </w:rPr>
        <w:t>Развитието на електр</w:t>
      </w:r>
      <w:r w:rsidRPr="00D00712">
        <w:rPr>
          <w:rFonts w:ascii="Times New Roman" w:eastAsia="Times New Roman" w:hAnsi="Times New Roman" w:cs="Times New Roman"/>
          <w:color w:val="000000"/>
          <w:sz w:val="24"/>
          <w:szCs w:val="24"/>
          <w:lang w:eastAsia="bg-BG"/>
        </w:rPr>
        <w:t>омобилността в България все още е в началото си. Меж</w:t>
      </w:r>
      <w:r w:rsidRPr="000A4153">
        <w:rPr>
          <w:rFonts w:ascii="Times New Roman" w:eastAsia="Times New Roman" w:hAnsi="Times New Roman" w:cs="Times New Roman"/>
          <w:color w:val="000000"/>
          <w:sz w:val="24"/>
          <w:szCs w:val="24"/>
          <w:lang w:eastAsia="bg-BG"/>
        </w:rPr>
        <w:t xml:space="preserve">ду основните причини </w:t>
      </w:r>
      <w:r w:rsidRPr="00D00712">
        <w:rPr>
          <w:rFonts w:ascii="Times New Roman" w:eastAsia="Times New Roman" w:hAnsi="Times New Roman" w:cs="Times New Roman"/>
          <w:color w:val="000000"/>
          <w:sz w:val="24"/>
          <w:szCs w:val="24"/>
          <w:lang w:eastAsia="bg-BG"/>
        </w:rPr>
        <w:t xml:space="preserve">за това </w:t>
      </w:r>
      <w:r w:rsidRPr="000A4153">
        <w:rPr>
          <w:rFonts w:ascii="Times New Roman" w:eastAsia="Times New Roman" w:hAnsi="Times New Roman" w:cs="Times New Roman"/>
          <w:color w:val="000000"/>
          <w:sz w:val="24"/>
          <w:szCs w:val="24"/>
          <w:lang w:eastAsia="bg-BG"/>
        </w:rPr>
        <w:t>са:</w:t>
      </w:r>
    </w:p>
    <w:p w14:paraId="44E4FA35" w14:textId="6E08E030" w:rsidR="00AA325D" w:rsidRPr="000A4153" w:rsidRDefault="00AA325D" w:rsidP="00E66958">
      <w:pPr>
        <w:widowControl w:val="0"/>
        <w:numPr>
          <w:ilvl w:val="0"/>
          <w:numId w:val="31"/>
        </w:numPr>
        <w:tabs>
          <w:tab w:val="left" w:pos="276"/>
        </w:tabs>
        <w:spacing w:after="0" w:line="240" w:lineRule="auto"/>
        <w:ind w:left="360" w:hanging="300"/>
        <w:jc w:val="both"/>
        <w:rPr>
          <w:rFonts w:ascii="Times New Roman" w:eastAsia="Times New Roman" w:hAnsi="Times New Roman" w:cs="Times New Roman"/>
          <w:color w:val="000000"/>
          <w:sz w:val="24"/>
          <w:szCs w:val="24"/>
          <w:lang w:eastAsia="bg-BG"/>
        </w:rPr>
      </w:pPr>
      <w:r w:rsidRPr="000A4153">
        <w:rPr>
          <w:rFonts w:ascii="Times New Roman" w:eastAsia="Times New Roman" w:hAnsi="Times New Roman" w:cs="Times New Roman"/>
          <w:color w:val="000000"/>
          <w:sz w:val="24"/>
          <w:szCs w:val="24"/>
          <w:lang w:eastAsia="bg-BG"/>
        </w:rPr>
        <w:t xml:space="preserve">Цената на електромобила, която е по-висока в сравнение </w:t>
      </w:r>
      <w:r w:rsidRPr="000A4153">
        <w:rPr>
          <w:rFonts w:ascii="Times New Roman" w:eastAsia="Times New Roman" w:hAnsi="Times New Roman" w:cs="Times New Roman"/>
          <w:color w:val="000000"/>
          <w:sz w:val="24"/>
          <w:szCs w:val="24"/>
          <w:lang w:val="ru-RU" w:eastAsia="bg-BG"/>
        </w:rPr>
        <w:t xml:space="preserve">с </w:t>
      </w:r>
      <w:r w:rsidRPr="000A4153">
        <w:rPr>
          <w:rFonts w:ascii="Times New Roman" w:eastAsia="Times New Roman" w:hAnsi="Times New Roman" w:cs="Times New Roman"/>
          <w:color w:val="000000"/>
          <w:sz w:val="24"/>
          <w:szCs w:val="24"/>
          <w:lang w:eastAsia="bg-BG"/>
        </w:rPr>
        <w:t xml:space="preserve">автомобилите </w:t>
      </w:r>
      <w:r w:rsidRPr="000A4153">
        <w:rPr>
          <w:rFonts w:ascii="Times New Roman" w:eastAsia="Times New Roman" w:hAnsi="Times New Roman" w:cs="Times New Roman"/>
          <w:color w:val="000000"/>
          <w:sz w:val="24"/>
          <w:szCs w:val="24"/>
          <w:lang w:val="ru-RU" w:eastAsia="bg-BG"/>
        </w:rPr>
        <w:t xml:space="preserve">с </w:t>
      </w:r>
      <w:r w:rsidRPr="000A4153">
        <w:rPr>
          <w:rFonts w:ascii="Times New Roman" w:eastAsia="Times New Roman" w:hAnsi="Times New Roman" w:cs="Times New Roman"/>
          <w:color w:val="000000"/>
          <w:sz w:val="24"/>
          <w:szCs w:val="24"/>
          <w:lang w:eastAsia="bg-BG"/>
        </w:rPr>
        <w:t>ко</w:t>
      </w:r>
      <w:r w:rsidRPr="00D00712">
        <w:rPr>
          <w:rFonts w:ascii="Times New Roman" w:eastAsia="Times New Roman" w:hAnsi="Times New Roman" w:cs="Times New Roman"/>
          <w:color w:val="000000"/>
          <w:sz w:val="24"/>
          <w:szCs w:val="24"/>
          <w:lang w:eastAsia="bg-BG"/>
        </w:rPr>
        <w:t>н</w:t>
      </w:r>
      <w:r w:rsidRPr="000A4153">
        <w:rPr>
          <w:rFonts w:ascii="Times New Roman" w:eastAsia="Times New Roman" w:hAnsi="Times New Roman" w:cs="Times New Roman"/>
          <w:color w:val="000000"/>
          <w:sz w:val="24"/>
          <w:szCs w:val="24"/>
          <w:lang w:eastAsia="bg-BG"/>
        </w:rPr>
        <w:t>венционални двигатели (в бъдеще се предполага понижение на цените на батериите и така и на електромобила).</w:t>
      </w:r>
    </w:p>
    <w:p w14:paraId="1F5F8BF0" w14:textId="77777777" w:rsidR="00AA325D" w:rsidRPr="000A4153" w:rsidRDefault="00AA325D" w:rsidP="00E66958">
      <w:pPr>
        <w:widowControl w:val="0"/>
        <w:numPr>
          <w:ilvl w:val="0"/>
          <w:numId w:val="31"/>
        </w:numPr>
        <w:tabs>
          <w:tab w:val="left" w:pos="281"/>
        </w:tabs>
        <w:spacing w:after="0" w:line="240" w:lineRule="auto"/>
        <w:ind w:left="360" w:hanging="300"/>
        <w:jc w:val="both"/>
        <w:rPr>
          <w:rFonts w:ascii="Times New Roman" w:eastAsia="Times New Roman" w:hAnsi="Times New Roman" w:cs="Times New Roman"/>
          <w:color w:val="000000"/>
          <w:sz w:val="24"/>
          <w:szCs w:val="24"/>
          <w:lang w:eastAsia="bg-BG"/>
        </w:rPr>
      </w:pPr>
      <w:r w:rsidRPr="00D00712">
        <w:rPr>
          <w:rFonts w:ascii="Times New Roman" w:eastAsia="Times New Roman" w:hAnsi="Times New Roman" w:cs="Times New Roman"/>
          <w:color w:val="000000"/>
          <w:sz w:val="24"/>
          <w:szCs w:val="24"/>
          <w:lang w:eastAsia="bg-BG"/>
        </w:rPr>
        <w:t>Липса на финансови стимули за насърчаване използването на електромобилите (единственото изключение е</w:t>
      </w:r>
      <w:r w:rsidRPr="00D00712">
        <w:rPr>
          <w:rFonts w:ascii="Times New Roman" w:eastAsia="Times New Roman" w:hAnsi="Times New Roman" w:cs="Times New Roman"/>
          <w:color w:val="000000"/>
          <w:sz w:val="24"/>
          <w:szCs w:val="24"/>
          <w:lang w:val="ru-RU" w:eastAsia="bg-BG"/>
        </w:rPr>
        <w:t xml:space="preserve"> освобождаването от годишен данък върху моторно превозно средство)</w:t>
      </w:r>
    </w:p>
    <w:p w14:paraId="2F883102" w14:textId="77777777" w:rsidR="00AA325D" w:rsidRPr="00D00712" w:rsidRDefault="00AA325D" w:rsidP="00E66958">
      <w:pPr>
        <w:widowControl w:val="0"/>
        <w:numPr>
          <w:ilvl w:val="0"/>
          <w:numId w:val="31"/>
        </w:numPr>
        <w:tabs>
          <w:tab w:val="left" w:pos="281"/>
        </w:tabs>
        <w:spacing w:after="0" w:line="240" w:lineRule="auto"/>
        <w:ind w:left="363" w:hanging="301"/>
        <w:jc w:val="both"/>
        <w:rPr>
          <w:rFonts w:ascii="Times New Roman" w:eastAsia="Times New Roman" w:hAnsi="Times New Roman" w:cs="Times New Roman"/>
          <w:color w:val="000000"/>
          <w:sz w:val="24"/>
          <w:szCs w:val="24"/>
          <w:lang w:eastAsia="bg-BG"/>
        </w:rPr>
      </w:pPr>
      <w:r w:rsidRPr="000A4153">
        <w:rPr>
          <w:rFonts w:ascii="Times New Roman" w:eastAsia="Times New Roman" w:hAnsi="Times New Roman" w:cs="Times New Roman"/>
          <w:color w:val="000000"/>
          <w:sz w:val="24"/>
          <w:szCs w:val="24"/>
          <w:lang w:eastAsia="bg-BG"/>
        </w:rPr>
        <w:t>Липса на зареждаща инфраструктура (недостатъчно гъста зареждаща мрежа, особено в областта на бързите зарядни станции).</w:t>
      </w:r>
    </w:p>
    <w:p w14:paraId="16CCE3C2" w14:textId="77777777" w:rsidR="00AA325D" w:rsidRPr="000A4153" w:rsidRDefault="00AA325D" w:rsidP="00E66958">
      <w:pPr>
        <w:widowControl w:val="0"/>
        <w:numPr>
          <w:ilvl w:val="0"/>
          <w:numId w:val="31"/>
        </w:numPr>
        <w:tabs>
          <w:tab w:val="left" w:pos="281"/>
        </w:tabs>
        <w:spacing w:after="0" w:line="240" w:lineRule="auto"/>
        <w:ind w:left="363" w:hanging="301"/>
        <w:jc w:val="both"/>
        <w:rPr>
          <w:rFonts w:ascii="Times New Roman" w:eastAsia="Times New Roman" w:hAnsi="Times New Roman" w:cs="Times New Roman"/>
          <w:color w:val="000000"/>
          <w:sz w:val="24"/>
          <w:szCs w:val="24"/>
          <w:lang w:eastAsia="bg-BG"/>
        </w:rPr>
      </w:pPr>
      <w:r w:rsidRPr="00D00712">
        <w:rPr>
          <w:rFonts w:ascii="Times New Roman" w:eastAsia="Times New Roman" w:hAnsi="Times New Roman" w:cs="Times New Roman"/>
          <w:color w:val="000000"/>
          <w:sz w:val="24"/>
          <w:szCs w:val="24"/>
          <w:lang w:eastAsia="bg-BG"/>
        </w:rPr>
        <w:t>Ограничения пробег при шофиране (липса на комфорт и автономията на движение)</w:t>
      </w:r>
    </w:p>
    <w:p w14:paraId="4D4A4EA3" w14:textId="77777777" w:rsidR="00AA325D" w:rsidRPr="000A4153" w:rsidRDefault="00AA325D" w:rsidP="00E66958">
      <w:pPr>
        <w:widowControl w:val="0"/>
        <w:numPr>
          <w:ilvl w:val="0"/>
          <w:numId w:val="31"/>
        </w:numPr>
        <w:tabs>
          <w:tab w:val="left" w:pos="276"/>
        </w:tabs>
        <w:spacing w:after="0" w:line="240" w:lineRule="auto"/>
        <w:ind w:left="363" w:hanging="301"/>
        <w:jc w:val="both"/>
        <w:rPr>
          <w:rFonts w:ascii="Times New Roman" w:eastAsia="Times New Roman" w:hAnsi="Times New Roman" w:cs="Times New Roman"/>
          <w:color w:val="000000"/>
          <w:sz w:val="24"/>
          <w:szCs w:val="24"/>
          <w:lang w:eastAsia="bg-BG"/>
        </w:rPr>
      </w:pPr>
      <w:r w:rsidRPr="000A4153">
        <w:rPr>
          <w:rFonts w:ascii="Times New Roman" w:eastAsia="Times New Roman" w:hAnsi="Times New Roman" w:cs="Times New Roman"/>
          <w:color w:val="000000"/>
          <w:sz w:val="24"/>
          <w:szCs w:val="24"/>
          <w:lang w:eastAsia="bg-BG"/>
        </w:rPr>
        <w:t>Ниска чувствителност към екологични теми, преди вси</w:t>
      </w:r>
      <w:r w:rsidRPr="00D00712">
        <w:rPr>
          <w:rFonts w:ascii="Times New Roman" w:eastAsia="Times New Roman" w:hAnsi="Times New Roman" w:cs="Times New Roman"/>
          <w:color w:val="000000"/>
          <w:sz w:val="24"/>
          <w:szCs w:val="24"/>
          <w:lang w:eastAsia="bg-BG"/>
        </w:rPr>
        <w:t>чко към понижаване на емисиите на вредни вещества в атмосферния въздух</w:t>
      </w:r>
      <w:r>
        <w:rPr>
          <w:rFonts w:ascii="Times New Roman" w:eastAsia="Times New Roman" w:hAnsi="Times New Roman" w:cs="Times New Roman"/>
          <w:color w:val="000000"/>
          <w:sz w:val="24"/>
          <w:szCs w:val="24"/>
          <w:lang w:eastAsia="bg-BG"/>
        </w:rPr>
        <w:t>.</w:t>
      </w:r>
    </w:p>
    <w:p w14:paraId="36B78FCB" w14:textId="027259D4" w:rsidR="00AA325D" w:rsidRPr="00533217" w:rsidRDefault="00AA325D" w:rsidP="00AA325D">
      <w:pPr>
        <w:spacing w:before="120" w:after="0" w:line="240" w:lineRule="auto"/>
        <w:jc w:val="both"/>
        <w:rPr>
          <w:rFonts w:ascii="Times New Roman" w:hAnsi="Times New Roman" w:cs="Times New Roman"/>
          <w:sz w:val="24"/>
          <w:szCs w:val="24"/>
          <w:lang w:val="en-US"/>
        </w:rPr>
      </w:pPr>
      <w:r w:rsidRPr="007C469F">
        <w:rPr>
          <w:rFonts w:ascii="Times New Roman" w:hAnsi="Times New Roman" w:cs="Times New Roman"/>
          <w:sz w:val="24"/>
          <w:szCs w:val="24"/>
        </w:rPr>
        <w:t xml:space="preserve">Може да се очаква, че през следващите години интересът към електромобилността </w:t>
      </w:r>
      <w:r>
        <w:rPr>
          <w:rFonts w:ascii="Times New Roman" w:hAnsi="Times New Roman" w:cs="Times New Roman"/>
          <w:sz w:val="24"/>
          <w:szCs w:val="24"/>
        </w:rPr>
        <w:t xml:space="preserve">в България </w:t>
      </w:r>
      <w:r w:rsidRPr="007C469F">
        <w:rPr>
          <w:rFonts w:ascii="Times New Roman" w:hAnsi="Times New Roman" w:cs="Times New Roman"/>
          <w:sz w:val="24"/>
          <w:szCs w:val="24"/>
        </w:rPr>
        <w:t xml:space="preserve">ще нараства. </w:t>
      </w:r>
      <w:r w:rsidRPr="00533217">
        <w:rPr>
          <w:rFonts w:ascii="Times New Roman" w:hAnsi="Times New Roman" w:cs="Times New Roman"/>
          <w:sz w:val="24"/>
          <w:szCs w:val="24"/>
          <w:lang w:val="en-US"/>
        </w:rPr>
        <w:t xml:space="preserve">Тези </w:t>
      </w:r>
      <w:r w:rsidR="00BE0326">
        <w:rPr>
          <w:rFonts w:ascii="Times New Roman" w:hAnsi="Times New Roman" w:cs="Times New Roman"/>
          <w:sz w:val="24"/>
          <w:szCs w:val="24"/>
        </w:rPr>
        <w:t>изводи</w:t>
      </w:r>
      <w:r w:rsidR="00BE0326" w:rsidRPr="00533217">
        <w:rPr>
          <w:rFonts w:ascii="Times New Roman" w:hAnsi="Times New Roman" w:cs="Times New Roman"/>
          <w:sz w:val="24"/>
          <w:szCs w:val="24"/>
          <w:lang w:val="en-US"/>
        </w:rPr>
        <w:t xml:space="preserve"> </w:t>
      </w:r>
      <w:r w:rsidR="009E1D26">
        <w:rPr>
          <w:rFonts w:ascii="Times New Roman" w:hAnsi="Times New Roman" w:cs="Times New Roman"/>
          <w:sz w:val="24"/>
          <w:szCs w:val="24"/>
        </w:rPr>
        <w:t>се правят на основата</w:t>
      </w:r>
      <w:r w:rsidRPr="00533217">
        <w:rPr>
          <w:rFonts w:ascii="Times New Roman" w:hAnsi="Times New Roman" w:cs="Times New Roman"/>
          <w:sz w:val="24"/>
          <w:szCs w:val="24"/>
          <w:lang w:val="en-US"/>
        </w:rPr>
        <w:t xml:space="preserve"> на следните фактори:</w:t>
      </w:r>
    </w:p>
    <w:p w14:paraId="3B142AA6" w14:textId="77777777" w:rsidR="00AA325D" w:rsidRPr="00124881" w:rsidRDefault="00AA325D" w:rsidP="00E66958">
      <w:pPr>
        <w:pStyle w:val="ListParagraph"/>
        <w:numPr>
          <w:ilvl w:val="0"/>
          <w:numId w:val="33"/>
        </w:numPr>
        <w:spacing w:after="0" w:line="240" w:lineRule="auto"/>
        <w:ind w:left="714" w:hanging="357"/>
        <w:jc w:val="both"/>
        <w:rPr>
          <w:rFonts w:ascii="Times New Roman" w:hAnsi="Times New Roman" w:cs="Times New Roman"/>
          <w:sz w:val="24"/>
          <w:szCs w:val="24"/>
          <w:lang w:val="en-US"/>
        </w:rPr>
      </w:pPr>
      <w:r w:rsidRPr="00124881">
        <w:rPr>
          <w:rFonts w:ascii="Times New Roman" w:hAnsi="Times New Roman" w:cs="Times New Roman"/>
          <w:sz w:val="24"/>
          <w:szCs w:val="24"/>
          <w:lang w:val="en-US"/>
        </w:rPr>
        <w:t xml:space="preserve">прецизиране на </w:t>
      </w:r>
      <w:r w:rsidRPr="00124881">
        <w:rPr>
          <w:rFonts w:ascii="Times New Roman" w:hAnsi="Times New Roman" w:cs="Times New Roman"/>
          <w:sz w:val="24"/>
          <w:szCs w:val="24"/>
        </w:rPr>
        <w:t xml:space="preserve">законодателната рамка </w:t>
      </w:r>
      <w:r>
        <w:rPr>
          <w:rFonts w:ascii="Times New Roman" w:hAnsi="Times New Roman" w:cs="Times New Roman"/>
          <w:sz w:val="24"/>
          <w:szCs w:val="24"/>
        </w:rPr>
        <w:t>в областта на електромобилността</w:t>
      </w:r>
      <w:r w:rsidR="000132E9">
        <w:rPr>
          <w:rFonts w:ascii="Times New Roman" w:hAnsi="Times New Roman" w:cs="Times New Roman"/>
          <w:sz w:val="24"/>
          <w:szCs w:val="24"/>
        </w:rPr>
        <w:t>;</w:t>
      </w:r>
    </w:p>
    <w:p w14:paraId="0FB4FC39" w14:textId="77777777" w:rsidR="00AA325D" w:rsidRPr="00124881" w:rsidRDefault="00AA325D" w:rsidP="00E66958">
      <w:pPr>
        <w:pStyle w:val="ListParagraph"/>
        <w:numPr>
          <w:ilvl w:val="0"/>
          <w:numId w:val="33"/>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понижаване на разходите при покупка на </w:t>
      </w:r>
      <w:r w:rsidRPr="00124881">
        <w:rPr>
          <w:rFonts w:ascii="Times New Roman" w:hAnsi="Times New Roman" w:cs="Times New Roman"/>
          <w:sz w:val="24"/>
          <w:szCs w:val="24"/>
          <w:lang w:val="en-US"/>
        </w:rPr>
        <w:t>електромобили, преди всичко за батериите, повишава икономическия им потенциал)</w:t>
      </w:r>
      <w:r w:rsidR="000132E9">
        <w:rPr>
          <w:rFonts w:ascii="Times New Roman" w:hAnsi="Times New Roman" w:cs="Times New Roman"/>
          <w:sz w:val="24"/>
          <w:szCs w:val="24"/>
        </w:rPr>
        <w:t>;</w:t>
      </w:r>
    </w:p>
    <w:p w14:paraId="2D3CC8FC" w14:textId="77777777" w:rsidR="00AA325D" w:rsidRPr="00124881" w:rsidRDefault="00AA325D" w:rsidP="00E66958">
      <w:pPr>
        <w:pStyle w:val="ListParagraph"/>
        <w:numPr>
          <w:ilvl w:val="0"/>
          <w:numId w:val="32"/>
        </w:numPr>
        <w:spacing w:after="0" w:line="24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rPr>
        <w:lastRenderedPageBreak/>
        <w:t>удължаване на пробега на електрическите превозни средства</w:t>
      </w:r>
      <w:r w:rsidR="000132E9">
        <w:rPr>
          <w:rFonts w:ascii="Times New Roman" w:hAnsi="Times New Roman" w:cs="Times New Roman"/>
          <w:sz w:val="24"/>
          <w:szCs w:val="24"/>
        </w:rPr>
        <w:t>;</w:t>
      </w:r>
    </w:p>
    <w:p w14:paraId="0FF740D2" w14:textId="77777777" w:rsidR="00AA325D" w:rsidRDefault="00AA325D" w:rsidP="00E66958">
      <w:pPr>
        <w:pStyle w:val="ListParagraph"/>
        <w:numPr>
          <w:ilvl w:val="0"/>
          <w:numId w:val="3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lang w:val="en-US"/>
        </w:rPr>
        <w:t>н</w:t>
      </w:r>
      <w:r w:rsidRPr="00124881">
        <w:rPr>
          <w:rFonts w:ascii="Times New Roman" w:hAnsi="Times New Roman" w:cs="Times New Roman"/>
          <w:sz w:val="24"/>
          <w:szCs w:val="24"/>
          <w:lang w:val="en-US"/>
        </w:rPr>
        <w:t>атиск за повишаване на качеството на живота, особено в градовете</w:t>
      </w:r>
      <w:r w:rsidR="000132E9">
        <w:rPr>
          <w:rFonts w:ascii="Times New Roman" w:hAnsi="Times New Roman" w:cs="Times New Roman"/>
          <w:sz w:val="24"/>
          <w:szCs w:val="24"/>
        </w:rPr>
        <w:t>;</w:t>
      </w:r>
    </w:p>
    <w:p w14:paraId="1B7E6087" w14:textId="77777777" w:rsidR="00AA325D" w:rsidRPr="00124881" w:rsidRDefault="00AA325D" w:rsidP="00E66958">
      <w:pPr>
        <w:pStyle w:val="ListParagraph"/>
        <w:numPr>
          <w:ilvl w:val="0"/>
          <w:numId w:val="3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организиране на публични информационни кампании, представящи предимствата, ползите и практическите аспекти на електрическите превозни средства.</w:t>
      </w:r>
    </w:p>
    <w:p w14:paraId="5A49E346" w14:textId="77777777" w:rsidR="00AA325D" w:rsidRPr="007C469F" w:rsidRDefault="00AA325D" w:rsidP="00AA325D">
      <w:pPr>
        <w:spacing w:before="120" w:after="0" w:line="240" w:lineRule="auto"/>
        <w:ind w:firstLine="708"/>
        <w:jc w:val="both"/>
        <w:rPr>
          <w:rFonts w:ascii="Times New Roman" w:hAnsi="Times New Roman" w:cs="Times New Roman"/>
          <w:sz w:val="24"/>
          <w:szCs w:val="24"/>
        </w:rPr>
      </w:pPr>
      <w:r w:rsidRPr="007C469F">
        <w:rPr>
          <w:rFonts w:ascii="Times New Roman" w:hAnsi="Times New Roman" w:cs="Times New Roman"/>
          <w:sz w:val="24"/>
          <w:szCs w:val="24"/>
        </w:rPr>
        <w:t>Развитие</w:t>
      </w:r>
      <w:r w:rsidRPr="00533217">
        <w:rPr>
          <w:rFonts w:ascii="Times New Roman" w:hAnsi="Times New Roman" w:cs="Times New Roman"/>
          <w:sz w:val="24"/>
          <w:szCs w:val="24"/>
        </w:rPr>
        <w:t>то</w:t>
      </w:r>
      <w:r w:rsidRPr="007C469F">
        <w:rPr>
          <w:rFonts w:ascii="Times New Roman" w:hAnsi="Times New Roman" w:cs="Times New Roman"/>
          <w:sz w:val="24"/>
          <w:szCs w:val="24"/>
        </w:rPr>
        <w:t xml:space="preserve"> на електромобилността </w:t>
      </w:r>
      <w:r>
        <w:rPr>
          <w:rFonts w:ascii="Times New Roman" w:hAnsi="Times New Roman" w:cs="Times New Roman"/>
          <w:sz w:val="24"/>
          <w:szCs w:val="24"/>
        </w:rPr>
        <w:t xml:space="preserve">в България </w:t>
      </w:r>
      <w:r w:rsidRPr="007C469F">
        <w:rPr>
          <w:rFonts w:ascii="Times New Roman" w:hAnsi="Times New Roman" w:cs="Times New Roman"/>
          <w:sz w:val="24"/>
          <w:szCs w:val="24"/>
        </w:rPr>
        <w:t>не бива да се възприема в смисъл на бързо изтласкване на конвенционалните горива в транспорта от електричеството, а като еволюционен процес, при който различни горива, включително алтернативни, ще намерят в различните сегменти на пазара своето приложение и тяхното взаимовръзки ще са по-скоро допълващи се, отколкото конкурентни.</w:t>
      </w:r>
    </w:p>
    <w:p w14:paraId="5FA0D22A" w14:textId="77777777" w:rsidR="00AA325D" w:rsidRPr="00734ACB" w:rsidRDefault="00AA325D" w:rsidP="00AA325D">
      <w:pPr>
        <w:ind w:firstLine="708"/>
        <w:jc w:val="both"/>
        <w:rPr>
          <w:rFonts w:ascii="Times New Roman" w:hAnsi="Times New Roman" w:cs="Times New Roman"/>
          <w:sz w:val="24"/>
          <w:szCs w:val="24"/>
        </w:rPr>
      </w:pPr>
      <w:r>
        <w:rPr>
          <w:rFonts w:ascii="Times New Roman" w:hAnsi="Times New Roman" w:cs="Times New Roman"/>
          <w:sz w:val="24"/>
          <w:szCs w:val="24"/>
        </w:rPr>
        <w:t>Към настоящия момент вниманието следва да бъде насочено и към хибридните автомобили</w:t>
      </w:r>
      <w:r w:rsidRPr="00734ACB">
        <w:rPr>
          <w:rFonts w:ascii="Times New Roman" w:hAnsi="Times New Roman" w:cs="Times New Roman"/>
          <w:sz w:val="24"/>
          <w:szCs w:val="24"/>
        </w:rPr>
        <w:t>, които биха могли да осигурят достатъчна автономност на придвижването, да се възползват от съществуващата мрежа за дистрибуция на конвенционални горива като едновременно с това представляват модерен и екологичен транспорт. Развитието на този тип двигатели към настоящия момент е достигнало до етап, който позволява включването му в транспорта без риск от сериозни технически неизправности. Не на последно място цената на подобни превозни средства е по-ниска от тези задвижвани, единствено от електричество или водород.</w:t>
      </w:r>
    </w:p>
    <w:p w14:paraId="37AB7804" w14:textId="77777777" w:rsidR="00AA325D" w:rsidRPr="00EC3B3C" w:rsidRDefault="00AA325D" w:rsidP="00AA325D">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3A665F">
        <w:rPr>
          <w:rFonts w:ascii="Times New Roman" w:hAnsi="Times New Roman" w:cs="Times New Roman"/>
          <w:b/>
          <w:sz w:val="24"/>
          <w:szCs w:val="24"/>
        </w:rPr>
        <w:t>.1 Прогнозни цели</w:t>
      </w:r>
      <w:r>
        <w:rPr>
          <w:rFonts w:ascii="Times New Roman" w:hAnsi="Times New Roman" w:cs="Times New Roman"/>
          <w:b/>
          <w:sz w:val="24"/>
          <w:szCs w:val="24"/>
        </w:rPr>
        <w:t xml:space="preserve"> и </w:t>
      </w:r>
      <w:r w:rsidR="003A665F">
        <w:rPr>
          <w:rFonts w:ascii="Times New Roman" w:hAnsi="Times New Roman" w:cs="Times New Roman"/>
          <w:b/>
          <w:sz w:val="24"/>
          <w:szCs w:val="24"/>
        </w:rPr>
        <w:t xml:space="preserve">потенциални </w:t>
      </w:r>
      <w:r>
        <w:rPr>
          <w:rFonts w:ascii="Times New Roman" w:hAnsi="Times New Roman" w:cs="Times New Roman"/>
          <w:b/>
          <w:sz w:val="24"/>
          <w:szCs w:val="24"/>
        </w:rPr>
        <w:t xml:space="preserve">мерки за насърчаване навлизането на електрическите превозни средства </w:t>
      </w:r>
    </w:p>
    <w:p w14:paraId="4827F45D" w14:textId="77777777" w:rsidR="00AA325D" w:rsidRPr="00AC503B" w:rsidRDefault="00AA325D" w:rsidP="00AA325D">
      <w:pPr>
        <w:spacing w:before="120" w:after="0" w:line="240" w:lineRule="auto"/>
        <w:ind w:firstLine="709"/>
        <w:jc w:val="both"/>
        <w:rPr>
          <w:rFonts w:ascii="Times New Roman" w:hAnsi="Times New Roman" w:cs="Times New Roman"/>
          <w:sz w:val="24"/>
          <w:szCs w:val="24"/>
        </w:rPr>
      </w:pPr>
      <w:r w:rsidRPr="00AC503B">
        <w:rPr>
          <w:rFonts w:ascii="Times New Roman" w:hAnsi="Times New Roman" w:cs="Times New Roman"/>
          <w:sz w:val="24"/>
          <w:szCs w:val="24"/>
        </w:rPr>
        <w:t>През следващите 15 години електромобилите ще достигнат пазарен дял от 3 % в световен мащаб. Цените на електромобилите ще падат бавно, но в дългосрочен план няма алтернатива на електрическите задвижващи системи.</w:t>
      </w:r>
    </w:p>
    <w:p w14:paraId="3FD6757E" w14:textId="77777777" w:rsidR="00AA325D" w:rsidRPr="00AC503B" w:rsidRDefault="00AA325D" w:rsidP="00AA325D">
      <w:pPr>
        <w:jc w:val="both"/>
        <w:rPr>
          <w:rFonts w:ascii="Times New Roman" w:hAnsi="Times New Roman" w:cs="Times New Roman"/>
          <w:sz w:val="24"/>
          <w:szCs w:val="24"/>
        </w:rPr>
      </w:pPr>
      <w:r w:rsidRPr="00AC503B">
        <w:rPr>
          <w:rFonts w:ascii="Times New Roman" w:hAnsi="Times New Roman" w:cs="Times New Roman"/>
          <w:sz w:val="24"/>
          <w:szCs w:val="24"/>
        </w:rPr>
        <w:t>Силни заявки за масово навлизане на електромобили</w:t>
      </w:r>
      <w:r>
        <w:rPr>
          <w:rFonts w:ascii="Times New Roman" w:hAnsi="Times New Roman" w:cs="Times New Roman"/>
          <w:sz w:val="24"/>
          <w:szCs w:val="24"/>
        </w:rPr>
        <w:t>те</w:t>
      </w:r>
      <w:r w:rsidRPr="00AC503B">
        <w:rPr>
          <w:rFonts w:ascii="Times New Roman" w:hAnsi="Times New Roman" w:cs="Times New Roman"/>
          <w:sz w:val="24"/>
          <w:szCs w:val="24"/>
        </w:rPr>
        <w:t xml:space="preserve"> дават и страни от Вишеградската четворка. Полша планира 1 милион електромобила по пътищата на страната до 2030 година</w:t>
      </w:r>
      <w:r w:rsidRPr="00AC503B">
        <w:rPr>
          <w:rStyle w:val="FootnoteReference"/>
          <w:rFonts w:ascii="Times New Roman" w:hAnsi="Times New Roman" w:cs="Times New Roman"/>
          <w:sz w:val="24"/>
          <w:szCs w:val="24"/>
        </w:rPr>
        <w:footnoteReference w:id="14"/>
      </w:r>
      <w:r w:rsidRPr="00AC503B">
        <w:rPr>
          <w:rFonts w:ascii="Times New Roman" w:hAnsi="Times New Roman" w:cs="Times New Roman"/>
          <w:sz w:val="24"/>
          <w:szCs w:val="24"/>
        </w:rPr>
        <w:t>. Словакия декларира амбиции за 31%-тен дял на електромобилите от новорегистрираните превозни средства през 2030 г.</w:t>
      </w:r>
      <w:r w:rsidRPr="00AC503B">
        <w:rPr>
          <w:rStyle w:val="FootnoteReference"/>
          <w:rFonts w:ascii="Times New Roman" w:hAnsi="Times New Roman" w:cs="Times New Roman"/>
          <w:sz w:val="24"/>
          <w:szCs w:val="24"/>
        </w:rPr>
        <w:footnoteReference w:id="15"/>
      </w:r>
      <w:r w:rsidRPr="00AC503B">
        <w:rPr>
          <w:rFonts w:ascii="Times New Roman" w:hAnsi="Times New Roman" w:cs="Times New Roman"/>
          <w:sz w:val="24"/>
          <w:szCs w:val="24"/>
        </w:rPr>
        <w:t xml:space="preserve">. </w:t>
      </w:r>
    </w:p>
    <w:p w14:paraId="21663738" w14:textId="77777777"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В първите си три сесии (юни-септември 2016 година) румънската програма за намаляване на емисиите на парникови газове чрез насърчаване за нискоемисионни превозни средства е предоставила повече от 173 000 евро като директни субсидии за закупуване на електромобили и изграждане на инфраструктура, а към момента е в ход процедурата за четвърта сесия, в която ще бъдат предоставени субсидии в размер на 13 млн. евро за инсталиране на между 350 и 1000 зарядни станции, в зависимост от мощността.</w:t>
      </w:r>
    </w:p>
    <w:p w14:paraId="69612E04" w14:textId="77777777"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Предвид пренебрежимия дял на електромобилите в пазарите на тези страни такива заявки може да изглеждат силно оптимистични, но те са в отговор на вече приети международни документи, заявяващи твърдата воля за масова електрификация на пътния транспорт. </w:t>
      </w:r>
    </w:p>
    <w:p w14:paraId="502F4504" w14:textId="77777777"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Парижката декларация за климата поставя цел за поне 20%-тен дял на електрическите превозни средства по пътищата през 2030 г., включително поне 100 милиона електромобила</w:t>
      </w:r>
      <w:r w:rsidRPr="00AC503B">
        <w:rPr>
          <w:rStyle w:val="FootnoteReference"/>
          <w:rFonts w:ascii="Times New Roman" w:hAnsi="Times New Roman" w:cs="Times New Roman"/>
          <w:sz w:val="24"/>
          <w:szCs w:val="24"/>
        </w:rPr>
        <w:footnoteReference w:id="16"/>
      </w:r>
      <w:r w:rsidRPr="00AC503B">
        <w:rPr>
          <w:rFonts w:ascii="Times New Roman" w:hAnsi="Times New Roman" w:cs="Times New Roman"/>
          <w:sz w:val="24"/>
          <w:szCs w:val="24"/>
        </w:rPr>
        <w:t xml:space="preserve">. За постигане на тази цел, според Международната енергийна </w:t>
      </w:r>
      <w:r w:rsidRPr="00AC503B">
        <w:rPr>
          <w:rFonts w:ascii="Times New Roman" w:hAnsi="Times New Roman" w:cs="Times New Roman"/>
          <w:sz w:val="24"/>
          <w:szCs w:val="24"/>
        </w:rPr>
        <w:lastRenderedPageBreak/>
        <w:t>агенция електрическите превозни средства трябва да представляват поне 35% от продажбите през 2030 година.</w:t>
      </w:r>
    </w:p>
    <w:p w14:paraId="4412634E" w14:textId="49479912"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Водещите в електромобилността държави са се ангажирали през 2020 г. електромобилите да съставляват средно 3% от техните автопаркове. За всички от тях това е амбициозна цел, за постигането на която съществуващият електроавтопарк от около 900 хиляди електромобила трябва да нарасне 15 пъти и да достигне над 13 милиона бройки. </w:t>
      </w:r>
    </w:p>
    <w:p w14:paraId="7BC97874" w14:textId="15FC8D8B"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Най-амбициозните планове предвиждат за 2020 г. дял на електромобилите в националните автопаркове в размер на 5% (Великобритания, Португалия), 6% (Франция), дори 9% (Дания). </w:t>
      </w:r>
    </w:p>
    <w:p w14:paraId="6DEFB9B7" w14:textId="77777777" w:rsidR="00AA325D" w:rsidRPr="00A21AD3" w:rsidRDefault="00AA325D" w:rsidP="006D09E6">
      <w:pPr>
        <w:ind w:firstLine="708"/>
        <w:jc w:val="both"/>
        <w:rPr>
          <w:rFonts w:ascii="Times New Roman" w:hAnsi="Times New Roman" w:cs="Times New Roman"/>
          <w:sz w:val="24"/>
          <w:szCs w:val="24"/>
        </w:rPr>
      </w:pPr>
      <w:r>
        <w:rPr>
          <w:rFonts w:ascii="Times New Roman" w:hAnsi="Times New Roman" w:cs="Times New Roman"/>
          <w:sz w:val="24"/>
          <w:szCs w:val="24"/>
        </w:rPr>
        <w:t>Според различния времеви хоризонт прогноз</w:t>
      </w:r>
      <w:r w:rsidRPr="00A21AD3">
        <w:rPr>
          <w:rFonts w:ascii="Times New Roman" w:hAnsi="Times New Roman" w:cs="Times New Roman"/>
          <w:sz w:val="24"/>
          <w:szCs w:val="24"/>
        </w:rPr>
        <w:t xml:space="preserve">ният брой автомобили със задвижващи системи с различна степен на електрификация, но задължително със заряден компонент и електрическа автономия поне 40 км. </w:t>
      </w:r>
      <w:r>
        <w:rPr>
          <w:rFonts w:ascii="Times New Roman" w:hAnsi="Times New Roman" w:cs="Times New Roman"/>
          <w:sz w:val="24"/>
          <w:szCs w:val="24"/>
        </w:rPr>
        <w:t>е, както следва</w:t>
      </w:r>
      <w:r w:rsidRPr="00A21AD3">
        <w:rPr>
          <w:rFonts w:ascii="Times New Roman" w:hAnsi="Times New Roman" w:cs="Times New Roman"/>
          <w:sz w:val="24"/>
          <w:szCs w:val="24"/>
        </w:rPr>
        <w:t>:</w:t>
      </w:r>
    </w:p>
    <w:p w14:paraId="20B4A32F" w14:textId="77777777" w:rsidR="00AA325D" w:rsidRDefault="00AA325D" w:rsidP="00AA325D">
      <w:pPr>
        <w:jc w:val="both"/>
        <w:rPr>
          <w:rFonts w:ascii="Times New Roman" w:hAnsi="Times New Roman" w:cs="Times New Roman"/>
          <w:sz w:val="24"/>
          <w:szCs w:val="24"/>
        </w:rPr>
      </w:pPr>
      <w:r w:rsidRPr="00E05F43">
        <w:rPr>
          <w:rFonts w:ascii="Times New Roman" w:hAnsi="Times New Roman" w:cs="Times New Roman"/>
          <w:sz w:val="24"/>
          <w:szCs w:val="24"/>
        </w:rPr>
        <w:t>2020 г.</w:t>
      </w:r>
      <w:r w:rsidRPr="00A21AD3">
        <w:rPr>
          <w:rFonts w:ascii="Times New Roman" w:hAnsi="Times New Roman" w:cs="Times New Roman"/>
          <w:b/>
          <w:sz w:val="24"/>
          <w:szCs w:val="24"/>
        </w:rPr>
        <w:t xml:space="preserve"> –</w:t>
      </w:r>
      <w:r>
        <w:rPr>
          <w:rFonts w:ascii="Times New Roman" w:hAnsi="Times New Roman" w:cs="Times New Roman"/>
          <w:sz w:val="24"/>
          <w:szCs w:val="24"/>
        </w:rPr>
        <w:t>до</w:t>
      </w:r>
      <w:r w:rsidRPr="00A21AD3">
        <w:rPr>
          <w:rFonts w:ascii="Times New Roman" w:hAnsi="Times New Roman" w:cs="Times New Roman"/>
          <w:sz w:val="24"/>
          <w:szCs w:val="24"/>
        </w:rPr>
        <w:t xml:space="preserve"> 35</w:t>
      </w:r>
      <w:r>
        <w:rPr>
          <w:rFonts w:ascii="Times New Roman" w:hAnsi="Times New Roman" w:cs="Times New Roman"/>
          <w:sz w:val="24"/>
          <w:szCs w:val="24"/>
        </w:rPr>
        <w:t xml:space="preserve"> 000 бр.</w:t>
      </w:r>
    </w:p>
    <w:p w14:paraId="4CE505BC" w14:textId="77777777" w:rsidR="00AA325D" w:rsidRDefault="00AA325D" w:rsidP="00AA325D">
      <w:pPr>
        <w:jc w:val="both"/>
        <w:rPr>
          <w:rFonts w:ascii="Times New Roman" w:hAnsi="Times New Roman" w:cs="Times New Roman"/>
          <w:sz w:val="24"/>
          <w:szCs w:val="24"/>
        </w:rPr>
      </w:pPr>
      <w:r w:rsidRPr="00E05F43">
        <w:rPr>
          <w:rFonts w:ascii="Times New Roman" w:hAnsi="Times New Roman" w:cs="Times New Roman"/>
          <w:sz w:val="24"/>
          <w:szCs w:val="24"/>
        </w:rPr>
        <w:t>2025 г.</w:t>
      </w:r>
      <w:r>
        <w:rPr>
          <w:rFonts w:ascii="Times New Roman" w:hAnsi="Times New Roman" w:cs="Times New Roman"/>
          <w:b/>
          <w:sz w:val="24"/>
          <w:szCs w:val="24"/>
        </w:rPr>
        <w:t xml:space="preserve"> </w:t>
      </w:r>
      <w:r w:rsidRPr="00A21AD3">
        <w:rPr>
          <w:rFonts w:ascii="Times New Roman" w:hAnsi="Times New Roman" w:cs="Times New Roman"/>
          <w:b/>
          <w:sz w:val="24"/>
          <w:szCs w:val="24"/>
        </w:rPr>
        <w:t>–</w:t>
      </w:r>
      <w:r w:rsidRPr="00A21AD3">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A21AD3">
        <w:rPr>
          <w:rFonts w:ascii="Times New Roman" w:hAnsi="Times New Roman" w:cs="Times New Roman"/>
          <w:sz w:val="24"/>
          <w:szCs w:val="24"/>
        </w:rPr>
        <w:t xml:space="preserve">70 </w:t>
      </w:r>
      <w:r>
        <w:rPr>
          <w:rFonts w:ascii="Times New Roman" w:hAnsi="Times New Roman" w:cs="Times New Roman"/>
          <w:sz w:val="24"/>
          <w:szCs w:val="24"/>
        </w:rPr>
        <w:t>000 бр.</w:t>
      </w:r>
      <w:r w:rsidRPr="00A21AD3">
        <w:rPr>
          <w:rFonts w:ascii="Times New Roman" w:hAnsi="Times New Roman" w:cs="Times New Roman"/>
          <w:sz w:val="24"/>
          <w:szCs w:val="24"/>
        </w:rPr>
        <w:t xml:space="preserve"> </w:t>
      </w:r>
    </w:p>
    <w:p w14:paraId="0919D7F7" w14:textId="77777777" w:rsidR="00AA325D" w:rsidRPr="00A21AD3" w:rsidRDefault="00AA325D" w:rsidP="00AA325D">
      <w:pPr>
        <w:jc w:val="both"/>
        <w:rPr>
          <w:rFonts w:ascii="Times New Roman" w:hAnsi="Times New Roman" w:cs="Times New Roman"/>
          <w:sz w:val="24"/>
          <w:szCs w:val="24"/>
        </w:rPr>
      </w:pPr>
      <w:r w:rsidRPr="00E05F43">
        <w:rPr>
          <w:rFonts w:ascii="Times New Roman" w:hAnsi="Times New Roman" w:cs="Times New Roman"/>
          <w:sz w:val="24"/>
          <w:szCs w:val="24"/>
        </w:rPr>
        <w:t>2030 г. – до</w:t>
      </w:r>
      <w:r>
        <w:rPr>
          <w:rFonts w:ascii="Times New Roman" w:hAnsi="Times New Roman" w:cs="Times New Roman"/>
          <w:b/>
          <w:sz w:val="24"/>
          <w:szCs w:val="24"/>
        </w:rPr>
        <w:t xml:space="preserve"> </w:t>
      </w:r>
      <w:r w:rsidRPr="00A21AD3">
        <w:rPr>
          <w:rFonts w:ascii="Times New Roman" w:hAnsi="Times New Roman" w:cs="Times New Roman"/>
          <w:sz w:val="24"/>
          <w:szCs w:val="24"/>
        </w:rPr>
        <w:t>130 000 бр.</w:t>
      </w:r>
    </w:p>
    <w:p w14:paraId="3F7EC9F7" w14:textId="77777777" w:rsidR="00AA325D" w:rsidRPr="00AA325D" w:rsidRDefault="00AA325D" w:rsidP="00AA325D">
      <w:pPr>
        <w:jc w:val="both"/>
        <w:rPr>
          <w:rFonts w:ascii="Times New Roman" w:hAnsi="Times New Roman" w:cs="Times New Roman"/>
          <w:b/>
          <w:i/>
          <w:sz w:val="24"/>
          <w:szCs w:val="24"/>
        </w:rPr>
      </w:pPr>
      <w:r w:rsidRPr="00AA325D">
        <w:rPr>
          <w:rFonts w:ascii="Times New Roman" w:hAnsi="Times New Roman" w:cs="Times New Roman"/>
          <w:b/>
          <w:i/>
          <w:sz w:val="24"/>
          <w:szCs w:val="24"/>
        </w:rPr>
        <w:t>Мерки и стимули за насърчаване навлизането на електрически превозни средства</w:t>
      </w:r>
    </w:p>
    <w:p w14:paraId="7E16DB26" w14:textId="77777777" w:rsidR="00AA325D" w:rsidRPr="00AC503B" w:rsidRDefault="00AA325D" w:rsidP="00AA325D">
      <w:pPr>
        <w:jc w:val="both"/>
        <w:rPr>
          <w:rFonts w:ascii="Times New Roman" w:hAnsi="Times New Roman" w:cs="Times New Roman"/>
          <w:sz w:val="24"/>
          <w:szCs w:val="24"/>
        </w:rPr>
      </w:pPr>
      <w:r w:rsidRPr="00AC503B">
        <w:rPr>
          <w:rFonts w:ascii="Times New Roman" w:hAnsi="Times New Roman" w:cs="Times New Roman"/>
          <w:sz w:val="24"/>
          <w:szCs w:val="24"/>
        </w:rPr>
        <w:t xml:space="preserve">Мерките за насърчаване в различни страни са комбинация от директно стимулиране и индиректни ограничения за превозни средства с по-ниска енергийна ефективност и високи емисии на замърсители при използване. </w:t>
      </w:r>
    </w:p>
    <w:p w14:paraId="4DE23983" w14:textId="77777777" w:rsidR="00AA325D" w:rsidRPr="00AC503B" w:rsidRDefault="00AA325D" w:rsidP="00AA325D">
      <w:pPr>
        <w:jc w:val="both"/>
        <w:rPr>
          <w:rFonts w:ascii="Times New Roman" w:hAnsi="Times New Roman" w:cs="Times New Roman"/>
          <w:sz w:val="24"/>
          <w:szCs w:val="24"/>
        </w:rPr>
      </w:pPr>
      <w:r w:rsidRPr="00AC503B">
        <w:rPr>
          <w:rFonts w:ascii="Times New Roman" w:hAnsi="Times New Roman" w:cs="Times New Roman"/>
          <w:sz w:val="24"/>
          <w:szCs w:val="24"/>
        </w:rPr>
        <w:t xml:space="preserve">Докато конкретните мерки за директно стимулиране много зависят от икономическата конюнктура в отделните страни, изискванията за енергийна ефективност и рестриктивните норми за емисии се прилагат във всички страни. </w:t>
      </w:r>
    </w:p>
    <w:p w14:paraId="7AC54867" w14:textId="77777777" w:rsidR="00AA325D" w:rsidRDefault="00AA325D" w:rsidP="00AA325D">
      <w:pPr>
        <w:jc w:val="both"/>
        <w:rPr>
          <w:rFonts w:ascii="Times New Roman" w:hAnsi="Times New Roman" w:cs="Times New Roman"/>
          <w:sz w:val="24"/>
          <w:szCs w:val="24"/>
        </w:rPr>
      </w:pPr>
      <w:r w:rsidRPr="00AC503B">
        <w:rPr>
          <w:rFonts w:ascii="Times New Roman" w:hAnsi="Times New Roman" w:cs="Times New Roman"/>
          <w:sz w:val="24"/>
          <w:szCs w:val="24"/>
        </w:rPr>
        <w:t xml:space="preserve">Като общо наблюдение, стандартите за емисии и стимулите при покупка се прилагат на национално ниво, докато мерките стимулиращи ежедневното използване се резултат от политики на ниво местна власт. </w:t>
      </w:r>
    </w:p>
    <w:p w14:paraId="7D77943F" w14:textId="42539B56" w:rsidR="00AA325D" w:rsidRPr="007C3090" w:rsidRDefault="00AA325D" w:rsidP="00AA325D">
      <w:pPr>
        <w:tabs>
          <w:tab w:val="left" w:pos="0"/>
          <w:tab w:val="left" w:pos="993"/>
          <w:tab w:val="left" w:pos="1276"/>
        </w:tabs>
        <w:spacing w:before="120"/>
        <w:ind w:firstLine="720"/>
        <w:jc w:val="both"/>
        <w:rPr>
          <w:rFonts w:ascii="Times New Roman" w:hAnsi="Times New Roman" w:cs="Times New Roman"/>
          <w:sz w:val="24"/>
          <w:szCs w:val="24"/>
        </w:rPr>
      </w:pPr>
      <w:r w:rsidRPr="007C3090">
        <w:rPr>
          <w:rFonts w:ascii="Times New Roman" w:hAnsi="Times New Roman" w:cs="Times New Roman"/>
          <w:sz w:val="24"/>
          <w:szCs w:val="24"/>
        </w:rPr>
        <w:t>На този етап</w:t>
      </w:r>
      <w:r w:rsidR="00E454DB">
        <w:rPr>
          <w:rFonts w:ascii="Times New Roman" w:hAnsi="Times New Roman" w:cs="Times New Roman"/>
          <w:sz w:val="24"/>
          <w:szCs w:val="24"/>
        </w:rPr>
        <w:t>, някои от най-големите общини</w:t>
      </w:r>
      <w:r w:rsidRPr="007C3090">
        <w:rPr>
          <w:rFonts w:ascii="Times New Roman" w:hAnsi="Times New Roman" w:cs="Times New Roman"/>
          <w:sz w:val="24"/>
          <w:szCs w:val="24"/>
        </w:rPr>
        <w:t xml:space="preserve"> в България са предприе</w:t>
      </w:r>
      <w:r w:rsidR="00E5772C">
        <w:rPr>
          <w:rFonts w:ascii="Times New Roman" w:hAnsi="Times New Roman" w:cs="Times New Roman"/>
          <w:sz w:val="24"/>
          <w:szCs w:val="24"/>
        </w:rPr>
        <w:t>л</w:t>
      </w:r>
      <w:r w:rsidRPr="007C3090">
        <w:rPr>
          <w:rFonts w:ascii="Times New Roman" w:hAnsi="Times New Roman" w:cs="Times New Roman"/>
          <w:sz w:val="24"/>
          <w:szCs w:val="24"/>
        </w:rPr>
        <w:t>и следните мерки в подкрепа използването на електрическите превозни средства:</w:t>
      </w:r>
    </w:p>
    <w:p w14:paraId="6F7F2667" w14:textId="77777777" w:rsidR="00AA325D" w:rsidRPr="007C3090" w:rsidRDefault="00AA325D" w:rsidP="00AA325D">
      <w:pPr>
        <w:ind w:firstLine="720"/>
        <w:jc w:val="both"/>
        <w:rPr>
          <w:rFonts w:ascii="Times New Roman" w:hAnsi="Times New Roman" w:cs="Times New Roman"/>
          <w:sz w:val="24"/>
          <w:szCs w:val="24"/>
        </w:rPr>
      </w:pPr>
      <w:r w:rsidRPr="007C3090">
        <w:rPr>
          <w:rFonts w:ascii="Times New Roman" w:hAnsi="Times New Roman" w:cs="Times New Roman"/>
          <w:sz w:val="24"/>
          <w:szCs w:val="24"/>
        </w:rPr>
        <w:t>В Столична община, електромобилите и двуколесните пътни превозни средства (ППС) паркират безплатно, като за двуколесните пътни превозни средства е определено едно паркомясто на сто от общия брой на местата за паркиране в зоните за почасово платено паркиране</w:t>
      </w:r>
      <w:r w:rsidRPr="007C3090">
        <w:rPr>
          <w:rStyle w:val="FootnoteReference"/>
          <w:rFonts w:ascii="Times New Roman" w:hAnsi="Times New Roman" w:cs="Times New Roman"/>
          <w:sz w:val="24"/>
          <w:szCs w:val="24"/>
        </w:rPr>
        <w:footnoteReference w:id="17"/>
      </w:r>
      <w:r w:rsidRPr="007C3090">
        <w:rPr>
          <w:rFonts w:ascii="Times New Roman" w:hAnsi="Times New Roman" w:cs="Times New Roman"/>
          <w:sz w:val="24"/>
          <w:szCs w:val="24"/>
        </w:rPr>
        <w:t>. Подобни мерки са въведени и в общини като Пловдив, Добрич, Русе и др.</w:t>
      </w:r>
    </w:p>
    <w:p w14:paraId="7BF11E72" w14:textId="77777777" w:rsidR="00AA325D" w:rsidRPr="007C3090" w:rsidRDefault="00AA325D" w:rsidP="00AA325D">
      <w:pPr>
        <w:ind w:firstLine="720"/>
        <w:jc w:val="both"/>
        <w:rPr>
          <w:rFonts w:ascii="Times New Roman" w:hAnsi="Times New Roman" w:cs="Times New Roman"/>
          <w:sz w:val="24"/>
          <w:szCs w:val="24"/>
        </w:rPr>
      </w:pPr>
      <w:r w:rsidRPr="007C3090">
        <w:rPr>
          <w:rFonts w:ascii="Times New Roman" w:hAnsi="Times New Roman" w:cs="Times New Roman"/>
          <w:sz w:val="24"/>
          <w:szCs w:val="24"/>
        </w:rPr>
        <w:t xml:space="preserve">В община Пловдив за паркиране в „Синя зона” се заплаща цена, в размер определен с Наредба за определяне и администриране на местните такси и цени на услуги на територията на община Пловдив, с изключение на електрически превозни </w:t>
      </w:r>
      <w:r w:rsidRPr="007C3090">
        <w:rPr>
          <w:rFonts w:ascii="Times New Roman" w:hAnsi="Times New Roman" w:cs="Times New Roman"/>
          <w:sz w:val="24"/>
          <w:szCs w:val="24"/>
        </w:rPr>
        <w:lastRenderedPageBreak/>
        <w:t>средства (ЕПС), паркирали до зарядна колонка за ЕПС и намиращи се в режим на зареждане от същата</w:t>
      </w:r>
      <w:r w:rsidRPr="007C3090">
        <w:rPr>
          <w:rStyle w:val="FootnoteReference"/>
          <w:rFonts w:ascii="Times New Roman" w:hAnsi="Times New Roman" w:cs="Times New Roman"/>
          <w:sz w:val="24"/>
          <w:szCs w:val="24"/>
        </w:rPr>
        <w:footnoteReference w:id="18"/>
      </w:r>
      <w:r w:rsidRPr="007C3090">
        <w:rPr>
          <w:rFonts w:ascii="Times New Roman" w:hAnsi="Times New Roman" w:cs="Times New Roman"/>
          <w:sz w:val="24"/>
          <w:szCs w:val="24"/>
        </w:rPr>
        <w:t xml:space="preserve">. </w:t>
      </w:r>
    </w:p>
    <w:p w14:paraId="6C2A044E" w14:textId="77777777" w:rsidR="00AA325D" w:rsidRPr="007C3090" w:rsidRDefault="00AA325D" w:rsidP="00AA325D">
      <w:pPr>
        <w:ind w:firstLine="720"/>
        <w:jc w:val="both"/>
        <w:rPr>
          <w:rFonts w:ascii="Times New Roman" w:hAnsi="Times New Roman" w:cs="Times New Roman"/>
          <w:sz w:val="24"/>
          <w:szCs w:val="24"/>
        </w:rPr>
      </w:pPr>
      <w:r w:rsidRPr="007C3090">
        <w:rPr>
          <w:rFonts w:ascii="Times New Roman" w:hAnsi="Times New Roman" w:cs="Times New Roman"/>
          <w:sz w:val="24"/>
          <w:szCs w:val="24"/>
        </w:rPr>
        <w:t>Съгласно Наредба за организацията, безопасността на движението и дисциплината на водачите на превозни средства и пешеходците на територията на Община град Добрич, на улици, площади и паркинги – общинска собственост, където е въведен режим за платено паркиране „Синя зона”, право на безплатно паркиране, имат собствениците на електрически автомобили, снабдени с Карта за паркиране на електрически автомобили.</w:t>
      </w:r>
    </w:p>
    <w:p w14:paraId="22F41F25" w14:textId="77777777" w:rsidR="00AA325D" w:rsidRPr="007C3090" w:rsidRDefault="00AA325D" w:rsidP="00AA325D">
      <w:pPr>
        <w:ind w:firstLine="720"/>
        <w:jc w:val="both"/>
        <w:rPr>
          <w:rFonts w:ascii="Times New Roman" w:hAnsi="Times New Roman" w:cs="Times New Roman"/>
          <w:sz w:val="24"/>
          <w:szCs w:val="24"/>
        </w:rPr>
      </w:pPr>
      <w:r w:rsidRPr="007C3090">
        <w:rPr>
          <w:rFonts w:ascii="Times New Roman" w:hAnsi="Times New Roman" w:cs="Times New Roman"/>
          <w:sz w:val="24"/>
          <w:szCs w:val="24"/>
        </w:rPr>
        <w:t>Аналогична е мярката в община Русе съгласно Наредба № 18 за обществения ред при ползване на превозни средства на територията на община Русе.</w:t>
      </w:r>
    </w:p>
    <w:p w14:paraId="0A5B9D32" w14:textId="77777777" w:rsidR="00AA325D" w:rsidRPr="007C3090" w:rsidRDefault="00AA325D" w:rsidP="00AA325D">
      <w:pPr>
        <w:ind w:firstLine="720"/>
        <w:jc w:val="both"/>
        <w:rPr>
          <w:rFonts w:ascii="Times New Roman" w:hAnsi="Times New Roman" w:cs="Times New Roman"/>
          <w:sz w:val="24"/>
          <w:szCs w:val="24"/>
        </w:rPr>
      </w:pPr>
      <w:r w:rsidRPr="007C3090">
        <w:rPr>
          <w:rFonts w:ascii="Times New Roman" w:hAnsi="Times New Roman" w:cs="Times New Roman"/>
          <w:sz w:val="24"/>
          <w:szCs w:val="24"/>
        </w:rPr>
        <w:t>Добър пример за насърчаване развитието на устойчивата градска мобилност е реализацията на пилотен проект за използване на електрически автобус със суперкондензатори в обществения транспорт на гр. София.</w:t>
      </w:r>
    </w:p>
    <w:p w14:paraId="77AA36F7" w14:textId="77777777" w:rsidR="00AA325D" w:rsidRPr="00AC503B" w:rsidRDefault="00AA325D" w:rsidP="00AA325D">
      <w:pPr>
        <w:jc w:val="both"/>
        <w:rPr>
          <w:rFonts w:ascii="Times New Roman" w:hAnsi="Times New Roman" w:cs="Times New Roman"/>
          <w:sz w:val="24"/>
          <w:szCs w:val="24"/>
        </w:rPr>
      </w:pPr>
      <w:r w:rsidRPr="00AC503B">
        <w:rPr>
          <w:rFonts w:ascii="Times New Roman" w:hAnsi="Times New Roman" w:cs="Times New Roman"/>
          <w:sz w:val="24"/>
          <w:szCs w:val="24"/>
        </w:rPr>
        <w:t>Едни от предлаганите мерки с потенциално пр</w:t>
      </w:r>
      <w:r>
        <w:rPr>
          <w:rFonts w:ascii="Times New Roman" w:hAnsi="Times New Roman" w:cs="Times New Roman"/>
          <w:sz w:val="24"/>
          <w:szCs w:val="24"/>
        </w:rPr>
        <w:t>иложение в български условия са</w:t>
      </w:r>
      <w:r w:rsidRPr="00AC503B">
        <w:rPr>
          <w:rFonts w:ascii="Times New Roman" w:hAnsi="Times New Roman" w:cs="Times New Roman"/>
          <w:sz w:val="24"/>
          <w:szCs w:val="24"/>
        </w:rPr>
        <w:t>,</w:t>
      </w:r>
      <w:r>
        <w:rPr>
          <w:rFonts w:ascii="Times New Roman" w:hAnsi="Times New Roman" w:cs="Times New Roman"/>
          <w:sz w:val="24"/>
          <w:szCs w:val="24"/>
        </w:rPr>
        <w:t xml:space="preserve"> </w:t>
      </w:r>
      <w:r w:rsidRPr="00AC503B">
        <w:rPr>
          <w:rFonts w:ascii="Times New Roman" w:hAnsi="Times New Roman" w:cs="Times New Roman"/>
          <w:sz w:val="24"/>
          <w:szCs w:val="24"/>
        </w:rPr>
        <w:t>както следва</w:t>
      </w:r>
      <w:r>
        <w:rPr>
          <w:rStyle w:val="FootnoteReference"/>
          <w:rFonts w:ascii="Times New Roman" w:hAnsi="Times New Roman" w:cs="Times New Roman"/>
          <w:sz w:val="24"/>
          <w:szCs w:val="24"/>
        </w:rPr>
        <w:footnoteReference w:id="19"/>
      </w:r>
      <w:r w:rsidRPr="00AC503B">
        <w:rPr>
          <w:rFonts w:ascii="Times New Roman" w:hAnsi="Times New Roman" w:cs="Times New Roman"/>
          <w:sz w:val="24"/>
          <w:szCs w:val="24"/>
        </w:rPr>
        <w:t>:</w:t>
      </w:r>
    </w:p>
    <w:p w14:paraId="580B9D96"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Норми за разход на енергия при движение (приложими не само при първоначална регистрация, а и при последваща продажба/регистрация на превозни средства)</w:t>
      </w:r>
    </w:p>
    <w:p w14:paraId="50A96712"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Норми за емисии за пътни превозни средства (приложими не само при първоначална регистрация, а и при последваща продажба/регистрация на превозни средства)</w:t>
      </w:r>
    </w:p>
    <w:p w14:paraId="0DE406BE"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Въвеждане на зони за достъп (особено в централни градски части) само с енергоефективни и нискоемисионни превозни средства</w:t>
      </w:r>
    </w:p>
    <w:p w14:paraId="7FE35B65"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Прогресивно данъчно облагане, насърчаващо използването на енергоефективни и нискоемисионни превозни средства</w:t>
      </w:r>
    </w:p>
    <w:p w14:paraId="5036309F"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 xml:space="preserve">Директни субсидии при покупка на нови превозни средства с нулеви емисии в точката на използване (валидно за ограничен брой/срок, до достигането на минимална критична маса превозни средства) </w:t>
      </w:r>
    </w:p>
    <w:p w14:paraId="49F41236"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Данъчни кредити при покупка и използване на превозни средства с нулеви емисии в точката на използване (валидно за ограничен брой/срок, до достигането на минимална критична маса превозни средства)</w:t>
      </w:r>
    </w:p>
    <w:p w14:paraId="336B8247"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Достъп до автобусни ленти за превозни средства с нулеви емисии в точката на използване (валидно за ограничен брой/срок, до достигането на минимална критична маса превозни средства)</w:t>
      </w:r>
    </w:p>
    <w:p w14:paraId="3E719D68" w14:textId="77777777" w:rsidR="00AA325D" w:rsidRPr="006D09E6"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6D09E6">
        <w:rPr>
          <w:rFonts w:ascii="Times New Roman" w:hAnsi="Times New Roman" w:cs="Times New Roman"/>
          <w:sz w:val="24"/>
          <w:szCs w:val="24"/>
        </w:rPr>
        <w:t>Използване на електромобили за нуждите на публичната администрация и местните власти</w:t>
      </w:r>
    </w:p>
    <w:p w14:paraId="27B080CA" w14:textId="77777777" w:rsidR="00AA325D" w:rsidRPr="00AC503B" w:rsidRDefault="00AA325D" w:rsidP="00AA325D">
      <w:pPr>
        <w:pStyle w:val="ListParagraph"/>
        <w:numPr>
          <w:ilvl w:val="0"/>
          <w:numId w:val="28"/>
        </w:numPr>
        <w:spacing w:after="0" w:line="240" w:lineRule="auto"/>
        <w:jc w:val="both"/>
        <w:rPr>
          <w:rFonts w:ascii="Times New Roman" w:hAnsi="Times New Roman" w:cs="Times New Roman"/>
        </w:rPr>
      </w:pPr>
      <w:r w:rsidRPr="00AC503B">
        <w:rPr>
          <w:rFonts w:ascii="Times New Roman" w:hAnsi="Times New Roman" w:cs="Times New Roman"/>
        </w:rPr>
        <w:t xml:space="preserve">Стимулиране на навлизане на услуги за споделеното използване на превозни средства с нулеви емисии </w:t>
      </w:r>
    </w:p>
    <w:p w14:paraId="39498F56" w14:textId="77777777" w:rsidR="00AA325D" w:rsidRPr="00AC503B" w:rsidRDefault="00AA325D" w:rsidP="00AA325D">
      <w:pPr>
        <w:pStyle w:val="ListParagraph"/>
        <w:numPr>
          <w:ilvl w:val="0"/>
          <w:numId w:val="28"/>
        </w:numPr>
        <w:spacing w:after="0" w:line="240" w:lineRule="auto"/>
        <w:jc w:val="both"/>
        <w:rPr>
          <w:rFonts w:ascii="Times New Roman" w:hAnsi="Times New Roman" w:cs="Times New Roman"/>
        </w:rPr>
      </w:pPr>
      <w:r w:rsidRPr="00AC503B">
        <w:rPr>
          <w:rFonts w:ascii="Times New Roman" w:hAnsi="Times New Roman" w:cs="Times New Roman"/>
        </w:rPr>
        <w:t>Стимулиране преминаването на таксиметровите компании и публичните превозвачи към използване на превозни средства с нулеви емисии</w:t>
      </w:r>
      <w:r w:rsidR="00BE3414" w:rsidRPr="007C469F">
        <w:rPr>
          <w:rFonts w:ascii="Times New Roman" w:hAnsi="Times New Roman" w:cs="Times New Roman"/>
        </w:rPr>
        <w:t>.</w:t>
      </w:r>
    </w:p>
    <w:p w14:paraId="560CBACC" w14:textId="77777777" w:rsidR="00AA325D" w:rsidRPr="00AC503B" w:rsidRDefault="00AA325D" w:rsidP="00AA325D">
      <w:pPr>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Конкретното съдържание и обхват на мерките би следвало да  бъдат прецизирани след оценка на въздействието на всяка от тях и приоритизацията им с цел постигане на максимален резултат (измерен като подобряване на енергийната ефективност и намаляване на вредните емисии) с оптимално изразходване на публичен и частен ресурс </w:t>
      </w:r>
      <w:r w:rsidRPr="00AC503B">
        <w:rPr>
          <w:rFonts w:ascii="Times New Roman" w:hAnsi="Times New Roman" w:cs="Times New Roman"/>
          <w:sz w:val="24"/>
          <w:szCs w:val="24"/>
        </w:rPr>
        <w:lastRenderedPageBreak/>
        <w:t>след консултация със всички заинтересовани страни – публични институции, общини, браншови организации и асоциации.</w:t>
      </w:r>
    </w:p>
    <w:p w14:paraId="4166F4CF" w14:textId="77777777" w:rsidR="00AA325D" w:rsidRPr="00AC503B" w:rsidRDefault="00AA325D" w:rsidP="00AA325D">
      <w:pPr>
        <w:jc w:val="both"/>
        <w:rPr>
          <w:rFonts w:ascii="Times New Roman" w:hAnsi="Times New Roman" w:cs="Times New Roman"/>
          <w:b/>
          <w:sz w:val="24"/>
          <w:szCs w:val="24"/>
        </w:rPr>
      </w:pPr>
      <w:r>
        <w:rPr>
          <w:rFonts w:ascii="Times New Roman" w:hAnsi="Times New Roman" w:cs="Times New Roman"/>
          <w:b/>
          <w:sz w:val="24"/>
          <w:szCs w:val="24"/>
        </w:rPr>
        <w:t>10</w:t>
      </w:r>
      <w:r w:rsidR="003A665F">
        <w:rPr>
          <w:rFonts w:ascii="Times New Roman" w:hAnsi="Times New Roman" w:cs="Times New Roman"/>
          <w:b/>
          <w:sz w:val="24"/>
          <w:szCs w:val="24"/>
        </w:rPr>
        <w:t>.2 Прогнозни цели</w:t>
      </w:r>
      <w:r>
        <w:rPr>
          <w:rFonts w:ascii="Times New Roman" w:hAnsi="Times New Roman" w:cs="Times New Roman"/>
          <w:b/>
          <w:sz w:val="24"/>
          <w:szCs w:val="24"/>
        </w:rPr>
        <w:t xml:space="preserve"> и </w:t>
      </w:r>
      <w:r w:rsidR="003A665F">
        <w:rPr>
          <w:rFonts w:ascii="Times New Roman" w:hAnsi="Times New Roman" w:cs="Times New Roman"/>
          <w:b/>
          <w:sz w:val="24"/>
          <w:szCs w:val="24"/>
        </w:rPr>
        <w:t xml:space="preserve">потенциални </w:t>
      </w:r>
      <w:r>
        <w:rPr>
          <w:rFonts w:ascii="Times New Roman" w:hAnsi="Times New Roman" w:cs="Times New Roman"/>
          <w:b/>
          <w:sz w:val="24"/>
          <w:szCs w:val="24"/>
        </w:rPr>
        <w:t>мерки за</w:t>
      </w:r>
      <w:r w:rsidRPr="00AC503B">
        <w:rPr>
          <w:rFonts w:ascii="Times New Roman" w:hAnsi="Times New Roman" w:cs="Times New Roman"/>
          <w:b/>
          <w:sz w:val="24"/>
          <w:szCs w:val="24"/>
        </w:rPr>
        <w:t xml:space="preserve"> разгръщането на зарядна инфраструктура за електричес</w:t>
      </w:r>
      <w:r>
        <w:rPr>
          <w:rFonts w:ascii="Times New Roman" w:hAnsi="Times New Roman" w:cs="Times New Roman"/>
          <w:b/>
          <w:sz w:val="24"/>
          <w:szCs w:val="24"/>
        </w:rPr>
        <w:t xml:space="preserve">ки превозни средства </w:t>
      </w:r>
    </w:p>
    <w:p w14:paraId="25CA74BB" w14:textId="77777777" w:rsidR="00AA325D" w:rsidRDefault="00AA325D" w:rsidP="00AA325D">
      <w:pPr>
        <w:ind w:firstLine="708"/>
        <w:jc w:val="both"/>
        <w:rPr>
          <w:rFonts w:ascii="Times New Roman" w:hAnsi="Times New Roman" w:cs="Times New Roman"/>
          <w:sz w:val="24"/>
          <w:szCs w:val="24"/>
        </w:rPr>
      </w:pPr>
      <w:r w:rsidRPr="00AC503B">
        <w:rPr>
          <w:rFonts w:ascii="Times New Roman" w:hAnsi="Times New Roman" w:cs="Times New Roman"/>
          <w:sz w:val="24"/>
          <w:szCs w:val="24"/>
        </w:rPr>
        <w:t>Директива 2014/94/EC на Европейския парламент и на Съвета от 22 октомври 2014 година за разгръщането на инфраструктура за алтернативни горива дефинира осигуряването на достатъчна инфраструктура за зареждане на електромобили като задължение на държавите членки, в зависимост от очаквания брой електрически п</w:t>
      </w:r>
      <w:r>
        <w:rPr>
          <w:rFonts w:ascii="Times New Roman" w:hAnsi="Times New Roman" w:cs="Times New Roman"/>
          <w:sz w:val="24"/>
          <w:szCs w:val="24"/>
        </w:rPr>
        <w:t>ревозни средства към 2020 г</w:t>
      </w:r>
      <w:r w:rsidRPr="00AC503B">
        <w:rPr>
          <w:rFonts w:ascii="Times New Roman" w:hAnsi="Times New Roman" w:cs="Times New Roman"/>
          <w:sz w:val="24"/>
          <w:szCs w:val="24"/>
        </w:rPr>
        <w:t xml:space="preserve">. Директивата препоръчва осигуряването на една публично достъпна зарядна точка на всеки десет електромобила. </w:t>
      </w:r>
    </w:p>
    <w:p w14:paraId="62ECE101" w14:textId="77777777" w:rsidR="00AA325D" w:rsidRPr="00E05F43" w:rsidRDefault="00AA325D" w:rsidP="00AA325D">
      <w:pPr>
        <w:jc w:val="both"/>
        <w:rPr>
          <w:rFonts w:ascii="Times New Roman" w:hAnsi="Times New Roman" w:cs="Times New Roman"/>
          <w:sz w:val="24"/>
          <w:szCs w:val="24"/>
        </w:rPr>
      </w:pPr>
      <w:r w:rsidRPr="00E05F43">
        <w:rPr>
          <w:rFonts w:ascii="Times New Roman" w:hAnsi="Times New Roman" w:cs="Times New Roman"/>
          <w:sz w:val="24"/>
          <w:szCs w:val="24"/>
        </w:rPr>
        <w:t>Предвид критериите за оценка в Директива 2014/94/EC и формулата по-долу</w:t>
      </w:r>
      <w:r>
        <w:rPr>
          <w:rFonts w:ascii="Times New Roman" w:hAnsi="Times New Roman" w:cs="Times New Roman"/>
          <w:sz w:val="24"/>
          <w:szCs w:val="24"/>
        </w:rPr>
        <w:t>:</w:t>
      </w:r>
    </w:p>
    <w:p w14:paraId="3480D09C" w14:textId="77777777" w:rsidR="00AA325D" w:rsidRDefault="003117F0" w:rsidP="00AA325D">
      <m:oMathPara>
        <m:oMath>
          <m:f>
            <m:fPr>
              <m:ctrlPr>
                <w:rPr>
                  <w:rFonts w:ascii="Cambria Math" w:hAnsi="Cambria Math"/>
                  <w:i/>
                  <w:sz w:val="18"/>
                  <w:szCs w:val="18"/>
                </w:rPr>
              </m:ctrlPr>
            </m:fPr>
            <m:num>
              <m:eqArr>
                <m:eqArrPr>
                  <m:ctrlPr>
                    <w:rPr>
                      <w:rFonts w:ascii="Cambria Math" w:hAnsi="Cambria Math"/>
                      <w:sz w:val="18"/>
                      <w:szCs w:val="18"/>
                    </w:rPr>
                  </m:ctrlPr>
                </m:eqArrPr>
                <m:e>
                  <m:r>
                    <m:rPr>
                      <m:nor/>
                    </m:rPr>
                    <w:rPr>
                      <w:rFonts w:ascii="Cambria Math" w:hAnsi="Cambria Math"/>
                      <w:sz w:val="18"/>
                      <w:szCs w:val="18"/>
                    </w:rPr>
                    <m:t>Автомобилен парк</m:t>
                  </m:r>
                </m:e>
                <m:e>
                  <m:r>
                    <m:rPr>
                      <m:nor/>
                    </m:rPr>
                    <w:rPr>
                      <w:rFonts w:ascii="Cambria Math" w:hAnsi="Cambria Math"/>
                      <w:sz w:val="18"/>
                      <w:szCs w:val="18"/>
                    </w:rPr>
                    <m:t>(държава-членка)</m:t>
                  </m:r>
                </m:e>
              </m:eqArr>
            </m:num>
            <m:den>
              <m:r>
                <w:rPr>
                  <w:rFonts w:ascii="Cambria Math" w:hAnsi="Cambria Math"/>
                  <w:sz w:val="18"/>
                  <w:szCs w:val="18"/>
                </w:rPr>
                <m:t>Автомобилен парк</m:t>
              </m:r>
              <m:d>
                <m:dPr>
                  <m:ctrlPr>
                    <w:rPr>
                      <w:rFonts w:ascii="Cambria Math" w:hAnsi="Cambria Math"/>
                      <w:i/>
                      <w:sz w:val="18"/>
                      <w:szCs w:val="18"/>
                    </w:rPr>
                  </m:ctrlPr>
                </m:dPr>
                <m:e>
                  <m:r>
                    <w:rPr>
                      <w:rFonts w:ascii="Cambria Math" w:hAnsi="Cambria Math"/>
                      <w:sz w:val="18"/>
                      <w:szCs w:val="18"/>
                    </w:rPr>
                    <m:t>ЕС</m:t>
                  </m:r>
                </m:e>
              </m:d>
            </m:den>
          </m:f>
          <m:r>
            <w:rPr>
              <w:rFonts w:ascii="Cambria Math" w:hAnsi="Cambria Math"/>
              <w:sz w:val="18"/>
              <w:szCs w:val="18"/>
            </w:rPr>
            <m:t>*</m:t>
          </m:r>
          <m:f>
            <m:fPr>
              <m:ctrlPr>
                <w:rPr>
                  <w:rFonts w:ascii="Cambria Math" w:hAnsi="Cambria Math"/>
                  <w:i/>
                  <w:sz w:val="18"/>
                  <w:szCs w:val="18"/>
                </w:rPr>
              </m:ctrlPr>
            </m:fPr>
            <m:num>
              <m:eqArr>
                <m:eqArrPr>
                  <m:ctrlPr>
                    <w:rPr>
                      <w:rFonts w:ascii="Cambria Math" w:hAnsi="Cambria Math"/>
                      <w:sz w:val="18"/>
                      <w:szCs w:val="18"/>
                    </w:rPr>
                  </m:ctrlPr>
                </m:eqArrPr>
                <m:e>
                  <m:r>
                    <m:rPr>
                      <m:nor/>
                    </m:rPr>
                    <w:rPr>
                      <w:rFonts w:ascii="Cambria Math" w:hAnsi="Cambria Math"/>
                      <w:sz w:val="18"/>
                      <w:szCs w:val="18"/>
                    </w:rPr>
                    <m:t>Дял на градското население</m:t>
                  </m:r>
                </m:e>
                <m:e>
                  <m:d>
                    <m:dPr>
                      <m:ctrlPr>
                        <w:rPr>
                          <w:rFonts w:ascii="Cambria Math" w:hAnsi="Cambria Math"/>
                          <w:i/>
                          <w:sz w:val="18"/>
                          <w:szCs w:val="18"/>
                        </w:rPr>
                      </m:ctrlPr>
                    </m:dPr>
                    <m:e>
                      <m:r>
                        <m:rPr>
                          <m:nor/>
                        </m:rPr>
                        <w:rPr>
                          <w:rFonts w:ascii="Cambria Math" w:hAnsi="Cambria Math"/>
                          <w:sz w:val="18"/>
                          <w:szCs w:val="18"/>
                        </w:rPr>
                        <m:t>държава-членка</m:t>
                      </m:r>
                    </m:e>
                  </m:d>
                  <m:ctrlPr>
                    <w:rPr>
                      <w:rFonts w:ascii="Cambria Math" w:hAnsi="Cambria Math"/>
                      <w:i/>
                      <w:sz w:val="18"/>
                      <w:szCs w:val="18"/>
                    </w:rPr>
                  </m:ctrlPr>
                </m:e>
              </m:eqArr>
            </m:num>
            <m:den>
              <m:eqArr>
                <m:eqArrPr>
                  <m:ctrlPr>
                    <w:rPr>
                      <w:rFonts w:ascii="Cambria Math" w:hAnsi="Cambria Math"/>
                      <w:i/>
                      <w:sz w:val="18"/>
                      <w:szCs w:val="18"/>
                    </w:rPr>
                  </m:ctrlPr>
                </m:eqArrPr>
                <m:e>
                  <m:r>
                    <w:rPr>
                      <w:rFonts w:ascii="Cambria Math" w:hAnsi="Cambria Math"/>
                      <w:sz w:val="18"/>
                      <w:szCs w:val="18"/>
                    </w:rPr>
                    <m:t>Дял на градското</m:t>
                  </m:r>
                </m:e>
                <m:e>
                  <m:r>
                    <w:rPr>
                      <w:rFonts w:ascii="Cambria Math" w:hAnsi="Cambria Math"/>
                      <w:sz w:val="18"/>
                      <w:szCs w:val="18"/>
                    </w:rPr>
                    <m:t xml:space="preserve">население </m:t>
                  </m:r>
                  <m:d>
                    <m:dPr>
                      <m:ctrlPr>
                        <w:rPr>
                          <w:rFonts w:ascii="Cambria Math" w:hAnsi="Cambria Math"/>
                          <w:i/>
                          <w:sz w:val="18"/>
                          <w:szCs w:val="18"/>
                        </w:rPr>
                      </m:ctrlPr>
                    </m:dPr>
                    <m:e>
                      <m:r>
                        <w:rPr>
                          <w:rFonts w:ascii="Cambria Math" w:hAnsi="Cambria Math"/>
                          <w:sz w:val="18"/>
                          <w:szCs w:val="18"/>
                        </w:rPr>
                        <m:t>ЕС</m:t>
                      </m:r>
                    </m:e>
                  </m:d>
                </m:e>
              </m:eqArr>
            </m:den>
          </m:f>
          <m:r>
            <w:rPr>
              <w:rFonts w:ascii="Cambria Math" w:hAnsi="Cambria Math"/>
              <w:sz w:val="18"/>
              <w:szCs w:val="18"/>
            </w:rPr>
            <m:t>*</m:t>
          </m:r>
          <m:eqArr>
            <m:eqArrPr>
              <m:ctrlPr>
                <w:rPr>
                  <w:rFonts w:ascii="Cambria Math" w:hAnsi="Cambria Math"/>
                  <w:i/>
                  <w:sz w:val="18"/>
                  <w:szCs w:val="18"/>
                </w:rPr>
              </m:ctrlPr>
            </m:eqArrPr>
            <m:e>
              <m:r>
                <w:rPr>
                  <w:rFonts w:ascii="Cambria Math" w:hAnsi="Cambria Math"/>
                  <w:sz w:val="18"/>
                  <w:szCs w:val="18"/>
                </w:rPr>
                <m:t>брой на</m:t>
              </m:r>
            </m:e>
            <m:e>
              <m:r>
                <w:rPr>
                  <w:rFonts w:ascii="Cambria Math" w:hAnsi="Cambria Math"/>
                  <w:sz w:val="18"/>
                  <w:szCs w:val="18"/>
                </w:rPr>
                <m:t>ел.  автомобили</m:t>
              </m:r>
            </m:e>
          </m:eqArr>
          <m:r>
            <w:rPr>
              <w:rFonts w:ascii="Cambria Math" w:hAnsi="Cambria Math"/>
              <w:sz w:val="18"/>
              <w:szCs w:val="18"/>
            </w:rPr>
            <m:t>*2=</m:t>
          </m:r>
          <m:eqArr>
            <m:eqArrPr>
              <m:ctrlPr>
                <w:rPr>
                  <w:rFonts w:ascii="Cambria Math" w:hAnsi="Cambria Math"/>
                  <w:sz w:val="18"/>
                  <w:szCs w:val="18"/>
                </w:rPr>
              </m:ctrlPr>
            </m:eqArrPr>
            <m:e>
              <m:r>
                <m:rPr>
                  <m:nor/>
                </m:rPr>
                <w:rPr>
                  <w:rFonts w:ascii="Cambria Math" w:hAnsi="Cambria Math"/>
                  <w:sz w:val="18"/>
                  <w:szCs w:val="18"/>
                </w:rPr>
                <m:t>Брой на станциите за</m:t>
              </m:r>
            </m:e>
            <m:e>
              <m:r>
                <m:rPr>
                  <m:nor/>
                </m:rPr>
                <w:rPr>
                  <w:rFonts w:ascii="Cambria Math" w:hAnsi="Cambria Math"/>
                  <w:sz w:val="18"/>
                  <w:szCs w:val="18"/>
                </w:rPr>
                <m:t>зареждане в държава-членка</m:t>
              </m:r>
            </m:e>
          </m:eqArr>
        </m:oMath>
      </m:oMathPara>
    </w:p>
    <w:p w14:paraId="4CCFC411" w14:textId="77777777" w:rsidR="00AA325D" w:rsidRDefault="00AA325D" w:rsidP="00AA325D"/>
    <w:p w14:paraId="59A1A062" w14:textId="77777777" w:rsidR="00AA325D" w:rsidRPr="00E05F43" w:rsidRDefault="00AA325D" w:rsidP="00AA325D">
      <w:pPr>
        <w:rPr>
          <w:rFonts w:ascii="Times New Roman" w:hAnsi="Times New Roman" w:cs="Times New Roman"/>
          <w:sz w:val="24"/>
          <w:szCs w:val="24"/>
        </w:rPr>
      </w:pPr>
      <w:r w:rsidRPr="00E05F43">
        <w:rPr>
          <w:rFonts w:ascii="Times New Roman" w:hAnsi="Times New Roman" w:cs="Times New Roman"/>
          <w:sz w:val="24"/>
          <w:szCs w:val="24"/>
        </w:rPr>
        <w:t>са определени и съответните прогнозни цели за изграждането на зарядни станции, както следва:</w:t>
      </w:r>
    </w:p>
    <w:p w14:paraId="2892B222" w14:textId="77777777" w:rsidR="00AA325D" w:rsidRPr="00E05F43" w:rsidRDefault="00AA325D" w:rsidP="00AA325D">
      <w:pPr>
        <w:tabs>
          <w:tab w:val="left" w:pos="426"/>
        </w:tabs>
        <w:rPr>
          <w:rFonts w:ascii="Times New Roman" w:hAnsi="Times New Roman" w:cs="Times New Roman"/>
          <w:sz w:val="24"/>
          <w:szCs w:val="24"/>
        </w:rPr>
      </w:pPr>
      <w:r w:rsidRPr="00E05F43">
        <w:rPr>
          <w:rFonts w:ascii="Times New Roman" w:hAnsi="Times New Roman" w:cs="Times New Roman"/>
          <w:sz w:val="24"/>
          <w:szCs w:val="24"/>
        </w:rPr>
        <w:t xml:space="preserve"> -</w:t>
      </w:r>
      <w:r w:rsidRPr="00E05F43">
        <w:rPr>
          <w:rFonts w:ascii="Times New Roman" w:hAnsi="Times New Roman" w:cs="Times New Roman"/>
          <w:sz w:val="24"/>
          <w:szCs w:val="24"/>
        </w:rPr>
        <w:tab/>
        <w:t xml:space="preserve">Зарядни колонки в точки „Публичен достъп“ </w:t>
      </w:r>
    </w:p>
    <w:p w14:paraId="1EC896B9" w14:textId="77777777" w:rsidR="00AA325D" w:rsidRPr="00E05F43" w:rsidRDefault="00AA325D" w:rsidP="00AA325D">
      <w:pPr>
        <w:tabs>
          <w:tab w:val="left" w:pos="426"/>
        </w:tabs>
        <w:rPr>
          <w:rFonts w:ascii="Times New Roman" w:hAnsi="Times New Roman" w:cs="Times New Roman"/>
          <w:b/>
          <w:sz w:val="24"/>
          <w:szCs w:val="24"/>
        </w:rPr>
      </w:pPr>
      <w:r w:rsidRPr="00E05F43">
        <w:rPr>
          <w:rFonts w:ascii="Times New Roman" w:hAnsi="Times New Roman" w:cs="Times New Roman"/>
          <w:b/>
          <w:sz w:val="24"/>
          <w:szCs w:val="24"/>
        </w:rPr>
        <w:t>до</w:t>
      </w:r>
      <w:r w:rsidRPr="00E05F43">
        <w:rPr>
          <w:rFonts w:ascii="Times New Roman" w:hAnsi="Times New Roman" w:cs="Times New Roman"/>
          <w:sz w:val="24"/>
          <w:szCs w:val="24"/>
        </w:rPr>
        <w:t xml:space="preserve"> </w:t>
      </w:r>
      <w:r w:rsidRPr="00E05F43">
        <w:rPr>
          <w:rFonts w:ascii="Times New Roman" w:hAnsi="Times New Roman" w:cs="Times New Roman"/>
          <w:b/>
          <w:sz w:val="24"/>
          <w:szCs w:val="24"/>
        </w:rPr>
        <w:t>2020</w:t>
      </w:r>
      <w:r>
        <w:rPr>
          <w:rFonts w:ascii="Times New Roman" w:hAnsi="Times New Roman" w:cs="Times New Roman"/>
          <w:b/>
          <w:sz w:val="24"/>
          <w:szCs w:val="24"/>
        </w:rPr>
        <w:t xml:space="preserve"> </w:t>
      </w:r>
      <w:r w:rsidRPr="00E05F43">
        <w:rPr>
          <w:rFonts w:ascii="Times New Roman" w:hAnsi="Times New Roman" w:cs="Times New Roman"/>
          <w:b/>
          <w:sz w:val="24"/>
          <w:szCs w:val="24"/>
        </w:rPr>
        <w:t xml:space="preserve">г. – 2 500 бр. </w:t>
      </w:r>
    </w:p>
    <w:p w14:paraId="104AFEEB" w14:textId="77777777" w:rsidR="00AA325D" w:rsidRPr="00E05F43" w:rsidRDefault="00AA325D" w:rsidP="00AA325D">
      <w:pPr>
        <w:tabs>
          <w:tab w:val="left" w:pos="426"/>
        </w:tabs>
        <w:rPr>
          <w:rFonts w:ascii="Times New Roman" w:hAnsi="Times New Roman" w:cs="Times New Roman"/>
          <w:b/>
          <w:sz w:val="24"/>
          <w:szCs w:val="24"/>
        </w:rPr>
      </w:pPr>
      <w:r w:rsidRPr="00E05F43">
        <w:rPr>
          <w:rFonts w:ascii="Times New Roman" w:hAnsi="Times New Roman" w:cs="Times New Roman"/>
          <w:b/>
          <w:sz w:val="24"/>
          <w:szCs w:val="24"/>
        </w:rPr>
        <w:t>до 2025</w:t>
      </w:r>
      <w:r>
        <w:rPr>
          <w:rFonts w:ascii="Times New Roman" w:hAnsi="Times New Roman" w:cs="Times New Roman"/>
          <w:b/>
          <w:sz w:val="24"/>
          <w:szCs w:val="24"/>
        </w:rPr>
        <w:t xml:space="preserve"> </w:t>
      </w:r>
      <w:r w:rsidRPr="00E05F43">
        <w:rPr>
          <w:rFonts w:ascii="Times New Roman" w:hAnsi="Times New Roman" w:cs="Times New Roman"/>
          <w:b/>
          <w:sz w:val="24"/>
          <w:szCs w:val="24"/>
        </w:rPr>
        <w:t xml:space="preserve">г. – 6 000 бр. </w:t>
      </w:r>
    </w:p>
    <w:p w14:paraId="28222A54" w14:textId="77777777" w:rsidR="00AA325D" w:rsidRPr="00E05F43" w:rsidRDefault="00AA325D" w:rsidP="00AA325D">
      <w:pPr>
        <w:tabs>
          <w:tab w:val="left" w:pos="426"/>
        </w:tabs>
        <w:rPr>
          <w:rFonts w:ascii="Times New Roman" w:hAnsi="Times New Roman" w:cs="Times New Roman"/>
          <w:sz w:val="24"/>
          <w:szCs w:val="24"/>
        </w:rPr>
      </w:pPr>
      <w:r w:rsidRPr="00E05F43">
        <w:rPr>
          <w:rFonts w:ascii="Times New Roman" w:hAnsi="Times New Roman" w:cs="Times New Roman"/>
          <w:b/>
          <w:sz w:val="24"/>
          <w:szCs w:val="24"/>
        </w:rPr>
        <w:t>до 2030</w:t>
      </w:r>
      <w:r>
        <w:rPr>
          <w:rFonts w:ascii="Times New Roman" w:hAnsi="Times New Roman" w:cs="Times New Roman"/>
          <w:b/>
          <w:sz w:val="24"/>
          <w:szCs w:val="24"/>
        </w:rPr>
        <w:t xml:space="preserve"> </w:t>
      </w:r>
      <w:r w:rsidRPr="00E05F43">
        <w:rPr>
          <w:rFonts w:ascii="Times New Roman" w:hAnsi="Times New Roman" w:cs="Times New Roman"/>
          <w:b/>
          <w:sz w:val="24"/>
          <w:szCs w:val="24"/>
        </w:rPr>
        <w:t>г. – 9 000 бр.</w:t>
      </w:r>
    </w:p>
    <w:p w14:paraId="41BEB1C1" w14:textId="77777777" w:rsidR="00AA325D" w:rsidRDefault="00AA325D" w:rsidP="00E66958">
      <w:pPr>
        <w:spacing w:after="0" w:line="240" w:lineRule="auto"/>
        <w:jc w:val="both"/>
        <w:rPr>
          <w:rFonts w:ascii="Times New Roman" w:hAnsi="Times New Roman" w:cs="Times New Roman"/>
          <w:i/>
          <w:sz w:val="24"/>
          <w:szCs w:val="24"/>
        </w:rPr>
      </w:pPr>
      <w:r w:rsidRPr="00E05F43">
        <w:rPr>
          <w:rFonts w:ascii="Times New Roman" w:hAnsi="Times New Roman" w:cs="Times New Roman"/>
          <w:i/>
          <w:sz w:val="24"/>
          <w:szCs w:val="24"/>
        </w:rPr>
        <w:t xml:space="preserve">За ориентир подходящият среден брой зарядни точки следва да съответства на минимум една зарядна точка на всеки 10 автомобила, като също се отчита и видът автомобили, технологията за зареждане и наличните частни зарядни точки. Местата са станциите на обществения транспорт, пристанищни пътнически терминали, летища или железопътни гари и др. </w:t>
      </w:r>
    </w:p>
    <w:p w14:paraId="4BB61FC4" w14:textId="77777777" w:rsidR="00E66958" w:rsidRPr="00E05F43" w:rsidRDefault="00E66958" w:rsidP="00E66958">
      <w:pPr>
        <w:spacing w:after="0" w:line="240" w:lineRule="auto"/>
        <w:jc w:val="both"/>
        <w:rPr>
          <w:rFonts w:ascii="Times New Roman" w:hAnsi="Times New Roman" w:cs="Times New Roman"/>
          <w:i/>
          <w:sz w:val="24"/>
          <w:szCs w:val="24"/>
        </w:rPr>
      </w:pPr>
    </w:p>
    <w:p w14:paraId="24ED7633" w14:textId="77777777" w:rsidR="00AA325D" w:rsidRDefault="00AA325D" w:rsidP="00AA325D">
      <w:pPr>
        <w:tabs>
          <w:tab w:val="left" w:pos="426"/>
        </w:tabs>
        <w:rPr>
          <w:rFonts w:ascii="Times New Roman" w:hAnsi="Times New Roman" w:cs="Times New Roman"/>
          <w:sz w:val="24"/>
          <w:szCs w:val="24"/>
        </w:rPr>
      </w:pPr>
      <w:r w:rsidRPr="002E4FE0">
        <w:t>-</w:t>
      </w:r>
      <w:r w:rsidRPr="002E4FE0">
        <w:tab/>
      </w:r>
      <w:r w:rsidRPr="00E05F43">
        <w:rPr>
          <w:rFonts w:ascii="Times New Roman" w:hAnsi="Times New Roman" w:cs="Times New Roman"/>
          <w:sz w:val="24"/>
          <w:szCs w:val="24"/>
        </w:rPr>
        <w:t xml:space="preserve">Зарядни колонки в точки „Непубличен  достъп“ </w:t>
      </w:r>
    </w:p>
    <w:p w14:paraId="44DC4DC1" w14:textId="77777777" w:rsidR="00AA325D" w:rsidRDefault="00AA325D" w:rsidP="00AA325D">
      <w:pPr>
        <w:tabs>
          <w:tab w:val="left" w:pos="426"/>
        </w:tabs>
        <w:rPr>
          <w:rFonts w:ascii="Times New Roman" w:hAnsi="Times New Roman" w:cs="Times New Roman"/>
          <w:b/>
          <w:sz w:val="24"/>
          <w:szCs w:val="24"/>
        </w:rPr>
      </w:pPr>
      <w:r w:rsidRPr="00E05F43">
        <w:rPr>
          <w:rFonts w:ascii="Times New Roman" w:hAnsi="Times New Roman" w:cs="Times New Roman"/>
          <w:b/>
          <w:sz w:val="24"/>
          <w:szCs w:val="24"/>
        </w:rPr>
        <w:t>до 2020</w:t>
      </w:r>
      <w:r>
        <w:rPr>
          <w:rFonts w:ascii="Times New Roman" w:hAnsi="Times New Roman" w:cs="Times New Roman"/>
          <w:b/>
          <w:sz w:val="24"/>
          <w:szCs w:val="24"/>
        </w:rPr>
        <w:t xml:space="preserve"> </w:t>
      </w:r>
      <w:r w:rsidRPr="00E05F43">
        <w:rPr>
          <w:rFonts w:ascii="Times New Roman" w:hAnsi="Times New Roman" w:cs="Times New Roman"/>
          <w:b/>
          <w:sz w:val="24"/>
          <w:szCs w:val="24"/>
        </w:rPr>
        <w:t xml:space="preserve">г. – 2 000 бр. </w:t>
      </w:r>
    </w:p>
    <w:p w14:paraId="529FCD0A" w14:textId="77777777" w:rsidR="00AA325D" w:rsidRDefault="00AA325D" w:rsidP="00AA325D">
      <w:pPr>
        <w:tabs>
          <w:tab w:val="left" w:pos="426"/>
        </w:tabs>
        <w:rPr>
          <w:rFonts w:ascii="Times New Roman" w:hAnsi="Times New Roman" w:cs="Times New Roman"/>
          <w:b/>
          <w:sz w:val="24"/>
          <w:szCs w:val="24"/>
        </w:rPr>
      </w:pPr>
      <w:r w:rsidRPr="00E05F43">
        <w:rPr>
          <w:rFonts w:ascii="Times New Roman" w:hAnsi="Times New Roman" w:cs="Times New Roman"/>
          <w:b/>
          <w:sz w:val="24"/>
          <w:szCs w:val="24"/>
        </w:rPr>
        <w:t>до 2025</w:t>
      </w:r>
      <w:r>
        <w:rPr>
          <w:rFonts w:ascii="Times New Roman" w:hAnsi="Times New Roman" w:cs="Times New Roman"/>
          <w:b/>
          <w:sz w:val="24"/>
          <w:szCs w:val="24"/>
        </w:rPr>
        <w:t xml:space="preserve"> </w:t>
      </w:r>
      <w:r w:rsidRPr="00E05F43">
        <w:rPr>
          <w:rFonts w:ascii="Times New Roman" w:hAnsi="Times New Roman" w:cs="Times New Roman"/>
          <w:b/>
          <w:sz w:val="24"/>
          <w:szCs w:val="24"/>
        </w:rPr>
        <w:t xml:space="preserve">г. – 6 000 бр. </w:t>
      </w:r>
    </w:p>
    <w:p w14:paraId="5789D000" w14:textId="77777777" w:rsidR="00AA325D" w:rsidRPr="00E05F43" w:rsidRDefault="00AA325D" w:rsidP="00AA325D">
      <w:pPr>
        <w:tabs>
          <w:tab w:val="left" w:pos="426"/>
        </w:tabs>
        <w:rPr>
          <w:rFonts w:ascii="Times New Roman" w:hAnsi="Times New Roman" w:cs="Times New Roman"/>
          <w:sz w:val="24"/>
          <w:szCs w:val="24"/>
        </w:rPr>
      </w:pPr>
      <w:r w:rsidRPr="00E05F43">
        <w:rPr>
          <w:rFonts w:ascii="Times New Roman" w:hAnsi="Times New Roman" w:cs="Times New Roman"/>
          <w:b/>
          <w:sz w:val="24"/>
          <w:szCs w:val="24"/>
        </w:rPr>
        <w:t>до 2030</w:t>
      </w:r>
      <w:r>
        <w:rPr>
          <w:rFonts w:ascii="Times New Roman" w:hAnsi="Times New Roman" w:cs="Times New Roman"/>
          <w:b/>
          <w:sz w:val="24"/>
          <w:szCs w:val="24"/>
        </w:rPr>
        <w:t xml:space="preserve"> </w:t>
      </w:r>
      <w:r w:rsidRPr="00E05F43">
        <w:rPr>
          <w:rFonts w:ascii="Times New Roman" w:hAnsi="Times New Roman" w:cs="Times New Roman"/>
          <w:b/>
          <w:sz w:val="24"/>
          <w:szCs w:val="24"/>
        </w:rPr>
        <w:t>г. – 10 000 бр.</w:t>
      </w:r>
    </w:p>
    <w:p w14:paraId="5CFD61E5" w14:textId="77777777" w:rsidR="00AA325D" w:rsidRDefault="00AA325D" w:rsidP="00E66958">
      <w:pPr>
        <w:spacing w:after="0" w:line="240" w:lineRule="auto"/>
        <w:jc w:val="both"/>
        <w:rPr>
          <w:rFonts w:ascii="Times New Roman" w:hAnsi="Times New Roman" w:cs="Times New Roman"/>
          <w:i/>
          <w:sz w:val="24"/>
          <w:szCs w:val="24"/>
        </w:rPr>
      </w:pPr>
      <w:r w:rsidRPr="00E05F43">
        <w:rPr>
          <w:rFonts w:ascii="Times New Roman" w:hAnsi="Times New Roman" w:cs="Times New Roman"/>
          <w:i/>
          <w:sz w:val="24"/>
          <w:szCs w:val="24"/>
        </w:rPr>
        <w:t>Частните собственици на електрически превозни средства са зависими в голяма степен от достъпа до зарядни точки в колективни паркинги, като например в жилищни блокове, офис сгради, търговски обекти и др.</w:t>
      </w:r>
    </w:p>
    <w:p w14:paraId="7FA17C7B" w14:textId="77777777" w:rsidR="00723AAA" w:rsidRPr="00E05F43" w:rsidRDefault="00723AAA" w:rsidP="00E66958">
      <w:pPr>
        <w:spacing w:after="0" w:line="240" w:lineRule="auto"/>
        <w:jc w:val="both"/>
        <w:rPr>
          <w:rFonts w:ascii="Times New Roman" w:hAnsi="Times New Roman" w:cs="Times New Roman"/>
          <w:i/>
          <w:sz w:val="24"/>
          <w:szCs w:val="24"/>
        </w:rPr>
      </w:pPr>
    </w:p>
    <w:p w14:paraId="71318945" w14:textId="35356E34"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За насърчаване навлизането на електрически превозни средства </w:t>
      </w:r>
      <w:r w:rsidR="00E5772C">
        <w:rPr>
          <w:rFonts w:ascii="Times New Roman" w:hAnsi="Times New Roman" w:cs="Times New Roman"/>
          <w:sz w:val="24"/>
          <w:szCs w:val="24"/>
        </w:rPr>
        <w:t>централната</w:t>
      </w:r>
      <w:r w:rsidR="00E5772C" w:rsidRPr="00AC503B">
        <w:rPr>
          <w:rFonts w:ascii="Times New Roman" w:hAnsi="Times New Roman" w:cs="Times New Roman"/>
          <w:sz w:val="24"/>
          <w:szCs w:val="24"/>
        </w:rPr>
        <w:t xml:space="preserve"> </w:t>
      </w:r>
      <w:r w:rsidRPr="00AC503B">
        <w:rPr>
          <w:rFonts w:ascii="Times New Roman" w:hAnsi="Times New Roman" w:cs="Times New Roman"/>
          <w:sz w:val="24"/>
          <w:szCs w:val="24"/>
        </w:rPr>
        <w:t xml:space="preserve">и местните власти </w:t>
      </w:r>
      <w:r w:rsidR="00941B5E">
        <w:rPr>
          <w:rFonts w:ascii="Times New Roman" w:hAnsi="Times New Roman" w:cs="Times New Roman"/>
          <w:sz w:val="24"/>
          <w:szCs w:val="24"/>
        </w:rPr>
        <w:t>ще</w:t>
      </w:r>
      <w:r w:rsidRPr="00AC503B">
        <w:rPr>
          <w:rFonts w:ascii="Times New Roman" w:hAnsi="Times New Roman" w:cs="Times New Roman"/>
          <w:sz w:val="24"/>
          <w:szCs w:val="24"/>
        </w:rPr>
        <w:t xml:space="preserve"> насърчават изграждането на необходимата за използването им зарядна инфраструктура. Това може да стане с различни инструменти, в зависимост от типа и капацитета на отделните точки на зареждане.</w:t>
      </w:r>
    </w:p>
    <w:p w14:paraId="146C0F62" w14:textId="77777777" w:rsidR="00AA325D" w:rsidRDefault="00AA325D" w:rsidP="006D09E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Pr="00AC503B">
        <w:rPr>
          <w:rFonts w:ascii="Times New Roman" w:hAnsi="Times New Roman" w:cs="Times New Roman"/>
          <w:sz w:val="24"/>
          <w:szCs w:val="24"/>
        </w:rPr>
        <w:t xml:space="preserve">бщата тенденция е, че </w:t>
      </w:r>
      <w:r>
        <w:rPr>
          <w:rFonts w:ascii="Times New Roman" w:hAnsi="Times New Roman" w:cs="Times New Roman"/>
          <w:sz w:val="24"/>
          <w:szCs w:val="24"/>
        </w:rPr>
        <w:t xml:space="preserve">в редица страни се използват </w:t>
      </w:r>
      <w:r w:rsidRPr="00AC503B">
        <w:rPr>
          <w:rFonts w:ascii="Times New Roman" w:hAnsi="Times New Roman" w:cs="Times New Roman"/>
          <w:sz w:val="24"/>
          <w:szCs w:val="24"/>
        </w:rPr>
        <w:t xml:space="preserve">мерки на насърчаване, чрез които се подпомага инсталирането на зарядна инфраструктура, с което се адресира един от главните проблеми пред разпространението на електромобилите: ограничените възможности за зареждане със скорост, необходима за ежедневно безпроблемно използване. </w:t>
      </w:r>
    </w:p>
    <w:p w14:paraId="1096EB0F" w14:textId="77777777" w:rsidR="00AA325D" w:rsidRDefault="00AA325D" w:rsidP="006D09E6">
      <w:pPr>
        <w:spacing w:after="120" w:line="240" w:lineRule="auto"/>
        <w:ind w:firstLine="709"/>
        <w:jc w:val="both"/>
        <w:rPr>
          <w:rFonts w:ascii="Times New Roman" w:hAnsi="Times New Roman" w:cs="Times New Roman"/>
          <w:sz w:val="24"/>
          <w:szCs w:val="24"/>
        </w:rPr>
      </w:pPr>
      <w:r w:rsidRPr="00AC503B">
        <w:rPr>
          <w:rFonts w:ascii="Times New Roman" w:hAnsi="Times New Roman" w:cs="Times New Roman"/>
          <w:sz w:val="24"/>
          <w:szCs w:val="24"/>
        </w:rPr>
        <w:t xml:space="preserve">Докато при градските електромобили от първо поколение капацитетът на акумулаторите бе в границите на 16-24 kWh и, дори и при напълно изтощен акумулатор нощното зареждане от домашен контакт бе достатъчно, с нарастване на капацитета на акумулаторите към масови капацитети в рамките на 40-60 kWh и инсталирани бордови зарядни адаптори с капацитет 7-22 kWh се появява нарастваща необходимост от специализирана инфраструктура. </w:t>
      </w:r>
    </w:p>
    <w:p w14:paraId="08C46ABB" w14:textId="77777777" w:rsidR="00AA325D" w:rsidRDefault="00AA325D" w:rsidP="006D09E6">
      <w:pPr>
        <w:spacing w:after="120" w:line="240" w:lineRule="auto"/>
        <w:ind w:firstLine="709"/>
        <w:jc w:val="both"/>
        <w:rPr>
          <w:rFonts w:ascii="Times New Roman" w:hAnsi="Times New Roman" w:cs="Times New Roman"/>
          <w:sz w:val="24"/>
          <w:szCs w:val="24"/>
        </w:rPr>
      </w:pPr>
      <w:r w:rsidRPr="00AC503B">
        <w:rPr>
          <w:rFonts w:ascii="Times New Roman" w:hAnsi="Times New Roman" w:cs="Times New Roman"/>
          <w:sz w:val="24"/>
          <w:szCs w:val="24"/>
        </w:rPr>
        <w:t xml:space="preserve">Ползата от тези нарастващи капацитети, от друга страна, е, че дори и “градския” клас електромобили получават пробег с едно зареждане от порядъка на 250-400 км и стават пълнофункционални предложения за универсално използване. </w:t>
      </w:r>
    </w:p>
    <w:p w14:paraId="723F37F6" w14:textId="77777777" w:rsidR="00AA325D" w:rsidRPr="00AC503B" w:rsidRDefault="00AA325D" w:rsidP="006D09E6">
      <w:pPr>
        <w:ind w:firstLine="708"/>
        <w:jc w:val="both"/>
        <w:rPr>
          <w:rFonts w:ascii="Times New Roman" w:hAnsi="Times New Roman" w:cs="Times New Roman"/>
          <w:sz w:val="24"/>
          <w:szCs w:val="24"/>
        </w:rPr>
      </w:pPr>
      <w:r w:rsidRPr="00AC503B">
        <w:rPr>
          <w:rFonts w:ascii="Times New Roman" w:hAnsi="Times New Roman" w:cs="Times New Roman"/>
          <w:sz w:val="24"/>
          <w:szCs w:val="24"/>
        </w:rPr>
        <w:t>Същевременно, зареждането им може да бъде реализирано с евтини зарядни станции с размер на стандартно електротабло, които могат да бъдат монтирани на практика навсякъде, където електроразпределителната мрежа разполага с достатъчен капацитет. За сравнение, при цена на бърза правотокова зарядна станция с капацитет от 50 kW от порядъка на 25000 евро, зарядна станция с капацитет 22 kW променлив ток може да има цена под 3000 лв. без да се включват инсталационните разходи и таксите за присъединяване</w:t>
      </w:r>
      <w:r w:rsidRPr="00AC503B">
        <w:rPr>
          <w:rStyle w:val="FootnoteReference"/>
          <w:rFonts w:ascii="Times New Roman" w:hAnsi="Times New Roman" w:cs="Times New Roman"/>
          <w:sz w:val="24"/>
          <w:szCs w:val="24"/>
        </w:rPr>
        <w:footnoteReference w:id="20"/>
      </w:r>
      <w:r w:rsidRPr="00AC503B">
        <w:rPr>
          <w:rFonts w:ascii="Times New Roman" w:hAnsi="Times New Roman" w:cs="Times New Roman"/>
          <w:sz w:val="24"/>
          <w:szCs w:val="24"/>
        </w:rPr>
        <w:t xml:space="preserve">.  </w:t>
      </w:r>
    </w:p>
    <w:p w14:paraId="4806B058" w14:textId="505533E8" w:rsidR="00AA325D" w:rsidRPr="006D09E6" w:rsidRDefault="00AA325D" w:rsidP="006D09E6">
      <w:pPr>
        <w:ind w:firstLine="360"/>
        <w:jc w:val="both"/>
        <w:rPr>
          <w:rFonts w:ascii="Times New Roman" w:hAnsi="Times New Roman" w:cs="Times New Roman"/>
          <w:sz w:val="24"/>
          <w:szCs w:val="24"/>
        </w:rPr>
      </w:pPr>
      <w:r w:rsidRPr="006D09E6">
        <w:rPr>
          <w:rFonts w:ascii="Times New Roman" w:hAnsi="Times New Roman" w:cs="Times New Roman"/>
          <w:sz w:val="24"/>
          <w:szCs w:val="24"/>
        </w:rPr>
        <w:t>Едни от предлаганите мерки за стимулиране инсталирането на зарядна инфраструктура в България са:</w:t>
      </w:r>
    </w:p>
    <w:p w14:paraId="43A80366" w14:textId="77777777" w:rsidR="00AA325D" w:rsidRPr="00A162C0"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A162C0">
        <w:rPr>
          <w:rFonts w:ascii="Times New Roman" w:hAnsi="Times New Roman" w:cs="Times New Roman"/>
          <w:sz w:val="24"/>
          <w:szCs w:val="24"/>
        </w:rPr>
        <w:t>Преки инвестиции</w:t>
      </w:r>
      <w:r w:rsidR="00E5772C">
        <w:rPr>
          <w:rFonts w:ascii="Times New Roman" w:hAnsi="Times New Roman" w:cs="Times New Roman"/>
          <w:sz w:val="24"/>
          <w:szCs w:val="24"/>
        </w:rPr>
        <w:t>;</w:t>
      </w:r>
      <w:r w:rsidRPr="00A162C0">
        <w:rPr>
          <w:rFonts w:ascii="Times New Roman" w:hAnsi="Times New Roman" w:cs="Times New Roman"/>
          <w:sz w:val="24"/>
          <w:szCs w:val="24"/>
        </w:rPr>
        <w:t xml:space="preserve"> </w:t>
      </w:r>
    </w:p>
    <w:p w14:paraId="1F973B52" w14:textId="77777777" w:rsidR="00AA325D" w:rsidRPr="00A162C0"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A162C0">
        <w:rPr>
          <w:rFonts w:ascii="Times New Roman" w:hAnsi="Times New Roman" w:cs="Times New Roman"/>
          <w:sz w:val="24"/>
          <w:szCs w:val="24"/>
        </w:rPr>
        <w:t>Фискални стимули</w:t>
      </w:r>
      <w:r w:rsidR="00E5772C">
        <w:rPr>
          <w:rFonts w:ascii="Times New Roman" w:hAnsi="Times New Roman" w:cs="Times New Roman"/>
          <w:sz w:val="24"/>
          <w:szCs w:val="24"/>
        </w:rPr>
        <w:t>;</w:t>
      </w:r>
      <w:r w:rsidRPr="00A162C0">
        <w:rPr>
          <w:rFonts w:ascii="Times New Roman" w:hAnsi="Times New Roman" w:cs="Times New Roman"/>
          <w:sz w:val="24"/>
          <w:szCs w:val="24"/>
        </w:rPr>
        <w:t xml:space="preserve"> </w:t>
      </w:r>
    </w:p>
    <w:p w14:paraId="07CB7569" w14:textId="77777777" w:rsidR="00AA325D" w:rsidRPr="00A162C0" w:rsidRDefault="00AA325D" w:rsidP="00AA325D">
      <w:pPr>
        <w:pStyle w:val="ListParagraph"/>
        <w:numPr>
          <w:ilvl w:val="0"/>
          <w:numId w:val="28"/>
        </w:numPr>
        <w:spacing w:after="0" w:line="240" w:lineRule="auto"/>
        <w:jc w:val="both"/>
        <w:rPr>
          <w:rFonts w:ascii="Times New Roman" w:hAnsi="Times New Roman" w:cs="Times New Roman"/>
          <w:sz w:val="24"/>
          <w:szCs w:val="24"/>
        </w:rPr>
      </w:pPr>
      <w:r w:rsidRPr="00A162C0">
        <w:rPr>
          <w:rFonts w:ascii="Times New Roman" w:hAnsi="Times New Roman" w:cs="Times New Roman"/>
          <w:sz w:val="24"/>
          <w:szCs w:val="24"/>
        </w:rPr>
        <w:t>Административни улеснения</w:t>
      </w:r>
      <w:r>
        <w:rPr>
          <w:rFonts w:ascii="Times New Roman" w:hAnsi="Times New Roman" w:cs="Times New Roman"/>
          <w:sz w:val="24"/>
          <w:szCs w:val="24"/>
        </w:rPr>
        <w:t>.</w:t>
      </w:r>
    </w:p>
    <w:p w14:paraId="2363EE99" w14:textId="77777777" w:rsidR="00AA325D" w:rsidRPr="00AC503B" w:rsidRDefault="00AA325D" w:rsidP="00AA325D">
      <w:pPr>
        <w:jc w:val="both"/>
        <w:rPr>
          <w:rFonts w:ascii="Times New Roman" w:hAnsi="Times New Roman" w:cs="Times New Roman"/>
          <w:sz w:val="24"/>
          <w:szCs w:val="24"/>
        </w:rPr>
      </w:pPr>
      <w:r>
        <w:rPr>
          <w:rFonts w:ascii="Times New Roman" w:hAnsi="Times New Roman" w:cs="Times New Roman"/>
          <w:sz w:val="24"/>
          <w:szCs w:val="24"/>
        </w:rPr>
        <w:t>Техният обхват и съдържание след</w:t>
      </w:r>
      <w:r w:rsidRPr="00AC503B">
        <w:rPr>
          <w:rFonts w:ascii="Times New Roman" w:hAnsi="Times New Roman" w:cs="Times New Roman"/>
          <w:sz w:val="24"/>
          <w:szCs w:val="24"/>
        </w:rPr>
        <w:t xml:space="preserve">ва да бъдат прецизирани след оценка на въздействието на всяка от тях и приоритизацията им с цел постигане на максимален резултат с </w:t>
      </w:r>
      <w:r>
        <w:rPr>
          <w:rFonts w:ascii="Times New Roman" w:hAnsi="Times New Roman" w:cs="Times New Roman"/>
          <w:sz w:val="24"/>
          <w:szCs w:val="24"/>
        </w:rPr>
        <w:t xml:space="preserve">оглед </w:t>
      </w:r>
      <w:r w:rsidRPr="00AC503B">
        <w:rPr>
          <w:rFonts w:ascii="Times New Roman" w:hAnsi="Times New Roman" w:cs="Times New Roman"/>
          <w:sz w:val="24"/>
          <w:szCs w:val="24"/>
        </w:rPr>
        <w:t>оптимално изразходване на публичен и частен ресурс.</w:t>
      </w:r>
    </w:p>
    <w:p w14:paraId="4BC538ED" w14:textId="77777777" w:rsidR="00AA325D" w:rsidRDefault="00AA325D" w:rsidP="006D09E6">
      <w:pPr>
        <w:spacing w:after="120" w:line="240" w:lineRule="auto"/>
        <w:jc w:val="both"/>
        <w:rPr>
          <w:rFonts w:ascii="Times New Roman" w:hAnsi="Times New Roman" w:cs="Times New Roman"/>
          <w:sz w:val="24"/>
          <w:szCs w:val="24"/>
        </w:rPr>
      </w:pPr>
      <w:r w:rsidRPr="00AC503B">
        <w:rPr>
          <w:rFonts w:ascii="Times New Roman" w:hAnsi="Times New Roman" w:cs="Times New Roman"/>
          <w:sz w:val="24"/>
          <w:szCs w:val="24"/>
        </w:rPr>
        <w:t xml:space="preserve">Предвид сравнително ниската цена на стандартните точки за зареждане с капацитет до 22 kW променлив ток може да се очаква, че административните улеснения ще имат най-силен ефект за масовото разпространение на зарядна инфраструктура. </w:t>
      </w:r>
    </w:p>
    <w:p w14:paraId="6825B1AA" w14:textId="77777777" w:rsidR="00AA325D" w:rsidRPr="00AC503B" w:rsidRDefault="00AA325D" w:rsidP="006D09E6">
      <w:pPr>
        <w:spacing w:after="120" w:line="240" w:lineRule="auto"/>
        <w:ind w:firstLine="708"/>
        <w:jc w:val="both"/>
        <w:rPr>
          <w:rFonts w:ascii="Times New Roman" w:hAnsi="Times New Roman" w:cs="Times New Roman"/>
          <w:sz w:val="24"/>
          <w:szCs w:val="24"/>
        </w:rPr>
      </w:pPr>
      <w:r w:rsidRPr="00AC503B">
        <w:rPr>
          <w:rFonts w:ascii="Times New Roman" w:hAnsi="Times New Roman" w:cs="Times New Roman"/>
          <w:sz w:val="24"/>
          <w:szCs w:val="24"/>
        </w:rPr>
        <w:t xml:space="preserve">Прилагането на специални тарифи за присъединяване към електроразпределителната и електропреносната мрежа може да бъде насърчителна мярка, разработена съвместно с операторите на мрежите, която да позволи в началния стадий на навлизане на мрежите оптимизиране на разходите както за операторите на преносни и разпределителни мрежи, така и за инвеститорите и операторите в зарядна инфраструктура. Това може да бъде постигнато чрез съвместно планиране съобразно пресечните точки между налични капацитети на мрежите и оптимално разположение на точките за зареждане предвид нуждите на крайните потребители. </w:t>
      </w:r>
    </w:p>
    <w:p w14:paraId="091DB13C" w14:textId="77777777" w:rsidR="00AA325D" w:rsidRPr="00AC503B" w:rsidRDefault="00AA325D" w:rsidP="00AA325D">
      <w:pPr>
        <w:spacing w:before="120" w:after="0" w:line="240" w:lineRule="auto"/>
        <w:ind w:firstLine="709"/>
        <w:jc w:val="both"/>
        <w:rPr>
          <w:rFonts w:ascii="Times New Roman" w:hAnsi="Times New Roman" w:cs="Times New Roman"/>
          <w:sz w:val="24"/>
          <w:szCs w:val="24"/>
          <w:shd w:val="clear" w:color="auto" w:fill="FFFFFF"/>
        </w:rPr>
      </w:pPr>
      <w:r w:rsidRPr="00AC503B">
        <w:rPr>
          <w:rFonts w:ascii="Times New Roman" w:hAnsi="Times New Roman" w:cs="Times New Roman"/>
          <w:sz w:val="24"/>
          <w:szCs w:val="24"/>
        </w:rPr>
        <w:t xml:space="preserve">Електрифицирането на задвижването на превозните средства в известна степен би могло да съдейства за повишаване на устойчивостта на автомобилния </w:t>
      </w:r>
      <w:r w:rsidRPr="00AC503B">
        <w:rPr>
          <w:rFonts w:ascii="Times New Roman" w:hAnsi="Times New Roman" w:cs="Times New Roman"/>
          <w:sz w:val="24"/>
          <w:szCs w:val="24"/>
          <w:shd w:val="clear" w:color="auto" w:fill="FFFFFF"/>
        </w:rPr>
        <w:t xml:space="preserve">транспорт в България, но в една по-дългосрочна перспектива. </w:t>
      </w:r>
    </w:p>
    <w:p w14:paraId="5325028B" w14:textId="77777777" w:rsidR="00AA325D" w:rsidRPr="00AC503B" w:rsidRDefault="00AA325D" w:rsidP="00AA325D">
      <w:pPr>
        <w:spacing w:before="120" w:after="0" w:line="240" w:lineRule="auto"/>
        <w:ind w:firstLine="709"/>
        <w:jc w:val="both"/>
        <w:rPr>
          <w:rFonts w:ascii="Times New Roman" w:hAnsi="Times New Roman" w:cs="Times New Roman"/>
          <w:sz w:val="24"/>
          <w:szCs w:val="24"/>
          <w:shd w:val="clear" w:color="auto" w:fill="FFFFFF"/>
        </w:rPr>
      </w:pPr>
      <w:r w:rsidRPr="00AC503B">
        <w:rPr>
          <w:rStyle w:val="longtext"/>
          <w:rFonts w:ascii="Times New Roman" w:hAnsi="Times New Roman" w:cs="Times New Roman"/>
          <w:sz w:val="24"/>
          <w:szCs w:val="24"/>
        </w:rPr>
        <w:lastRenderedPageBreak/>
        <w:t>Електрическите превозни средства</w:t>
      </w:r>
      <w:r w:rsidRPr="00AC503B">
        <w:rPr>
          <w:rFonts w:ascii="Times New Roman" w:hAnsi="Times New Roman" w:cs="Times New Roman"/>
          <w:sz w:val="24"/>
          <w:szCs w:val="24"/>
          <w:shd w:val="clear" w:color="auto" w:fill="FFFFFF"/>
        </w:rPr>
        <w:t xml:space="preserve"> имат редица предимства – по-щадящи са за околната среда</w:t>
      </w:r>
      <w:r w:rsidRPr="00AC503B">
        <w:rPr>
          <w:rStyle w:val="longtext"/>
          <w:rFonts w:ascii="Times New Roman" w:hAnsi="Times New Roman" w:cs="Times New Roman"/>
          <w:sz w:val="24"/>
          <w:szCs w:val="24"/>
          <w:shd w:val="clear" w:color="auto" w:fill="FFFFFF"/>
        </w:rPr>
        <w:t xml:space="preserve">, защото са енергийно ефективни, обвързани са с ниски емисии заради използването на възобновяема енергия. </w:t>
      </w:r>
      <w:r w:rsidRPr="00AC503B">
        <w:rPr>
          <w:rFonts w:ascii="Times New Roman" w:hAnsi="Times New Roman" w:cs="Times New Roman"/>
          <w:sz w:val="24"/>
          <w:szCs w:val="24"/>
          <w:shd w:val="clear" w:color="auto" w:fill="FFFFFF"/>
        </w:rPr>
        <w:t>В енергийния баланс електрическото задвижване е по-ефективно в сравнение с конвенционалното задвижване дори при сегашния енергиен микс.</w:t>
      </w:r>
    </w:p>
    <w:p w14:paraId="4DDF6DBB" w14:textId="77777777" w:rsidR="00AA325D" w:rsidRPr="00AC503B" w:rsidRDefault="00AA325D" w:rsidP="00AA325D">
      <w:pPr>
        <w:spacing w:before="120" w:after="0" w:line="240" w:lineRule="auto"/>
        <w:ind w:firstLine="709"/>
        <w:jc w:val="both"/>
        <w:rPr>
          <w:rFonts w:ascii="Times New Roman" w:hAnsi="Times New Roman" w:cs="Times New Roman"/>
          <w:sz w:val="24"/>
          <w:szCs w:val="24"/>
        </w:rPr>
      </w:pPr>
      <w:r w:rsidRPr="00AC503B">
        <w:rPr>
          <w:rFonts w:ascii="Times New Roman" w:hAnsi="Times New Roman" w:cs="Times New Roman"/>
          <w:sz w:val="24"/>
          <w:szCs w:val="24"/>
        </w:rPr>
        <w:t>Не трябва да бъдат пренебрегвани. добрите възможности на хибридните концепции за намаляване на емисиите на СО</w:t>
      </w:r>
      <w:r w:rsidRPr="00AC503B">
        <w:rPr>
          <w:rFonts w:ascii="Times New Roman" w:hAnsi="Times New Roman" w:cs="Times New Roman"/>
          <w:sz w:val="24"/>
          <w:szCs w:val="24"/>
          <w:vertAlign w:val="subscript"/>
        </w:rPr>
        <w:t>2</w:t>
      </w:r>
      <w:r w:rsidRPr="00AC503B">
        <w:rPr>
          <w:rFonts w:ascii="Times New Roman" w:hAnsi="Times New Roman" w:cs="Times New Roman"/>
          <w:sz w:val="24"/>
          <w:szCs w:val="24"/>
        </w:rPr>
        <w:t xml:space="preserve"> и за намаляване на изразходваната енергия в краткосрочен и средносрочен план. </w:t>
      </w:r>
    </w:p>
    <w:p w14:paraId="0F81739B" w14:textId="77777777" w:rsidR="00AA325D" w:rsidRPr="00AC503B" w:rsidRDefault="00AA325D" w:rsidP="00AA325D">
      <w:pPr>
        <w:spacing w:before="120" w:after="0" w:line="240" w:lineRule="auto"/>
        <w:ind w:firstLine="709"/>
        <w:jc w:val="both"/>
        <w:rPr>
          <w:rFonts w:ascii="Times New Roman" w:hAnsi="Times New Roman" w:cs="Times New Roman"/>
          <w:sz w:val="24"/>
          <w:szCs w:val="24"/>
        </w:rPr>
      </w:pPr>
      <w:r w:rsidRPr="00AC503B">
        <w:rPr>
          <w:rFonts w:ascii="Times New Roman" w:hAnsi="Times New Roman" w:cs="Times New Roman"/>
          <w:sz w:val="24"/>
          <w:szCs w:val="24"/>
        </w:rPr>
        <w:t>Електрическите превозни средства могат да изиграят важна роля в прехода към устойчива мобилност, но на тях не трябва да се гледа като на единствено решение. По-специално, начина, по който се осъществява промяната към електромобилност предопределя и устойчивостта на евентуалните резултати. Едва когато електрическите превозни средства бъдат задвижвани основно с възобновяеми енергийни източници, ще се наблюдава реално намаление на емисиите на СО</w:t>
      </w:r>
      <w:r w:rsidRPr="00AC503B">
        <w:rPr>
          <w:rFonts w:ascii="Times New Roman" w:hAnsi="Times New Roman" w:cs="Times New Roman"/>
          <w:sz w:val="24"/>
          <w:szCs w:val="24"/>
          <w:vertAlign w:val="subscript"/>
        </w:rPr>
        <w:t>2</w:t>
      </w:r>
      <w:r w:rsidRPr="00AC503B">
        <w:rPr>
          <w:rFonts w:ascii="Times New Roman" w:hAnsi="Times New Roman" w:cs="Times New Roman"/>
          <w:sz w:val="24"/>
          <w:szCs w:val="24"/>
        </w:rPr>
        <w:t>. Ползите ще са значими, а промените ще имат положителен характер. Ако електрическите превозни средства се използват в подходяща комбинация с други устойчиви транспортни модели, прекомерната употреба на леки автомобили ще продължава да генерира огромни външни разходи чрез задръствания и ще влошава качеството на живот в градовете.</w:t>
      </w:r>
    </w:p>
    <w:p w14:paraId="743CBE86" w14:textId="77777777" w:rsidR="00AA325D" w:rsidRPr="00280F68" w:rsidRDefault="00AA325D" w:rsidP="00AA325D">
      <w:pPr>
        <w:spacing w:before="120" w:after="0" w:line="240" w:lineRule="auto"/>
        <w:ind w:firstLine="709"/>
        <w:jc w:val="both"/>
        <w:rPr>
          <w:rFonts w:ascii="Times New Roman" w:hAnsi="Times New Roman" w:cs="Times New Roman"/>
          <w:sz w:val="24"/>
          <w:szCs w:val="24"/>
        </w:rPr>
      </w:pPr>
      <w:r w:rsidRPr="00280F68">
        <w:rPr>
          <w:rFonts w:ascii="Times New Roman" w:hAnsi="Times New Roman" w:cs="Times New Roman"/>
          <w:sz w:val="24"/>
          <w:szCs w:val="24"/>
        </w:rPr>
        <w:t>Фокусът в политиката трябва да е насочен не само към стимулиране на продажбите на електрически превозни средства, но да се насърчава електромобилността, в случаите, когато тя е икономически и екологически целесъобразна. Това включва да се стимулира използването на електрически велосипеди, микробуси за превоз на пътници и превозни средства за доставки в градски условия, споделено използване на леки автомобили и таксита с оглед увеличаване на пазарния им дял сред частните купувачи.</w:t>
      </w:r>
    </w:p>
    <w:p w14:paraId="596603E1" w14:textId="77777777" w:rsidR="00AA325D" w:rsidRPr="00AC503B" w:rsidRDefault="00AA325D" w:rsidP="00AA325D">
      <w:pPr>
        <w:spacing w:before="120" w:after="0" w:line="240" w:lineRule="auto"/>
        <w:ind w:firstLine="708"/>
        <w:jc w:val="both"/>
        <w:rPr>
          <w:rFonts w:ascii="Times New Roman" w:hAnsi="Times New Roman" w:cs="Times New Roman"/>
          <w:color w:val="000000"/>
          <w:sz w:val="24"/>
          <w:szCs w:val="24"/>
        </w:rPr>
      </w:pPr>
      <w:r w:rsidRPr="00280F68">
        <w:rPr>
          <w:rFonts w:ascii="Times New Roman" w:hAnsi="Times New Roman" w:cs="Times New Roman"/>
          <w:color w:val="000000"/>
          <w:sz w:val="24"/>
          <w:szCs w:val="24"/>
        </w:rPr>
        <w:t>В българските условия сериозен ръст на националния електромобилен потенциал е възможен само при разгръщане на конверсията и при стимулиране на масово търсене на ЕПС. За такъв ръст са необходими най-малко 5 условия: намаляване цените на ЕПС, увеличение пробега на ЕПС, развитие на мрежата от публични станции за зареждане на ЕПС от различни класове, разгръщане на развойната дейност при електромобилите в страната и на конверсията.</w:t>
      </w:r>
    </w:p>
    <w:p w14:paraId="4159CCF6" w14:textId="77777777" w:rsidR="00941B5E" w:rsidRDefault="00941B5E" w:rsidP="00AA325D">
      <w:pPr>
        <w:spacing w:after="0"/>
        <w:jc w:val="both"/>
        <w:rPr>
          <w:rFonts w:ascii="Times New Roman" w:hAnsi="Times New Roman" w:cs="Times New Roman"/>
          <w:b/>
          <w:sz w:val="24"/>
          <w:szCs w:val="24"/>
        </w:rPr>
      </w:pPr>
    </w:p>
    <w:p w14:paraId="50CFC0B4" w14:textId="77777777" w:rsidR="00AA325D" w:rsidRDefault="00AA325D" w:rsidP="00AA325D">
      <w:pPr>
        <w:spacing w:after="0"/>
        <w:jc w:val="both"/>
        <w:rPr>
          <w:rFonts w:ascii="Times New Roman" w:hAnsi="Times New Roman" w:cs="Times New Roman"/>
          <w:b/>
          <w:sz w:val="24"/>
          <w:szCs w:val="24"/>
        </w:rPr>
      </w:pPr>
      <w:r>
        <w:rPr>
          <w:rFonts w:ascii="Times New Roman" w:hAnsi="Times New Roman" w:cs="Times New Roman"/>
          <w:b/>
          <w:sz w:val="24"/>
          <w:szCs w:val="24"/>
        </w:rPr>
        <w:t>10.3 Прогнози за навлизане на превозни средства, с водородно задвижване и за разгръщането на зарядна инфраструктура на водород</w:t>
      </w:r>
    </w:p>
    <w:p w14:paraId="741C42DB" w14:textId="50CABA59" w:rsidR="00AA325D" w:rsidRPr="00BE3414" w:rsidRDefault="00AA325D" w:rsidP="00AA325D">
      <w:pPr>
        <w:jc w:val="both"/>
        <w:rPr>
          <w:rFonts w:ascii="Times New Roman" w:hAnsi="Times New Roman" w:cs="Times New Roman"/>
          <w:b/>
          <w:i/>
          <w:sz w:val="24"/>
          <w:szCs w:val="24"/>
        </w:rPr>
      </w:pPr>
      <w:r w:rsidRPr="00BE3414">
        <w:rPr>
          <w:rFonts w:ascii="Times New Roman" w:hAnsi="Times New Roman" w:cs="Times New Roman"/>
          <w:sz w:val="24"/>
          <w:szCs w:val="24"/>
        </w:rPr>
        <w:t>Що се отнася до автомобилите, с водородно задвижване прогнозният брой по години е следният:</w:t>
      </w:r>
      <w:r w:rsidRPr="00BE3414">
        <w:rPr>
          <w:rFonts w:ascii="Times New Roman" w:hAnsi="Times New Roman" w:cs="Times New Roman"/>
          <w:b/>
          <w:i/>
          <w:sz w:val="24"/>
          <w:szCs w:val="24"/>
        </w:rPr>
        <w:t xml:space="preserve"> </w:t>
      </w:r>
    </w:p>
    <w:p w14:paraId="7B3DBB0C" w14:textId="77777777" w:rsidR="00AA325D" w:rsidRPr="00280F68" w:rsidRDefault="00AA325D" w:rsidP="00AA325D">
      <w:pPr>
        <w:rPr>
          <w:rFonts w:ascii="Times New Roman" w:hAnsi="Times New Roman" w:cs="Times New Roman"/>
          <w:b/>
          <w:sz w:val="24"/>
          <w:szCs w:val="24"/>
        </w:rPr>
      </w:pPr>
      <w:r w:rsidRPr="00280F68">
        <w:rPr>
          <w:rFonts w:ascii="Times New Roman" w:hAnsi="Times New Roman" w:cs="Times New Roman"/>
          <w:b/>
          <w:sz w:val="24"/>
          <w:szCs w:val="24"/>
        </w:rPr>
        <w:t>2020 г. – 50 бр.</w:t>
      </w:r>
    </w:p>
    <w:p w14:paraId="0A3DC65B" w14:textId="77777777" w:rsidR="00AA325D" w:rsidRPr="00280F68" w:rsidRDefault="00AA325D" w:rsidP="00AA325D">
      <w:pPr>
        <w:rPr>
          <w:rFonts w:ascii="Times New Roman" w:hAnsi="Times New Roman" w:cs="Times New Roman"/>
          <w:b/>
          <w:sz w:val="24"/>
          <w:szCs w:val="24"/>
        </w:rPr>
      </w:pPr>
      <w:r w:rsidRPr="00280F68">
        <w:rPr>
          <w:rFonts w:ascii="Times New Roman" w:hAnsi="Times New Roman" w:cs="Times New Roman"/>
          <w:b/>
          <w:sz w:val="24"/>
          <w:szCs w:val="24"/>
        </w:rPr>
        <w:t xml:space="preserve">2025 г. – 400 бр. </w:t>
      </w:r>
    </w:p>
    <w:p w14:paraId="7EEF426F" w14:textId="77777777" w:rsidR="00AA325D" w:rsidRPr="00280F68" w:rsidRDefault="00AA325D" w:rsidP="00AA325D">
      <w:pPr>
        <w:rPr>
          <w:rFonts w:ascii="Times New Roman" w:hAnsi="Times New Roman" w:cs="Times New Roman"/>
          <w:b/>
          <w:sz w:val="24"/>
          <w:szCs w:val="24"/>
        </w:rPr>
      </w:pPr>
      <w:r w:rsidRPr="00280F68">
        <w:rPr>
          <w:rFonts w:ascii="Times New Roman" w:hAnsi="Times New Roman" w:cs="Times New Roman"/>
          <w:b/>
          <w:sz w:val="24"/>
          <w:szCs w:val="24"/>
        </w:rPr>
        <w:t>2030 г. – 900 бр.</w:t>
      </w:r>
    </w:p>
    <w:p w14:paraId="3BD49110" w14:textId="77777777" w:rsidR="00590605" w:rsidRPr="00590605" w:rsidRDefault="00590605" w:rsidP="006D09E6">
      <w:pPr>
        <w:spacing w:before="120"/>
        <w:ind w:firstLine="708"/>
        <w:jc w:val="both"/>
        <w:rPr>
          <w:rFonts w:ascii="Times New Roman" w:hAnsi="Times New Roman" w:cs="Times New Roman"/>
          <w:sz w:val="24"/>
          <w:szCs w:val="24"/>
        </w:rPr>
      </w:pPr>
      <w:r w:rsidRPr="00590605">
        <w:rPr>
          <w:rFonts w:ascii="Times New Roman" w:hAnsi="Times New Roman" w:cs="Times New Roman"/>
          <w:sz w:val="24"/>
          <w:szCs w:val="24"/>
        </w:rPr>
        <w:t>Ще бъде проведено проучване на различни сценарии за водородна мобилност, основана на добри практики. Ще бъдат изследвани възможностите за изграждане на национална мрежа от водородни зарядни станции. Целта е да се разработи модел, който е най-адекватен на българските икономически условия.</w:t>
      </w:r>
    </w:p>
    <w:p w14:paraId="64CDECA6" w14:textId="77777777" w:rsidR="00AA325D" w:rsidRDefault="00AA325D" w:rsidP="006D09E6">
      <w:pPr>
        <w:spacing w:before="120" w:after="0" w:line="240" w:lineRule="auto"/>
        <w:ind w:firstLine="709"/>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 xml:space="preserve">В начален стадий са дейностите по изграждане на първата водородна зарядна станция на пристанище Бургас. В дългосрочен план се обсъждат още няколко локации за изграждане на зарядна инфраструктура: София, Стара Загора, Русе. По този начин </w:t>
      </w:r>
      <w:r w:rsidRPr="00113F39">
        <w:rPr>
          <w:rFonts w:ascii="Times New Roman" w:eastAsia="Times New Roman" w:hAnsi="Times New Roman" w:cs="Times New Roman"/>
          <w:sz w:val="24"/>
          <w:szCs w:val="24"/>
          <w:lang w:eastAsia="bg-BG"/>
        </w:rPr>
        <w:lastRenderedPageBreak/>
        <w:t xml:space="preserve">територията на България ще осигури необходимата зарядна инфраструктура. Разстоянието между зарядните станции ще бъде около 200 км. </w:t>
      </w:r>
    </w:p>
    <w:p w14:paraId="4AFC9457" w14:textId="77777777" w:rsidR="00AA325D" w:rsidRPr="00113F39" w:rsidRDefault="00AA325D" w:rsidP="006D09E6">
      <w:pPr>
        <w:spacing w:before="120" w:after="0" w:line="240" w:lineRule="auto"/>
        <w:jc w:val="both"/>
        <w:rPr>
          <w:rFonts w:ascii="Times New Roman" w:eastAsia="Times New Roman" w:hAnsi="Times New Roman" w:cs="Times New Roman"/>
          <w:sz w:val="24"/>
          <w:szCs w:val="24"/>
          <w:lang w:eastAsia="bg-BG"/>
        </w:rPr>
      </w:pPr>
      <w:r w:rsidRPr="00113F39">
        <w:rPr>
          <w:rFonts w:ascii="Times New Roman" w:eastAsia="Times New Roman" w:hAnsi="Times New Roman" w:cs="Times New Roman"/>
          <w:sz w:val="24"/>
          <w:szCs w:val="24"/>
          <w:lang w:eastAsia="bg-BG"/>
        </w:rPr>
        <w:t>Прогнозите са: след 2020 г. да има поне една функционираща зарядна станция и една в процес на изграждане. До 2030 г. трябва да има изградени четири зарядни станции.</w:t>
      </w:r>
      <w:r>
        <w:rPr>
          <w:rStyle w:val="FootnoteReference"/>
          <w:rFonts w:ascii="Times New Roman" w:eastAsia="Times New Roman" w:hAnsi="Times New Roman" w:cs="Times New Roman"/>
          <w:sz w:val="24"/>
          <w:szCs w:val="24"/>
          <w:lang w:eastAsia="bg-BG"/>
        </w:rPr>
        <w:footnoteReference w:id="21"/>
      </w:r>
    </w:p>
    <w:p w14:paraId="56D3A6FE" w14:textId="77777777" w:rsidR="00AA325D" w:rsidRDefault="00AA325D" w:rsidP="00AA325D">
      <w:pPr>
        <w:spacing w:after="0" w:line="240" w:lineRule="auto"/>
        <w:rPr>
          <w:rFonts w:ascii="Times New Roman" w:hAnsi="Times New Roman" w:cs="Times New Roman"/>
          <w:sz w:val="24"/>
          <w:szCs w:val="24"/>
          <w:highlight w:val="yellow"/>
        </w:rPr>
      </w:pPr>
    </w:p>
    <w:p w14:paraId="10BA52DD" w14:textId="77777777" w:rsidR="00AA325D" w:rsidRPr="001656CA" w:rsidRDefault="00590605" w:rsidP="00AA325D">
      <w:pPr>
        <w:spacing w:after="0" w:line="240" w:lineRule="auto"/>
        <w:rPr>
          <w:rFonts w:ascii="Times New Roman" w:hAnsi="Times New Roman" w:cs="Times New Roman"/>
          <w:sz w:val="24"/>
          <w:szCs w:val="24"/>
        </w:rPr>
      </w:pPr>
      <w:r w:rsidRPr="001656CA">
        <w:rPr>
          <w:rFonts w:ascii="Times New Roman" w:hAnsi="Times New Roman" w:cs="Times New Roman"/>
          <w:sz w:val="24"/>
          <w:szCs w:val="24"/>
        </w:rPr>
        <w:t xml:space="preserve">Според </w:t>
      </w:r>
      <w:r w:rsidR="00AA325D" w:rsidRPr="001656CA">
        <w:rPr>
          <w:rFonts w:ascii="Times New Roman" w:hAnsi="Times New Roman" w:cs="Times New Roman"/>
          <w:sz w:val="24"/>
          <w:szCs w:val="24"/>
        </w:rPr>
        <w:t>друга по-оптимистична прогноза броят на зарядните станции за автомобили на водород трябва да бъде, както следва:</w:t>
      </w:r>
    </w:p>
    <w:p w14:paraId="5709B409" w14:textId="77777777" w:rsidR="00AA325D" w:rsidRPr="001656CA" w:rsidRDefault="00AA325D" w:rsidP="00AA325D">
      <w:pPr>
        <w:tabs>
          <w:tab w:val="left" w:pos="426"/>
        </w:tabs>
        <w:rPr>
          <w:rFonts w:ascii="Times New Roman" w:hAnsi="Times New Roman" w:cs="Times New Roman"/>
          <w:b/>
          <w:sz w:val="24"/>
          <w:szCs w:val="24"/>
        </w:rPr>
      </w:pPr>
      <w:r w:rsidRPr="001656CA">
        <w:rPr>
          <w:rFonts w:ascii="Times New Roman" w:hAnsi="Times New Roman" w:cs="Times New Roman"/>
          <w:b/>
          <w:sz w:val="24"/>
          <w:szCs w:val="24"/>
        </w:rPr>
        <w:t xml:space="preserve">до 2020 г. – 4 бр. </w:t>
      </w:r>
    </w:p>
    <w:p w14:paraId="2A4CAF9D" w14:textId="77777777" w:rsidR="00AA325D" w:rsidRPr="001656CA" w:rsidRDefault="00AA325D" w:rsidP="00AA325D">
      <w:pPr>
        <w:tabs>
          <w:tab w:val="left" w:pos="426"/>
        </w:tabs>
        <w:rPr>
          <w:rFonts w:ascii="Times New Roman" w:hAnsi="Times New Roman" w:cs="Times New Roman"/>
          <w:b/>
          <w:sz w:val="24"/>
          <w:szCs w:val="24"/>
        </w:rPr>
      </w:pPr>
      <w:r w:rsidRPr="001656CA">
        <w:rPr>
          <w:rFonts w:ascii="Times New Roman" w:hAnsi="Times New Roman" w:cs="Times New Roman"/>
          <w:b/>
          <w:sz w:val="24"/>
          <w:szCs w:val="24"/>
        </w:rPr>
        <w:t xml:space="preserve">до 2025 г. – 10 бр. </w:t>
      </w:r>
    </w:p>
    <w:p w14:paraId="5AF9D48E" w14:textId="77777777" w:rsidR="00AA325D" w:rsidRPr="00E05F43" w:rsidRDefault="00AA325D" w:rsidP="00AA325D">
      <w:pPr>
        <w:tabs>
          <w:tab w:val="left" w:pos="426"/>
        </w:tabs>
        <w:rPr>
          <w:rFonts w:ascii="Times New Roman" w:hAnsi="Times New Roman" w:cs="Times New Roman"/>
          <w:b/>
          <w:sz w:val="24"/>
          <w:szCs w:val="24"/>
        </w:rPr>
      </w:pPr>
      <w:r w:rsidRPr="001656CA">
        <w:rPr>
          <w:rFonts w:ascii="Times New Roman" w:hAnsi="Times New Roman" w:cs="Times New Roman"/>
          <w:b/>
          <w:sz w:val="24"/>
          <w:szCs w:val="24"/>
        </w:rPr>
        <w:t>до 2030 г. – 50 бр.</w:t>
      </w:r>
      <w:r w:rsidRPr="001656CA">
        <w:rPr>
          <w:rStyle w:val="FootnoteReference"/>
          <w:rFonts w:ascii="Times New Roman" w:hAnsi="Times New Roman" w:cs="Times New Roman"/>
          <w:b/>
          <w:sz w:val="24"/>
          <w:szCs w:val="24"/>
        </w:rPr>
        <w:footnoteReference w:id="22"/>
      </w:r>
    </w:p>
    <w:p w14:paraId="3D5C201B" w14:textId="77777777" w:rsidR="002545AE" w:rsidRDefault="009117B1" w:rsidP="002545AE">
      <w:pPr>
        <w:spacing w:after="0"/>
        <w:jc w:val="both"/>
        <w:rPr>
          <w:sz w:val="24"/>
          <w:szCs w:val="24"/>
        </w:rPr>
      </w:pPr>
      <w:r>
        <w:rPr>
          <w:rFonts w:ascii="Times New Roman" w:hAnsi="Times New Roman" w:cs="Times New Roman"/>
          <w:b/>
          <w:sz w:val="24"/>
          <w:szCs w:val="24"/>
        </w:rPr>
        <w:t>11.</w:t>
      </w:r>
      <w:r w:rsidR="00913997" w:rsidRPr="009117B1">
        <w:rPr>
          <w:rFonts w:ascii="Times New Roman" w:hAnsi="Times New Roman" w:cs="Times New Roman"/>
          <w:b/>
          <w:sz w:val="24"/>
          <w:szCs w:val="24"/>
        </w:rPr>
        <w:t>Възможности</w:t>
      </w:r>
      <w:r w:rsidR="00C65F4F" w:rsidRPr="009117B1">
        <w:rPr>
          <w:rFonts w:ascii="Times New Roman" w:hAnsi="Times New Roman" w:cs="Times New Roman"/>
          <w:b/>
          <w:sz w:val="24"/>
          <w:szCs w:val="24"/>
        </w:rPr>
        <w:t xml:space="preserve"> </w:t>
      </w:r>
      <w:r w:rsidR="00753731" w:rsidRPr="009117B1">
        <w:rPr>
          <w:rFonts w:ascii="Times New Roman" w:hAnsi="Times New Roman" w:cs="Times New Roman"/>
          <w:b/>
          <w:sz w:val="24"/>
          <w:szCs w:val="24"/>
        </w:rPr>
        <w:t>и потенциални мерки, свързани с</w:t>
      </w:r>
      <w:r w:rsidR="00C65F4F" w:rsidRPr="009117B1">
        <w:rPr>
          <w:rFonts w:ascii="Times New Roman" w:hAnsi="Times New Roman" w:cs="Times New Roman"/>
          <w:b/>
          <w:sz w:val="24"/>
          <w:szCs w:val="24"/>
        </w:rPr>
        <w:t xml:space="preserve"> изграждане</w:t>
      </w:r>
      <w:r w:rsidR="00753731" w:rsidRPr="009117B1">
        <w:rPr>
          <w:rFonts w:ascii="Times New Roman" w:hAnsi="Times New Roman" w:cs="Times New Roman"/>
          <w:b/>
          <w:sz w:val="24"/>
          <w:szCs w:val="24"/>
        </w:rPr>
        <w:t>то</w:t>
      </w:r>
      <w:r w:rsidR="00C65F4F" w:rsidRPr="009117B1">
        <w:rPr>
          <w:rFonts w:ascii="Times New Roman" w:hAnsi="Times New Roman" w:cs="Times New Roman"/>
          <w:b/>
          <w:sz w:val="24"/>
          <w:szCs w:val="24"/>
        </w:rPr>
        <w:t xml:space="preserve"> на зарядна инфраструктура за компресиран и втечнен природен газ </w:t>
      </w:r>
      <w:r w:rsidR="002545AE">
        <w:rPr>
          <w:rFonts w:ascii="Times New Roman" w:hAnsi="Times New Roman" w:cs="Times New Roman"/>
          <w:b/>
          <w:sz w:val="24"/>
          <w:szCs w:val="24"/>
        </w:rPr>
        <w:t>и насърчаване използването на превозни средства, задвижвани с компресиран и втечнен природен газ</w:t>
      </w:r>
    </w:p>
    <w:p w14:paraId="12488174" w14:textId="77777777" w:rsidR="00B23F3A" w:rsidRPr="001656CA" w:rsidRDefault="00B23F3A" w:rsidP="00B23F3A">
      <w:pPr>
        <w:widowControl w:val="0"/>
        <w:spacing w:before="120" w:after="0" w:line="240" w:lineRule="auto"/>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 xml:space="preserve">По данни на </w:t>
      </w:r>
      <w:r w:rsidR="00F46407">
        <w:rPr>
          <w:rFonts w:ascii="Times New Roman" w:eastAsia="Trebuchet MS" w:hAnsi="Times New Roman" w:cs="Times New Roman"/>
          <w:color w:val="000000"/>
          <w:spacing w:val="-10"/>
          <w:sz w:val="24"/>
          <w:szCs w:val="24"/>
          <w:lang w:eastAsia="bg-BG"/>
        </w:rPr>
        <w:t>„</w:t>
      </w:r>
      <w:r w:rsidRPr="001656CA">
        <w:rPr>
          <w:rFonts w:ascii="Times New Roman" w:eastAsia="Trebuchet MS" w:hAnsi="Times New Roman" w:cs="Times New Roman"/>
          <w:color w:val="000000"/>
          <w:spacing w:val="-10"/>
          <w:sz w:val="24"/>
          <w:szCs w:val="24"/>
          <w:lang w:eastAsia="bg-BG"/>
        </w:rPr>
        <w:t>Европейската асоциация автомобили на природен газ</w:t>
      </w:r>
      <w:r w:rsidR="00F46407">
        <w:rPr>
          <w:rFonts w:ascii="Times New Roman" w:eastAsia="Trebuchet MS" w:hAnsi="Times New Roman" w:cs="Times New Roman"/>
          <w:color w:val="000000"/>
          <w:spacing w:val="-10"/>
          <w:sz w:val="24"/>
          <w:szCs w:val="24"/>
          <w:lang w:eastAsia="bg-BG"/>
        </w:rPr>
        <w:t>“</w:t>
      </w:r>
      <w:r w:rsidRPr="001656CA">
        <w:rPr>
          <w:rFonts w:ascii="Times New Roman" w:eastAsia="Trebuchet MS" w:hAnsi="Times New Roman" w:cs="Times New Roman"/>
          <w:color w:val="000000"/>
          <w:spacing w:val="-10"/>
          <w:sz w:val="24"/>
          <w:szCs w:val="24"/>
          <w:lang w:eastAsia="bg-BG"/>
        </w:rPr>
        <w:t xml:space="preserve">, към края на 2015 г. в Република България се движат 61 000 автомобила на компресиран природен газ от всички класове, като преобладават леките автомобили - над 99 %. </w:t>
      </w:r>
    </w:p>
    <w:p w14:paraId="029B0A39" w14:textId="77777777" w:rsidR="00B23F3A" w:rsidRPr="001656CA" w:rsidRDefault="00B23F3A" w:rsidP="00B23F3A">
      <w:pPr>
        <w:widowControl w:val="0"/>
        <w:spacing w:before="120" w:after="0" w:line="240" w:lineRule="auto"/>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В страната ни има 110 автомобилни компресорни станции, което формира гъстота от 1 автомобилна компресорна станция на 1000 км</w:t>
      </w:r>
      <w:r w:rsidRPr="001656CA">
        <w:rPr>
          <w:rFonts w:ascii="Times New Roman" w:eastAsia="Trebuchet MS" w:hAnsi="Times New Roman" w:cs="Times New Roman"/>
          <w:color w:val="000000"/>
          <w:spacing w:val="-10"/>
          <w:sz w:val="24"/>
          <w:szCs w:val="24"/>
          <w:vertAlign w:val="superscript"/>
          <w:lang w:eastAsia="bg-BG"/>
        </w:rPr>
        <w:t>2</w:t>
      </w:r>
      <w:r w:rsidRPr="001656CA">
        <w:rPr>
          <w:rFonts w:ascii="Times New Roman" w:eastAsia="Trebuchet MS" w:hAnsi="Times New Roman" w:cs="Times New Roman"/>
          <w:color w:val="000000"/>
          <w:spacing w:val="-10"/>
          <w:sz w:val="24"/>
          <w:szCs w:val="24"/>
          <w:lang w:eastAsia="bg-BG"/>
        </w:rPr>
        <w:t xml:space="preserve">. Тези данни поставят страната ни на едно от челните места в Европа по употреба на компресиран прероден газ </w:t>
      </w:r>
      <w:r w:rsidRPr="006D09E6">
        <w:rPr>
          <w:rFonts w:ascii="Times New Roman" w:eastAsia="Trebuchet MS" w:hAnsi="Times New Roman" w:cs="Times New Roman"/>
          <w:iCs/>
          <w:color w:val="000000"/>
          <w:spacing w:val="-10"/>
          <w:sz w:val="24"/>
          <w:szCs w:val="24"/>
          <w:lang w:eastAsia="bg-BG"/>
        </w:rPr>
        <w:t>в</w:t>
      </w:r>
      <w:r w:rsidRPr="001656CA">
        <w:rPr>
          <w:rFonts w:ascii="Times New Roman" w:eastAsia="Trebuchet MS" w:hAnsi="Times New Roman" w:cs="Times New Roman"/>
          <w:color w:val="000000"/>
          <w:spacing w:val="-10"/>
          <w:sz w:val="24"/>
          <w:szCs w:val="24"/>
          <w:lang w:eastAsia="bg-BG"/>
        </w:rPr>
        <w:t xml:space="preserve"> автомобилния транспорт. Дистрибуционната мрежа е сравнително равномерно разпределена на територията на страната, с ясно изразена по-ниска степен на гъстота в Северозападна България и Рило-Родопската област. Недостатъчни на брой са обаче станциите за зареждане с КПГ по основните пътни коридори от ТЕ</w:t>
      </w:r>
      <w:r w:rsidRPr="001656CA">
        <w:rPr>
          <w:rFonts w:ascii="Times New Roman" w:eastAsia="Trebuchet MS" w:hAnsi="Times New Roman" w:cs="Times New Roman"/>
          <w:color w:val="000000"/>
          <w:spacing w:val="-10"/>
          <w:sz w:val="24"/>
          <w:szCs w:val="24"/>
          <w:lang w:val="en-US" w:eastAsia="bg-BG"/>
        </w:rPr>
        <w:t>N</w:t>
      </w:r>
      <w:r w:rsidRPr="001656CA">
        <w:rPr>
          <w:rFonts w:ascii="Times New Roman" w:eastAsia="Trebuchet MS" w:hAnsi="Times New Roman" w:cs="Times New Roman"/>
          <w:color w:val="000000"/>
          <w:spacing w:val="-10"/>
          <w:sz w:val="24"/>
          <w:szCs w:val="24"/>
          <w:lang w:eastAsia="bg-BG"/>
        </w:rPr>
        <w:t>-Т мрежата. Този факт, ограничава международните и междуградските пътувания на средни и дълги разстояния с автомобили, използващи КПГ, превръща страната ни в изолиран остров на европейската карта по отношение употребата на природен газ в транспорта, затруднява интеграцията й към европейските транспортни мрежи и единния пазар и задълбочава равнището на икономическата кохезия между Източна, Централна и Западна Европа.</w:t>
      </w:r>
    </w:p>
    <w:p w14:paraId="10E3E056" w14:textId="77777777" w:rsidR="00B23F3A" w:rsidRPr="001656CA" w:rsidRDefault="00B23F3A" w:rsidP="006D09E6">
      <w:pPr>
        <w:widowControl w:val="0"/>
        <w:spacing w:after="120" w:line="240" w:lineRule="auto"/>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Същевременно обаче, автопаркът от автомобили на КПГ е сериозно остарял и ситуацията драматично ще се промени в близките години. Над 95 % от всички автомобили на природен газ са употребявани и конвертирани за работа с горивото в началото на настоящия век, а технологиите и оборудването вече са физически и морално остарели. Това ще наложи тяхното излизане от употреба в хоризонт до 2020, което рязко ще влоши ситуацията с превозните средства на природен газ у нас. В същото време поради слабото предлагане на модели с фабрични газови уредби, както и поради неатрактивното ценово отношение на компресирания природен газ спрямо втечнения нефтен газ, пазарът на практика е в застой и няма ново търсене.</w:t>
      </w:r>
    </w:p>
    <w:p w14:paraId="1121FC7E" w14:textId="77777777" w:rsidR="00B23F3A" w:rsidRPr="001656CA" w:rsidRDefault="00B23F3A" w:rsidP="006D09E6">
      <w:pPr>
        <w:widowControl w:val="0"/>
        <w:tabs>
          <w:tab w:val="left" w:pos="164"/>
        </w:tabs>
        <w:spacing w:after="120" w:line="240" w:lineRule="auto"/>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От горното изложение e видно, че:</w:t>
      </w:r>
    </w:p>
    <w:p w14:paraId="5FE02F8F" w14:textId="77777777" w:rsidR="00B23F3A" w:rsidRPr="001656CA" w:rsidRDefault="00B23F3A" w:rsidP="006D09E6">
      <w:pPr>
        <w:pStyle w:val="ListParagraph"/>
        <w:widowControl w:val="0"/>
        <w:numPr>
          <w:ilvl w:val="0"/>
          <w:numId w:val="45"/>
        </w:numPr>
        <w:tabs>
          <w:tab w:val="left" w:pos="164"/>
        </w:tabs>
        <w:spacing w:after="120" w:line="240" w:lineRule="auto"/>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 xml:space="preserve">към настоящия момент пазарът на автомобили на природен газ </w:t>
      </w:r>
      <w:r w:rsidR="00F46407">
        <w:rPr>
          <w:rFonts w:ascii="Times New Roman" w:eastAsia="Trebuchet MS" w:hAnsi="Times New Roman" w:cs="Times New Roman"/>
          <w:color w:val="000000"/>
          <w:spacing w:val="-10"/>
          <w:sz w:val="24"/>
          <w:szCs w:val="24"/>
          <w:lang w:eastAsia="bg-BG"/>
        </w:rPr>
        <w:t>в</w:t>
      </w:r>
      <w:r w:rsidR="00F46407" w:rsidRPr="001656CA">
        <w:rPr>
          <w:rFonts w:ascii="Times New Roman" w:eastAsia="Trebuchet MS" w:hAnsi="Times New Roman" w:cs="Times New Roman"/>
          <w:color w:val="000000"/>
          <w:spacing w:val="-10"/>
          <w:sz w:val="24"/>
          <w:szCs w:val="24"/>
          <w:lang w:eastAsia="bg-BG"/>
        </w:rPr>
        <w:t xml:space="preserve"> </w:t>
      </w:r>
      <w:r w:rsidRPr="001656CA">
        <w:rPr>
          <w:rFonts w:ascii="Times New Roman" w:eastAsia="Trebuchet MS" w:hAnsi="Times New Roman" w:cs="Times New Roman"/>
          <w:color w:val="000000"/>
          <w:spacing w:val="-10"/>
          <w:sz w:val="24"/>
          <w:szCs w:val="24"/>
          <w:lang w:eastAsia="bg-BG"/>
        </w:rPr>
        <w:t>България е сравнително добре развит, но тенденциите за неговата бъдеща динамика са| неблагоприятни, поради физическото и морално остаряване на автопарка.</w:t>
      </w:r>
    </w:p>
    <w:p w14:paraId="368D6D39" w14:textId="77777777" w:rsidR="00B23F3A" w:rsidRPr="001656CA" w:rsidRDefault="00B23F3A" w:rsidP="006D09E6">
      <w:pPr>
        <w:pStyle w:val="ListParagraph"/>
        <w:widowControl w:val="0"/>
        <w:numPr>
          <w:ilvl w:val="0"/>
          <w:numId w:val="45"/>
        </w:numPr>
        <w:tabs>
          <w:tab w:val="left" w:pos="183"/>
        </w:tabs>
        <w:spacing w:after="120" w:line="240" w:lineRule="auto"/>
        <w:ind w:right="20"/>
        <w:jc w:val="both"/>
        <w:rPr>
          <w:rFonts w:ascii="Times New Roman" w:eastAsia="Trebuchet MS" w:hAnsi="Times New Roman" w:cs="Times New Roman"/>
          <w:color w:val="000000"/>
          <w:spacing w:val="-10"/>
          <w:sz w:val="24"/>
          <w:szCs w:val="24"/>
          <w:lang w:eastAsia="bg-BG"/>
        </w:rPr>
      </w:pPr>
      <w:r w:rsidRPr="001656CA">
        <w:rPr>
          <w:rFonts w:ascii="Times New Roman" w:eastAsia="Trebuchet MS" w:hAnsi="Times New Roman" w:cs="Times New Roman"/>
          <w:color w:val="000000"/>
          <w:spacing w:val="-10"/>
          <w:sz w:val="24"/>
          <w:szCs w:val="24"/>
          <w:lang w:eastAsia="bg-BG"/>
        </w:rPr>
        <w:t>инфраструктурата за зареждане с КПГ по протежение на пътищата, влизащи в състава на ТЕN-Т мрежата на територията на Р</w:t>
      </w:r>
      <w:r w:rsidRPr="007C469F">
        <w:rPr>
          <w:rFonts w:ascii="Times New Roman" w:eastAsia="Trebuchet MS" w:hAnsi="Times New Roman" w:cs="Times New Roman"/>
          <w:color w:val="000000"/>
          <w:spacing w:val="-10"/>
          <w:sz w:val="24"/>
          <w:szCs w:val="24"/>
          <w:lang w:eastAsia="bg-BG"/>
        </w:rPr>
        <w:t xml:space="preserve"> </w:t>
      </w:r>
      <w:r w:rsidRPr="001656CA">
        <w:rPr>
          <w:rFonts w:ascii="Times New Roman" w:eastAsia="Trebuchet MS" w:hAnsi="Times New Roman" w:cs="Times New Roman"/>
          <w:color w:val="000000"/>
          <w:spacing w:val="-10"/>
          <w:sz w:val="24"/>
          <w:szCs w:val="24"/>
          <w:lang w:eastAsia="bg-BG"/>
        </w:rPr>
        <w:t>България, не е изградена.</w:t>
      </w:r>
    </w:p>
    <w:p w14:paraId="6AA3E93D" w14:textId="77777777" w:rsidR="002545AE" w:rsidRPr="00B23F3A" w:rsidRDefault="002545AE" w:rsidP="009117B1">
      <w:pPr>
        <w:pStyle w:val="a0"/>
        <w:shd w:val="clear" w:color="auto" w:fill="auto"/>
        <w:spacing w:after="64" w:line="254" w:lineRule="exact"/>
        <w:ind w:left="20" w:right="20" w:hanging="20"/>
        <w:rPr>
          <w:sz w:val="24"/>
          <w:szCs w:val="24"/>
        </w:rPr>
      </w:pPr>
    </w:p>
    <w:p w14:paraId="2D37B894" w14:textId="77777777" w:rsidR="009117B1" w:rsidRPr="009117B1" w:rsidRDefault="00B23F3A" w:rsidP="009117B1">
      <w:pPr>
        <w:pStyle w:val="a0"/>
        <w:shd w:val="clear" w:color="auto" w:fill="auto"/>
        <w:spacing w:after="64" w:line="254" w:lineRule="exact"/>
        <w:ind w:left="20" w:right="20" w:hanging="20"/>
        <w:rPr>
          <w:sz w:val="24"/>
          <w:szCs w:val="24"/>
        </w:rPr>
      </w:pPr>
      <w:r>
        <w:rPr>
          <w:sz w:val="24"/>
          <w:szCs w:val="24"/>
        </w:rPr>
        <w:lastRenderedPageBreak/>
        <w:t xml:space="preserve">В тази връзка </w:t>
      </w:r>
      <w:r w:rsidR="009117B1" w:rsidRPr="009117B1">
        <w:rPr>
          <w:sz w:val="24"/>
          <w:szCs w:val="24"/>
        </w:rPr>
        <w:t>е целесъобразно да бъде приложен следния подход по отношение разгръщането на инфраструктура за зареждане с компресиран и втечнен природен газ</w:t>
      </w:r>
      <w:r>
        <w:rPr>
          <w:sz w:val="24"/>
          <w:szCs w:val="24"/>
        </w:rPr>
        <w:t xml:space="preserve"> и по-широкото използване на автомобил на компресиран и втечнен природен газ</w:t>
      </w:r>
      <w:r w:rsidR="009117B1" w:rsidRPr="009117B1">
        <w:rPr>
          <w:sz w:val="24"/>
          <w:szCs w:val="24"/>
        </w:rPr>
        <w:t>:</w:t>
      </w:r>
    </w:p>
    <w:p w14:paraId="4DB0E36D" w14:textId="77777777" w:rsidR="002545AE" w:rsidRDefault="009117B1" w:rsidP="00BB383D">
      <w:pPr>
        <w:pStyle w:val="a0"/>
        <w:numPr>
          <w:ilvl w:val="0"/>
          <w:numId w:val="40"/>
        </w:numPr>
        <w:shd w:val="clear" w:color="auto" w:fill="auto"/>
        <w:tabs>
          <w:tab w:val="left" w:pos="313"/>
        </w:tabs>
        <w:spacing w:after="0" w:line="250" w:lineRule="exact"/>
        <w:ind w:right="20"/>
        <w:rPr>
          <w:sz w:val="24"/>
          <w:szCs w:val="24"/>
        </w:rPr>
      </w:pPr>
      <w:r w:rsidRPr="009117B1">
        <w:rPr>
          <w:sz w:val="24"/>
          <w:szCs w:val="24"/>
        </w:rPr>
        <w:t>До 2020 г. приоритетно да бъде изградена инфраструктурата за компресиран и втечнен природен газ по протежението на транспортните коридори от ТЕN-Т мрежата, на територията на Р</w:t>
      </w:r>
      <w:r w:rsidR="002545AE">
        <w:rPr>
          <w:sz w:val="24"/>
          <w:szCs w:val="24"/>
        </w:rPr>
        <w:t xml:space="preserve">епублика </w:t>
      </w:r>
      <w:r w:rsidRPr="009117B1">
        <w:rPr>
          <w:sz w:val="24"/>
          <w:szCs w:val="24"/>
        </w:rPr>
        <w:t xml:space="preserve">България. </w:t>
      </w:r>
    </w:p>
    <w:p w14:paraId="1611A863" w14:textId="77777777" w:rsidR="009117B1" w:rsidRPr="009117B1" w:rsidRDefault="002545AE" w:rsidP="002545AE">
      <w:pPr>
        <w:pStyle w:val="a0"/>
        <w:shd w:val="clear" w:color="auto" w:fill="auto"/>
        <w:tabs>
          <w:tab w:val="left" w:pos="313"/>
        </w:tabs>
        <w:spacing w:after="0" w:line="250" w:lineRule="exact"/>
        <w:ind w:right="20" w:firstLine="0"/>
        <w:rPr>
          <w:sz w:val="24"/>
          <w:szCs w:val="24"/>
        </w:rPr>
      </w:pPr>
      <w:r w:rsidRPr="009117B1">
        <w:rPr>
          <w:sz w:val="24"/>
          <w:szCs w:val="24"/>
        </w:rPr>
        <w:t>Т</w:t>
      </w:r>
      <w:r w:rsidR="009117B1" w:rsidRPr="009117B1">
        <w:rPr>
          <w:sz w:val="24"/>
          <w:szCs w:val="24"/>
        </w:rPr>
        <w:t xml:space="preserve">ова е въпрос </w:t>
      </w:r>
      <w:r>
        <w:rPr>
          <w:sz w:val="24"/>
          <w:szCs w:val="24"/>
        </w:rPr>
        <w:t>от общоевропейско, както и локал</w:t>
      </w:r>
      <w:r w:rsidR="009117B1" w:rsidRPr="009117B1">
        <w:rPr>
          <w:sz w:val="24"/>
          <w:szCs w:val="24"/>
        </w:rPr>
        <w:t>но европей</w:t>
      </w:r>
      <w:r>
        <w:rPr>
          <w:sz w:val="24"/>
          <w:szCs w:val="24"/>
        </w:rPr>
        <w:t>ско значение за бъдещите страни-</w:t>
      </w:r>
      <w:r w:rsidR="009117B1" w:rsidRPr="009117B1">
        <w:rPr>
          <w:sz w:val="24"/>
          <w:szCs w:val="24"/>
        </w:rPr>
        <w:t>членки в региона. В този смисъл, нашата страна може да финансира проекти в това направление, чрез средства от Кохезионните фондове и по-к</w:t>
      </w:r>
      <w:r>
        <w:rPr>
          <w:sz w:val="24"/>
          <w:szCs w:val="24"/>
        </w:rPr>
        <w:t>онкретно Механизмът за свързаност</w:t>
      </w:r>
      <w:r w:rsidR="009117B1" w:rsidRPr="009117B1">
        <w:rPr>
          <w:sz w:val="24"/>
          <w:szCs w:val="24"/>
        </w:rPr>
        <w:t xml:space="preserve"> на Европа, както и посредством средства по програмите за трансгранично сътрудничество с бъдещи страни </w:t>
      </w:r>
      <w:r w:rsidR="00F46407">
        <w:rPr>
          <w:sz w:val="24"/>
          <w:szCs w:val="24"/>
        </w:rPr>
        <w:t>-</w:t>
      </w:r>
      <w:r w:rsidR="009117B1" w:rsidRPr="009117B1">
        <w:rPr>
          <w:sz w:val="24"/>
          <w:szCs w:val="24"/>
        </w:rPr>
        <w:t>членки - например Сърбия.</w:t>
      </w:r>
    </w:p>
    <w:p w14:paraId="3E75A4FF" w14:textId="77777777" w:rsidR="009117B1" w:rsidRPr="009117B1" w:rsidRDefault="009117B1" w:rsidP="00BB383D">
      <w:pPr>
        <w:pStyle w:val="a0"/>
        <w:numPr>
          <w:ilvl w:val="0"/>
          <w:numId w:val="40"/>
        </w:numPr>
        <w:shd w:val="clear" w:color="auto" w:fill="auto"/>
        <w:tabs>
          <w:tab w:val="left" w:pos="260"/>
        </w:tabs>
        <w:spacing w:after="60" w:line="254" w:lineRule="exact"/>
        <w:ind w:right="20"/>
        <w:rPr>
          <w:sz w:val="24"/>
          <w:szCs w:val="24"/>
        </w:rPr>
      </w:pPr>
      <w:r w:rsidRPr="009117B1">
        <w:rPr>
          <w:sz w:val="24"/>
          <w:szCs w:val="24"/>
        </w:rPr>
        <w:t>В периода 2020 - 2025 г. е необходимо акцентът да бъде поставен върху изграждане на инфраструктурата за компресиран природен газ в регионите с по-ниско покритие на дистрибуционната мрежа като: Северозападна България и Рило-Родопската област.</w:t>
      </w:r>
    </w:p>
    <w:p w14:paraId="4247ABF8" w14:textId="77777777" w:rsidR="009117B1" w:rsidRPr="009117B1" w:rsidRDefault="009117B1" w:rsidP="00BB383D">
      <w:pPr>
        <w:pStyle w:val="a0"/>
        <w:numPr>
          <w:ilvl w:val="0"/>
          <w:numId w:val="40"/>
        </w:numPr>
        <w:shd w:val="clear" w:color="auto" w:fill="auto"/>
        <w:tabs>
          <w:tab w:val="left" w:pos="265"/>
        </w:tabs>
        <w:spacing w:after="60" w:line="254" w:lineRule="exact"/>
        <w:ind w:right="20"/>
        <w:rPr>
          <w:sz w:val="24"/>
          <w:szCs w:val="24"/>
        </w:rPr>
      </w:pPr>
      <w:r w:rsidRPr="009117B1">
        <w:rPr>
          <w:sz w:val="24"/>
          <w:szCs w:val="24"/>
        </w:rPr>
        <w:t>В периода 2020 - 2025 г. е необходимо да се подпомогнат инвестициите в автопарк от тежкотоварни автомобили и автобуси с втечнен природен газ.</w:t>
      </w:r>
    </w:p>
    <w:p w14:paraId="529D210F" w14:textId="77777777" w:rsidR="009117B1" w:rsidRDefault="009117B1" w:rsidP="00BB383D">
      <w:pPr>
        <w:pStyle w:val="a0"/>
        <w:numPr>
          <w:ilvl w:val="0"/>
          <w:numId w:val="40"/>
        </w:numPr>
        <w:shd w:val="clear" w:color="auto" w:fill="auto"/>
        <w:tabs>
          <w:tab w:val="left" w:pos="265"/>
        </w:tabs>
        <w:spacing w:after="60" w:line="254" w:lineRule="exact"/>
        <w:ind w:right="20"/>
        <w:rPr>
          <w:sz w:val="24"/>
          <w:szCs w:val="24"/>
        </w:rPr>
      </w:pPr>
      <w:r w:rsidRPr="009117B1">
        <w:rPr>
          <w:sz w:val="24"/>
          <w:szCs w:val="24"/>
        </w:rPr>
        <w:t>За периода 2025 - 2030 г. мероприятията следва да бъдат насочени към уплътняване на дистрибуционната мрежа за втечнен природен газ, както и към промотирането на нови технологии в областта на транспорта с алтернативни горива.</w:t>
      </w:r>
    </w:p>
    <w:p w14:paraId="710A1FBA" w14:textId="77777777" w:rsidR="002545AE" w:rsidRPr="009117B1" w:rsidRDefault="002545AE" w:rsidP="002545AE">
      <w:pPr>
        <w:pStyle w:val="a0"/>
        <w:numPr>
          <w:ilvl w:val="0"/>
          <w:numId w:val="40"/>
        </w:numPr>
        <w:shd w:val="clear" w:color="auto" w:fill="auto"/>
        <w:tabs>
          <w:tab w:val="left" w:pos="222"/>
        </w:tabs>
        <w:spacing w:after="64" w:line="259" w:lineRule="exact"/>
        <w:ind w:right="20"/>
        <w:rPr>
          <w:sz w:val="24"/>
          <w:szCs w:val="24"/>
        </w:rPr>
      </w:pPr>
      <w:r w:rsidRPr="009117B1">
        <w:rPr>
          <w:sz w:val="24"/>
          <w:szCs w:val="24"/>
        </w:rPr>
        <w:t>До 2020 г. е необходимо да се предприемат и мерки, свързани с укрепване на търсенето. С цел тяхното по-мащабно разгръщане е необходимо те да подпомагат предимно крайните потребители, които да бъдат подкрепени при закупуването и монтажа на уредби за компресиран природен газ. Допустими трябва да бъдат съвременни технологични решения, които гарантират постигането на енергийна ефективност и се предлагат от европейски производители. Тези мероприятия следва да се финансират чрез осите на структурните фондове и по-конкретно оперативните програми „Околна среда</w:t>
      </w:r>
      <w:r w:rsidR="00F46407">
        <w:rPr>
          <w:sz w:val="24"/>
          <w:szCs w:val="24"/>
        </w:rPr>
        <w:t>“</w:t>
      </w:r>
      <w:r w:rsidRPr="009117B1">
        <w:rPr>
          <w:sz w:val="24"/>
          <w:szCs w:val="24"/>
        </w:rPr>
        <w:t xml:space="preserve"> и „Програмата за развитие на селските региони</w:t>
      </w:r>
      <w:r w:rsidR="00F46407">
        <w:rPr>
          <w:sz w:val="24"/>
          <w:szCs w:val="24"/>
        </w:rPr>
        <w:t>“</w:t>
      </w:r>
      <w:r w:rsidRPr="009117B1">
        <w:rPr>
          <w:sz w:val="24"/>
          <w:szCs w:val="24"/>
        </w:rPr>
        <w:t xml:space="preserve"> за личния автопарк и оперативна програма </w:t>
      </w:r>
      <w:r w:rsidR="00F46407">
        <w:rPr>
          <w:sz w:val="24"/>
          <w:szCs w:val="24"/>
        </w:rPr>
        <w:t>„</w:t>
      </w:r>
      <w:r w:rsidRPr="009117B1">
        <w:rPr>
          <w:sz w:val="24"/>
          <w:szCs w:val="24"/>
        </w:rPr>
        <w:t>Иновации и конкурентоспособност“ за служебни автопаркове.</w:t>
      </w:r>
    </w:p>
    <w:p w14:paraId="2C701643" w14:textId="77777777" w:rsidR="002545AE" w:rsidRPr="009117B1" w:rsidRDefault="002545AE" w:rsidP="002545AE">
      <w:pPr>
        <w:pStyle w:val="a0"/>
        <w:numPr>
          <w:ilvl w:val="0"/>
          <w:numId w:val="40"/>
        </w:numPr>
        <w:shd w:val="clear" w:color="auto" w:fill="auto"/>
        <w:tabs>
          <w:tab w:val="left" w:pos="241"/>
        </w:tabs>
        <w:spacing w:after="52" w:line="254" w:lineRule="exact"/>
        <w:ind w:right="20"/>
        <w:rPr>
          <w:sz w:val="24"/>
          <w:szCs w:val="24"/>
        </w:rPr>
      </w:pPr>
      <w:r w:rsidRPr="009117B1">
        <w:rPr>
          <w:sz w:val="24"/>
          <w:szCs w:val="24"/>
        </w:rPr>
        <w:t xml:space="preserve">Изключително важно до 2020 г. е да се положат основите на иновативни решения, както и да се подобри подготовката на кадрите за отрасъла. В този смисъл от съществена важност е да бъдат подкрепени инициативи за научни изследвания и подобряване на образователната подготовка на младежите, които ще бъдат бъдещите кадри в отрасъла. Тук е необходимо да бъдат осигурени средства от </w:t>
      </w:r>
      <w:r w:rsidR="00F46407">
        <w:rPr>
          <w:sz w:val="24"/>
          <w:szCs w:val="24"/>
        </w:rPr>
        <w:t>О</w:t>
      </w:r>
      <w:r w:rsidRPr="009117B1">
        <w:rPr>
          <w:sz w:val="24"/>
          <w:szCs w:val="24"/>
        </w:rPr>
        <w:t xml:space="preserve">перативна програма </w:t>
      </w:r>
      <w:r w:rsidR="00F46407">
        <w:rPr>
          <w:sz w:val="24"/>
          <w:szCs w:val="24"/>
        </w:rPr>
        <w:t>„</w:t>
      </w:r>
      <w:r w:rsidRPr="009117B1">
        <w:rPr>
          <w:sz w:val="24"/>
          <w:szCs w:val="24"/>
        </w:rPr>
        <w:t>Наука и образование за интелигентен растеж</w:t>
      </w:r>
      <w:r w:rsidR="00F46407">
        <w:rPr>
          <w:sz w:val="24"/>
          <w:szCs w:val="24"/>
        </w:rPr>
        <w:t>“</w:t>
      </w:r>
      <w:r w:rsidRPr="009117B1">
        <w:rPr>
          <w:sz w:val="24"/>
          <w:szCs w:val="24"/>
        </w:rPr>
        <w:t>.</w:t>
      </w:r>
    </w:p>
    <w:p w14:paraId="6312CD32" w14:textId="77777777" w:rsidR="002545AE" w:rsidRPr="009117B1" w:rsidRDefault="002545AE" w:rsidP="002545AE">
      <w:pPr>
        <w:pStyle w:val="a0"/>
        <w:shd w:val="clear" w:color="auto" w:fill="auto"/>
        <w:tabs>
          <w:tab w:val="left" w:pos="265"/>
        </w:tabs>
        <w:spacing w:after="60" w:line="254" w:lineRule="exact"/>
        <w:ind w:right="20" w:firstLine="0"/>
        <w:rPr>
          <w:sz w:val="24"/>
          <w:szCs w:val="24"/>
        </w:rPr>
      </w:pPr>
    </w:p>
    <w:p w14:paraId="6356F498" w14:textId="77777777" w:rsidR="009117B1" w:rsidRPr="009117B1" w:rsidRDefault="00723AAA" w:rsidP="009117B1">
      <w:pPr>
        <w:pStyle w:val="ListParagraph"/>
        <w:tabs>
          <w:tab w:val="left" w:pos="360"/>
          <w:tab w:val="left" w:pos="540"/>
        </w:tabs>
        <w:spacing w:before="120" w:after="0" w:line="240" w:lineRule="auto"/>
        <w:ind w:left="0"/>
        <w:jc w:val="both"/>
        <w:rPr>
          <w:rFonts w:ascii="Times New Roman" w:hAnsi="Times New Roman"/>
          <w:sz w:val="24"/>
          <w:szCs w:val="24"/>
          <w:lang w:val="ru-RU"/>
        </w:rPr>
      </w:pPr>
      <w:r>
        <w:rPr>
          <w:rFonts w:ascii="Times New Roman" w:hAnsi="Times New Roman"/>
          <w:sz w:val="24"/>
          <w:szCs w:val="24"/>
        </w:rPr>
        <w:tab/>
      </w:r>
      <w:r w:rsidR="009117B1" w:rsidRPr="009117B1">
        <w:rPr>
          <w:rFonts w:ascii="Times New Roman" w:hAnsi="Times New Roman"/>
          <w:sz w:val="24"/>
          <w:szCs w:val="24"/>
        </w:rPr>
        <w:t>Публичният сектор може да подпомогне поддържането на частните инициативи в областта. Това може да стане, чрез стимулиране и подкрепа за употребата на природен газ за моторно гориво, в области като: обществено организиран транспорт, транспорт в дейностите по сметоизвозване, както и в служебния транспорт на общинските фирми. Подкрепа може да бъде оказана и от държавния сектор, например чрез преминаване на час</w:t>
      </w:r>
      <w:r w:rsidR="00BB383D">
        <w:rPr>
          <w:rFonts w:ascii="Times New Roman" w:hAnsi="Times New Roman"/>
          <w:sz w:val="24"/>
          <w:szCs w:val="24"/>
        </w:rPr>
        <w:t>т от автопарка на органите на публичната администрация</w:t>
      </w:r>
      <w:r w:rsidR="009117B1" w:rsidRPr="009117B1">
        <w:rPr>
          <w:rFonts w:ascii="Times New Roman" w:hAnsi="Times New Roman"/>
          <w:sz w:val="24"/>
          <w:szCs w:val="24"/>
        </w:rPr>
        <w:t xml:space="preserve"> </w:t>
      </w:r>
      <w:r w:rsidR="009117B1" w:rsidRPr="009117B1">
        <w:rPr>
          <w:rFonts w:ascii="Times New Roman" w:hAnsi="Times New Roman"/>
          <w:sz w:val="24"/>
          <w:szCs w:val="24"/>
          <w:lang w:val="ru-RU"/>
        </w:rPr>
        <w:t xml:space="preserve">към употреба на природен газ. </w:t>
      </w:r>
    </w:p>
    <w:p w14:paraId="19F2479C" w14:textId="77777777" w:rsidR="009117B1" w:rsidRPr="009117B1" w:rsidRDefault="00723AAA"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117B1" w:rsidRPr="009117B1">
        <w:rPr>
          <w:rFonts w:ascii="Times New Roman" w:eastAsia="Calibri" w:hAnsi="Times New Roman" w:cs="Times New Roman"/>
          <w:sz w:val="24"/>
          <w:szCs w:val="24"/>
        </w:rPr>
        <w:t xml:space="preserve">Публичният сектор може да насърчи употребата на природен газ, чрез различен пакет от мерки, като например: </w:t>
      </w:r>
    </w:p>
    <w:p w14:paraId="7EB1DDB8"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p>
    <w:p w14:paraId="0893E8F0" w14:textId="77777777" w:rsidR="009117B1" w:rsidRPr="009117B1" w:rsidRDefault="009117B1" w:rsidP="009117B1">
      <w:pPr>
        <w:numPr>
          <w:ilvl w:val="0"/>
          <w:numId w:val="35"/>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осигуряване на п</w:t>
      </w:r>
      <w:r w:rsidRPr="009117B1">
        <w:rPr>
          <w:rFonts w:ascii="Times New Roman" w:eastAsia="Calibri" w:hAnsi="Times New Roman" w:cs="Times New Roman"/>
          <w:iCs/>
          <w:sz w:val="24"/>
          <w:szCs w:val="24"/>
        </w:rPr>
        <w:t>референции в зони със специален режим за паркиране (безплатно паркиране, платено паркиране, но с удължено времетраене или съчетание от двете;</w:t>
      </w:r>
    </w:p>
    <w:p w14:paraId="2D5BF3DD" w14:textId="77777777" w:rsidR="009117B1" w:rsidRPr="009117B1" w:rsidRDefault="009117B1" w:rsidP="009117B1">
      <w:pPr>
        <w:tabs>
          <w:tab w:val="left" w:pos="360"/>
        </w:tabs>
        <w:spacing w:before="120" w:after="0" w:line="240" w:lineRule="auto"/>
        <w:ind w:left="360"/>
        <w:contextualSpacing/>
        <w:jc w:val="both"/>
        <w:rPr>
          <w:rFonts w:ascii="Times New Roman" w:eastAsia="Calibri" w:hAnsi="Times New Roman" w:cs="Times New Roman"/>
          <w:sz w:val="24"/>
          <w:szCs w:val="24"/>
        </w:rPr>
      </w:pPr>
    </w:p>
    <w:p w14:paraId="3BA7335C" w14:textId="77777777" w:rsidR="009117B1" w:rsidRPr="009117B1" w:rsidRDefault="009117B1" w:rsidP="009117B1">
      <w:pPr>
        <w:numPr>
          <w:ilvl w:val="0"/>
          <w:numId w:val="35"/>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lastRenderedPageBreak/>
        <w:t>п</w:t>
      </w:r>
      <w:r w:rsidRPr="009117B1">
        <w:rPr>
          <w:rFonts w:ascii="Times New Roman" w:eastAsia="Calibri" w:hAnsi="Times New Roman" w:cs="Times New Roman"/>
          <w:iCs/>
          <w:sz w:val="24"/>
          <w:szCs w:val="24"/>
        </w:rPr>
        <w:t>ри провеждане на обществени поръчки по ЗОП с предмет „транспортни услуги”, фирмите използващи превозни средства на природен газ, да получават бонус в оценката;</w:t>
      </w:r>
    </w:p>
    <w:p w14:paraId="186A349B" w14:textId="77777777" w:rsidR="009117B1" w:rsidRPr="009117B1" w:rsidRDefault="009117B1" w:rsidP="009117B1">
      <w:pPr>
        <w:tabs>
          <w:tab w:val="left" w:pos="360"/>
        </w:tabs>
        <w:spacing w:before="120" w:after="0" w:line="240" w:lineRule="auto"/>
        <w:contextualSpacing/>
        <w:jc w:val="both"/>
        <w:rPr>
          <w:rFonts w:ascii="Times New Roman" w:eastAsia="Calibri" w:hAnsi="Times New Roman" w:cs="Times New Roman"/>
          <w:sz w:val="24"/>
          <w:szCs w:val="24"/>
        </w:rPr>
      </w:pPr>
    </w:p>
    <w:p w14:paraId="3D70CC2A" w14:textId="77777777" w:rsidR="009117B1" w:rsidRPr="009117B1" w:rsidRDefault="009117B1" w:rsidP="009117B1">
      <w:pPr>
        <w:numPr>
          <w:ilvl w:val="0"/>
          <w:numId w:val="35"/>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iCs/>
          <w:sz w:val="24"/>
          <w:szCs w:val="24"/>
        </w:rPr>
        <w:t>други.</w:t>
      </w:r>
    </w:p>
    <w:p w14:paraId="2B554764" w14:textId="77777777" w:rsidR="009117B1" w:rsidRPr="009117B1" w:rsidRDefault="00723AAA" w:rsidP="009117B1">
      <w:pPr>
        <w:tabs>
          <w:tab w:val="left" w:pos="360"/>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sidR="009117B1" w:rsidRPr="009117B1">
        <w:rPr>
          <w:rFonts w:ascii="Times New Roman" w:hAnsi="Times New Roman"/>
          <w:sz w:val="24"/>
          <w:szCs w:val="24"/>
        </w:rPr>
        <w:t xml:space="preserve">Наличието на консорциумни споразумения между частни и публични партньори, би спомогнало за изграждането на пазара и търсенето, а това от своя страна да обоснове инвестициите в инфраструктура </w:t>
      </w:r>
      <w:r w:rsidR="009117B1" w:rsidRPr="009117B1">
        <w:rPr>
          <w:rFonts w:ascii="Times New Roman" w:hAnsi="Times New Roman"/>
          <w:sz w:val="24"/>
          <w:szCs w:val="24"/>
          <w:lang w:val="ru-RU"/>
        </w:rPr>
        <w:t>(станции за компресиран и втечнен природен газ) за предлагането.</w:t>
      </w:r>
      <w:r w:rsidR="009117B1" w:rsidRPr="009117B1">
        <w:rPr>
          <w:rFonts w:ascii="Times New Roman" w:hAnsi="Times New Roman"/>
          <w:sz w:val="24"/>
          <w:szCs w:val="24"/>
        </w:rPr>
        <w:t xml:space="preserve"> Например консорциум между частни инвеститори и общината, която определя и възлага определен % от обществения транспорт, за изпълнение с превозни средства използващи природен газ. </w:t>
      </w:r>
    </w:p>
    <w:p w14:paraId="01A0A2E5"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Предоставянето на целеви финансови инструменти на ЕС, в т.ч.:</w:t>
      </w:r>
    </w:p>
    <w:p w14:paraId="0A95DD52"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 xml:space="preserve">        </w:t>
      </w:r>
    </w:p>
    <w:p w14:paraId="32585A20" w14:textId="77777777" w:rsidR="009117B1" w:rsidRPr="009117B1" w:rsidRDefault="009117B1" w:rsidP="009117B1">
      <w:pPr>
        <w:numPr>
          <w:ilvl w:val="0"/>
          <w:numId w:val="36"/>
        </w:num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грантово финансиране чрез финансовите инструменти на оперативните програми и кохезионния фонд;</w:t>
      </w:r>
    </w:p>
    <w:p w14:paraId="0286399C"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p>
    <w:p w14:paraId="725CC570" w14:textId="77777777" w:rsidR="009117B1" w:rsidRPr="00F46407" w:rsidRDefault="009117B1" w:rsidP="006D09E6">
      <w:pPr>
        <w:numPr>
          <w:ilvl w:val="0"/>
          <w:numId w:val="36"/>
        </w:num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F46407">
        <w:rPr>
          <w:rFonts w:ascii="Times New Roman" w:eastAsia="Calibri" w:hAnsi="Times New Roman" w:cs="Times New Roman"/>
          <w:sz w:val="24"/>
          <w:szCs w:val="24"/>
        </w:rPr>
        <w:t xml:space="preserve">нисколихвено финансиране от „специален насърчителен фонд”, осигурявано чрез Българската банка за развитие,ще спомогне за поддържане на инвестициите в инфраструктурата за алтернативни горива. </w:t>
      </w:r>
    </w:p>
    <w:p w14:paraId="6C0F3EE1" w14:textId="77777777" w:rsidR="009117B1" w:rsidRPr="009117B1" w:rsidRDefault="009117B1" w:rsidP="009117B1">
      <w:pPr>
        <w:tabs>
          <w:tab w:val="left" w:pos="360"/>
          <w:tab w:val="left" w:pos="540"/>
        </w:tabs>
        <w:spacing w:before="120" w:after="0" w:line="240" w:lineRule="auto"/>
        <w:ind w:left="720"/>
        <w:contextualSpacing/>
        <w:jc w:val="both"/>
        <w:rPr>
          <w:rFonts w:ascii="Times New Roman" w:eastAsia="Calibri" w:hAnsi="Times New Roman" w:cs="Times New Roman"/>
          <w:sz w:val="24"/>
          <w:szCs w:val="24"/>
        </w:rPr>
      </w:pPr>
    </w:p>
    <w:p w14:paraId="1FEC272A"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 xml:space="preserve">Финансовите инструменти следва да бъдат предназначени за: </w:t>
      </w:r>
    </w:p>
    <w:p w14:paraId="41A73F9D"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p>
    <w:p w14:paraId="48403D35" w14:textId="77777777" w:rsidR="009117B1" w:rsidRPr="009117B1" w:rsidRDefault="009117B1" w:rsidP="009117B1">
      <w:pPr>
        <w:numPr>
          <w:ilvl w:val="0"/>
          <w:numId w:val="37"/>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 xml:space="preserve">изграждането на станции за компресиран </w:t>
      </w:r>
      <w:r w:rsidRPr="009117B1">
        <w:rPr>
          <w:rFonts w:ascii="Times New Roman" w:eastAsia="Calibri" w:hAnsi="Times New Roman" w:cs="Times New Roman"/>
          <w:sz w:val="24"/>
          <w:szCs w:val="24"/>
          <w:lang w:val="ru-RU"/>
        </w:rPr>
        <w:t>(</w:t>
      </w:r>
      <w:r w:rsidRPr="009117B1">
        <w:rPr>
          <w:rFonts w:ascii="Times New Roman" w:eastAsia="Calibri" w:hAnsi="Times New Roman" w:cs="Times New Roman"/>
          <w:sz w:val="24"/>
          <w:szCs w:val="24"/>
        </w:rPr>
        <w:t>в т.ч. и станции без достъп до газопреносната и газоразпределителната мрежа – дъщерни станции</w:t>
      </w:r>
      <w:r w:rsidRPr="009117B1">
        <w:rPr>
          <w:rFonts w:ascii="Times New Roman" w:eastAsia="Calibri" w:hAnsi="Times New Roman" w:cs="Times New Roman"/>
          <w:sz w:val="24"/>
          <w:szCs w:val="24"/>
          <w:lang w:val="ru-RU"/>
        </w:rPr>
        <w:t xml:space="preserve">) </w:t>
      </w:r>
      <w:r w:rsidRPr="009117B1">
        <w:rPr>
          <w:rFonts w:ascii="Times New Roman" w:eastAsia="Calibri" w:hAnsi="Times New Roman" w:cs="Times New Roman"/>
          <w:sz w:val="24"/>
          <w:szCs w:val="24"/>
        </w:rPr>
        <w:t>и втечнен природен газ;</w:t>
      </w:r>
    </w:p>
    <w:p w14:paraId="6378E58E" w14:textId="77777777" w:rsidR="009117B1" w:rsidRPr="009117B1" w:rsidRDefault="009117B1" w:rsidP="009117B1">
      <w:pPr>
        <w:tabs>
          <w:tab w:val="left" w:pos="360"/>
        </w:tabs>
        <w:spacing w:before="120" w:after="0" w:line="240" w:lineRule="auto"/>
        <w:ind w:left="360"/>
        <w:contextualSpacing/>
        <w:jc w:val="both"/>
        <w:rPr>
          <w:rFonts w:ascii="Times New Roman" w:eastAsia="Calibri" w:hAnsi="Times New Roman" w:cs="Times New Roman"/>
          <w:sz w:val="24"/>
          <w:szCs w:val="24"/>
        </w:rPr>
      </w:pPr>
    </w:p>
    <w:p w14:paraId="300B677B" w14:textId="77777777" w:rsidR="009117B1" w:rsidRPr="009117B1" w:rsidRDefault="009117B1" w:rsidP="009117B1">
      <w:pPr>
        <w:numPr>
          <w:ilvl w:val="0"/>
          <w:numId w:val="37"/>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подкрепа за проекти, свързани с из</w:t>
      </w:r>
      <w:r w:rsidRPr="009117B1">
        <w:rPr>
          <w:rFonts w:ascii="Times New Roman" w:eastAsia="Calibri" w:hAnsi="Times New Roman" w:cs="Times New Roman"/>
          <w:iCs/>
          <w:sz w:val="24"/>
          <w:szCs w:val="24"/>
        </w:rPr>
        <w:t>раждането на станции за втечнен природен газ и компресорни станции отдалечени от газопреносната и газоразпределителната мрежа;</w:t>
      </w:r>
    </w:p>
    <w:p w14:paraId="408DACEE" w14:textId="77777777" w:rsidR="009117B1" w:rsidRPr="009117B1" w:rsidRDefault="009117B1" w:rsidP="009117B1">
      <w:pPr>
        <w:tabs>
          <w:tab w:val="left" w:pos="360"/>
        </w:tabs>
        <w:spacing w:before="120" w:after="0" w:line="240" w:lineRule="auto"/>
        <w:contextualSpacing/>
        <w:jc w:val="both"/>
        <w:rPr>
          <w:rFonts w:ascii="Times New Roman" w:eastAsia="Calibri" w:hAnsi="Times New Roman" w:cs="Times New Roman"/>
          <w:sz w:val="24"/>
          <w:szCs w:val="24"/>
        </w:rPr>
      </w:pPr>
    </w:p>
    <w:p w14:paraId="162FF8BC" w14:textId="77777777" w:rsidR="009117B1" w:rsidRPr="009117B1" w:rsidRDefault="009117B1" w:rsidP="009117B1">
      <w:pPr>
        <w:numPr>
          <w:ilvl w:val="0"/>
          <w:numId w:val="37"/>
        </w:numPr>
        <w:tabs>
          <w:tab w:val="left" w:pos="360"/>
          <w:tab w:val="num" w:pos="540"/>
        </w:tabs>
        <w:spacing w:before="120" w:after="0" w:line="240" w:lineRule="auto"/>
        <w:ind w:left="540" w:hanging="180"/>
        <w:contextualSpacing/>
        <w:jc w:val="both"/>
        <w:rPr>
          <w:rFonts w:ascii="Times New Roman" w:eastAsia="Calibri" w:hAnsi="Times New Roman" w:cs="Times New Roman"/>
          <w:sz w:val="24"/>
          <w:szCs w:val="24"/>
        </w:rPr>
      </w:pPr>
      <w:r w:rsidRPr="009117B1">
        <w:rPr>
          <w:rFonts w:ascii="Times New Roman" w:eastAsia="Calibri" w:hAnsi="Times New Roman" w:cs="Times New Roman"/>
          <w:iCs/>
          <w:sz w:val="24"/>
          <w:szCs w:val="24"/>
        </w:rPr>
        <w:t>по</w:t>
      </w:r>
      <w:r w:rsidRPr="009117B1">
        <w:rPr>
          <w:rFonts w:ascii="Times New Roman" w:eastAsia="Calibri" w:hAnsi="Times New Roman" w:cs="Times New Roman"/>
          <w:sz w:val="24"/>
          <w:szCs w:val="24"/>
        </w:rPr>
        <w:t>дпомагане на пилотни проекти за развитие употребата на природен газ като моторно гориво в нови потребителски групи в: междуградските, крайградските и международни автобусни превози, тежкотоварните превози, търговските, яхтените морски превози, както и търговските и атракционни речни превози.</w:t>
      </w:r>
    </w:p>
    <w:p w14:paraId="496608B5" w14:textId="77777777" w:rsidR="009117B1" w:rsidRPr="009117B1" w:rsidRDefault="009117B1" w:rsidP="009117B1">
      <w:pPr>
        <w:tabs>
          <w:tab w:val="left" w:pos="360"/>
          <w:tab w:val="left" w:pos="540"/>
        </w:tabs>
        <w:spacing w:before="120" w:after="0" w:line="240" w:lineRule="auto"/>
        <w:ind w:left="360"/>
        <w:contextualSpacing/>
        <w:jc w:val="both"/>
        <w:rPr>
          <w:rFonts w:ascii="Times New Roman" w:eastAsia="Calibri" w:hAnsi="Times New Roman" w:cs="Times New Roman"/>
          <w:sz w:val="24"/>
          <w:szCs w:val="24"/>
        </w:rPr>
      </w:pPr>
    </w:p>
    <w:p w14:paraId="6A68DB5F" w14:textId="77777777" w:rsidR="009117B1" w:rsidRPr="009117B1" w:rsidRDefault="009117B1" w:rsidP="009117B1">
      <w:pPr>
        <w:tabs>
          <w:tab w:val="left" w:pos="360"/>
          <w:tab w:val="left" w:pos="540"/>
        </w:tabs>
        <w:spacing w:before="120" w:after="0" w:line="240" w:lineRule="auto"/>
        <w:contextualSpacing/>
        <w:jc w:val="both"/>
        <w:rPr>
          <w:rFonts w:ascii="Times New Roman" w:eastAsia="Calibri" w:hAnsi="Times New Roman" w:cs="Times New Roman"/>
          <w:sz w:val="24"/>
          <w:szCs w:val="24"/>
        </w:rPr>
      </w:pPr>
      <w:r w:rsidRPr="009117B1">
        <w:rPr>
          <w:rFonts w:ascii="Times New Roman" w:eastAsia="Calibri" w:hAnsi="Times New Roman" w:cs="Times New Roman"/>
          <w:sz w:val="24"/>
          <w:szCs w:val="24"/>
        </w:rPr>
        <w:t>В същото време тези инвестиции ще позволят да се създаде хармонизирана и равномерна инфраструктура за алтернативните горива, на ниво Е</w:t>
      </w:r>
      <w:r w:rsidR="002545AE">
        <w:rPr>
          <w:rFonts w:ascii="Times New Roman" w:eastAsia="Calibri" w:hAnsi="Times New Roman" w:cs="Times New Roman"/>
          <w:sz w:val="24"/>
          <w:szCs w:val="24"/>
        </w:rPr>
        <w:t>вропейски съюз</w:t>
      </w:r>
      <w:r w:rsidRPr="009117B1">
        <w:rPr>
          <w:rFonts w:ascii="Times New Roman" w:eastAsia="Calibri" w:hAnsi="Times New Roman" w:cs="Times New Roman"/>
          <w:sz w:val="24"/>
          <w:szCs w:val="24"/>
        </w:rPr>
        <w:t xml:space="preserve">. </w:t>
      </w:r>
    </w:p>
    <w:p w14:paraId="53B4C0A0" w14:textId="77777777" w:rsidR="009117B1" w:rsidRPr="009117B1" w:rsidRDefault="009117B1" w:rsidP="009117B1">
      <w:pPr>
        <w:spacing w:after="0"/>
        <w:jc w:val="both"/>
        <w:rPr>
          <w:rFonts w:ascii="Times New Roman" w:hAnsi="Times New Roman" w:cs="Times New Roman"/>
          <w:b/>
          <w:sz w:val="24"/>
          <w:szCs w:val="24"/>
        </w:rPr>
      </w:pPr>
    </w:p>
    <w:p w14:paraId="584E904B" w14:textId="77777777" w:rsidR="00C65F4F" w:rsidRDefault="00C65F4F" w:rsidP="00C65F4F">
      <w:pPr>
        <w:spacing w:after="0"/>
        <w:jc w:val="both"/>
        <w:rPr>
          <w:rFonts w:ascii="Times New Roman" w:hAnsi="Times New Roman" w:cs="Times New Roman"/>
          <w:sz w:val="24"/>
          <w:szCs w:val="24"/>
        </w:rPr>
      </w:pPr>
    </w:p>
    <w:p w14:paraId="590262BD" w14:textId="77777777" w:rsidR="00C65F4F" w:rsidRPr="00291605" w:rsidRDefault="00C65F4F" w:rsidP="00C65F4F">
      <w:pPr>
        <w:spacing w:after="0"/>
        <w:jc w:val="both"/>
        <w:rPr>
          <w:rFonts w:ascii="Times New Roman" w:hAnsi="Times New Roman" w:cs="Times New Roman"/>
          <w:b/>
          <w:sz w:val="24"/>
          <w:szCs w:val="24"/>
        </w:rPr>
      </w:pPr>
      <w:r>
        <w:rPr>
          <w:rFonts w:ascii="Times New Roman" w:hAnsi="Times New Roman" w:cs="Times New Roman"/>
          <w:b/>
          <w:sz w:val="24"/>
          <w:szCs w:val="24"/>
        </w:rPr>
        <w:t>12.</w:t>
      </w:r>
      <w:r w:rsidR="006B5C5B">
        <w:rPr>
          <w:rFonts w:ascii="Times New Roman" w:hAnsi="Times New Roman" w:cs="Times New Roman"/>
          <w:b/>
          <w:sz w:val="24"/>
          <w:szCs w:val="24"/>
        </w:rPr>
        <w:t xml:space="preserve"> </w:t>
      </w:r>
      <w:r w:rsidR="003A665F">
        <w:rPr>
          <w:rFonts w:ascii="Times New Roman" w:hAnsi="Times New Roman" w:cs="Times New Roman"/>
          <w:b/>
          <w:sz w:val="24"/>
          <w:szCs w:val="24"/>
        </w:rPr>
        <w:t xml:space="preserve">Прогнози </w:t>
      </w:r>
      <w:r w:rsidRPr="00291605">
        <w:rPr>
          <w:rFonts w:ascii="Times New Roman" w:hAnsi="Times New Roman" w:cs="Times New Roman"/>
          <w:b/>
          <w:sz w:val="24"/>
          <w:szCs w:val="24"/>
        </w:rPr>
        <w:t>и мерки по отношение на наземното електроснабдяване в морските пристанища и пристанищата по вътрешните водни пътища</w:t>
      </w:r>
    </w:p>
    <w:p w14:paraId="4B92D02A" w14:textId="77777777" w:rsidR="00291605" w:rsidRPr="00291605" w:rsidRDefault="00291605" w:rsidP="00291605">
      <w:pPr>
        <w:jc w:val="both"/>
        <w:rPr>
          <w:rFonts w:ascii="Times New Roman" w:hAnsi="Times New Roman" w:cs="Times New Roman"/>
          <w:i/>
          <w:sz w:val="24"/>
          <w:szCs w:val="24"/>
          <w:lang w:val="ru-RU"/>
        </w:rPr>
      </w:pPr>
      <w:r w:rsidRPr="00291605">
        <w:rPr>
          <w:rFonts w:ascii="Times New Roman" w:hAnsi="Times New Roman" w:cs="Times New Roman"/>
          <w:i/>
          <w:sz w:val="24"/>
          <w:szCs w:val="24"/>
          <w:lang w:val="ru-RU"/>
        </w:rPr>
        <w:t>Национални краткосрочни и дългосрочни цели</w:t>
      </w:r>
    </w:p>
    <w:p w14:paraId="5A48BD7D" w14:textId="77777777" w:rsidR="00291605" w:rsidRPr="00291605" w:rsidRDefault="00291605" w:rsidP="006D09E6">
      <w:pPr>
        <w:ind w:firstLine="708"/>
        <w:jc w:val="both"/>
        <w:rPr>
          <w:rFonts w:ascii="Times New Roman" w:hAnsi="Times New Roman" w:cs="Times New Roman"/>
          <w:sz w:val="24"/>
          <w:szCs w:val="24"/>
        </w:rPr>
      </w:pPr>
      <w:r w:rsidRPr="00291605">
        <w:rPr>
          <w:rFonts w:ascii="Times New Roman" w:hAnsi="Times New Roman" w:cs="Times New Roman"/>
          <w:sz w:val="24"/>
          <w:szCs w:val="24"/>
        </w:rPr>
        <w:t xml:space="preserve">Доколкото анализът на съществуващото положение показва, че на голяма част от пристанищата, обхванати от основната и широкообхватната </w:t>
      </w:r>
      <w:r w:rsidRPr="00291605">
        <w:rPr>
          <w:rFonts w:ascii="Times New Roman" w:hAnsi="Times New Roman" w:cs="Times New Roman"/>
          <w:sz w:val="24"/>
          <w:szCs w:val="24"/>
          <w:lang w:val="en-US"/>
        </w:rPr>
        <w:t>TEN</w:t>
      </w:r>
      <w:r w:rsidRPr="00291605">
        <w:rPr>
          <w:rFonts w:ascii="Times New Roman" w:hAnsi="Times New Roman" w:cs="Times New Roman"/>
          <w:sz w:val="24"/>
          <w:szCs w:val="24"/>
          <w:lang w:val="ru-RU"/>
        </w:rPr>
        <w:t>-</w:t>
      </w:r>
      <w:r w:rsidRPr="00291605">
        <w:rPr>
          <w:rFonts w:ascii="Times New Roman" w:hAnsi="Times New Roman" w:cs="Times New Roman"/>
          <w:sz w:val="24"/>
          <w:szCs w:val="24"/>
          <w:lang w:val="en-US"/>
        </w:rPr>
        <w:t>T</w:t>
      </w:r>
      <w:r w:rsidRPr="00291605">
        <w:rPr>
          <w:rFonts w:ascii="Times New Roman" w:hAnsi="Times New Roman" w:cs="Times New Roman"/>
          <w:sz w:val="24"/>
          <w:szCs w:val="24"/>
        </w:rPr>
        <w:t xml:space="preserve"> мрежа, са изградени инсталации за предоставяне на брегово електроснабдяване на корабите, следва да се проучи необходимостта от модернизиране на тези инсталации по отношение възможностите за едновременно снабдяване на всички кораби в пристанищата и необходимата мощност както обща, така и на всяка отделна точка в зависимост на нуждите, типа и големината на корабите, посещаващи пристанищата. В резултат на това </w:t>
      </w:r>
      <w:r w:rsidRPr="00291605">
        <w:rPr>
          <w:rFonts w:ascii="Times New Roman" w:hAnsi="Times New Roman" w:cs="Times New Roman"/>
          <w:sz w:val="24"/>
          <w:szCs w:val="24"/>
        </w:rPr>
        <w:lastRenderedPageBreak/>
        <w:t xml:space="preserve">проучване следва да се идентифицират приоритетите за ремонт и изграждане на точки, като изграждането на съответното оборудване е необходимо да се извърши при спазване на заложените стандарти. Тези технически изисквания и стандарти следва да се отразят в българското законодателство. </w:t>
      </w:r>
      <w:r w:rsidRPr="00291605">
        <w:rPr>
          <w:rFonts w:ascii="Times New Roman" w:hAnsi="Times New Roman" w:cs="Times New Roman"/>
          <w:sz w:val="24"/>
          <w:szCs w:val="24"/>
        </w:rPr>
        <w:tab/>
      </w:r>
    </w:p>
    <w:p w14:paraId="339A4345" w14:textId="77777777" w:rsidR="00291605" w:rsidRPr="00291605" w:rsidRDefault="00291605" w:rsidP="006D09E6">
      <w:pPr>
        <w:spacing w:after="120" w:line="240" w:lineRule="auto"/>
        <w:ind w:firstLine="709"/>
        <w:jc w:val="both"/>
        <w:rPr>
          <w:rFonts w:ascii="Times New Roman" w:hAnsi="Times New Roman" w:cs="Times New Roman"/>
          <w:sz w:val="24"/>
          <w:szCs w:val="24"/>
        </w:rPr>
      </w:pPr>
      <w:r w:rsidRPr="00291605">
        <w:rPr>
          <w:rFonts w:ascii="Times New Roman" w:hAnsi="Times New Roman" w:cs="Times New Roman"/>
          <w:sz w:val="24"/>
          <w:szCs w:val="24"/>
          <w:lang w:val="ru-RU"/>
        </w:rPr>
        <w:t xml:space="preserve">По данни до края на 2015 г. на голяма част от пристанищата и пристанищните терминали е създадена организация за предоставяне на електроенергия от брега. </w:t>
      </w:r>
      <w:r w:rsidRPr="00291605">
        <w:rPr>
          <w:rFonts w:ascii="Times New Roman" w:hAnsi="Times New Roman" w:cs="Times New Roman"/>
          <w:sz w:val="24"/>
          <w:szCs w:val="24"/>
        </w:rPr>
        <w:t xml:space="preserve">Бреговото електроснабдяване се инсталира приоритетно в пристанищата от основната </w:t>
      </w:r>
      <w:r w:rsidRPr="00291605">
        <w:rPr>
          <w:rFonts w:ascii="Times New Roman" w:hAnsi="Times New Roman" w:cs="Times New Roman"/>
          <w:sz w:val="24"/>
          <w:szCs w:val="24"/>
          <w:lang w:val="en-US"/>
        </w:rPr>
        <w:t>TEN</w:t>
      </w:r>
      <w:r w:rsidRPr="00291605">
        <w:rPr>
          <w:rFonts w:ascii="Times New Roman" w:hAnsi="Times New Roman" w:cs="Times New Roman"/>
          <w:sz w:val="24"/>
          <w:szCs w:val="24"/>
          <w:lang w:val="ru-RU"/>
        </w:rPr>
        <w:t>-</w:t>
      </w:r>
      <w:r w:rsidRPr="00291605">
        <w:rPr>
          <w:rFonts w:ascii="Times New Roman" w:hAnsi="Times New Roman" w:cs="Times New Roman"/>
          <w:sz w:val="24"/>
          <w:szCs w:val="24"/>
          <w:lang w:val="en-US"/>
        </w:rPr>
        <w:t>T</w:t>
      </w:r>
      <w:r w:rsidRPr="00291605">
        <w:rPr>
          <w:rFonts w:ascii="Times New Roman" w:hAnsi="Times New Roman" w:cs="Times New Roman"/>
          <w:sz w:val="24"/>
          <w:szCs w:val="24"/>
        </w:rPr>
        <w:t xml:space="preserve"> мрежа и в другите пристанища </w:t>
      </w:r>
      <w:r w:rsidRPr="00291605">
        <w:rPr>
          <w:rFonts w:ascii="Times New Roman" w:hAnsi="Times New Roman" w:cs="Times New Roman"/>
          <w:b/>
          <w:sz w:val="24"/>
          <w:szCs w:val="24"/>
        </w:rPr>
        <w:t>до 31 декември 2025 г.</w:t>
      </w:r>
      <w:r w:rsidRPr="00291605">
        <w:rPr>
          <w:rFonts w:ascii="Times New Roman" w:hAnsi="Times New Roman" w:cs="Times New Roman"/>
          <w:sz w:val="24"/>
          <w:szCs w:val="24"/>
        </w:rPr>
        <w:t xml:space="preserve"> </w:t>
      </w:r>
    </w:p>
    <w:p w14:paraId="40138642" w14:textId="77777777" w:rsidR="00291605" w:rsidRPr="00291605" w:rsidRDefault="00291605" w:rsidP="006D09E6">
      <w:pPr>
        <w:spacing w:after="120" w:line="240" w:lineRule="auto"/>
        <w:ind w:firstLine="709"/>
        <w:jc w:val="both"/>
        <w:rPr>
          <w:rFonts w:ascii="Times New Roman" w:hAnsi="Times New Roman" w:cs="Times New Roman"/>
          <w:sz w:val="24"/>
          <w:szCs w:val="24"/>
        </w:rPr>
      </w:pPr>
      <w:r w:rsidRPr="00291605">
        <w:rPr>
          <w:rFonts w:ascii="Times New Roman" w:hAnsi="Times New Roman" w:cs="Times New Roman"/>
          <w:sz w:val="24"/>
          <w:szCs w:val="24"/>
        </w:rPr>
        <w:t>Инсталациите за брегово електроснабдяване на морския транспорт, разгънати или обновени след</w:t>
      </w:r>
      <w:r w:rsidRPr="00291605">
        <w:rPr>
          <w:rFonts w:ascii="Times New Roman" w:hAnsi="Times New Roman" w:cs="Times New Roman"/>
          <w:sz w:val="24"/>
          <w:szCs w:val="24"/>
          <w:lang w:val="ru-RU"/>
        </w:rPr>
        <w:t xml:space="preserve"> след </w:t>
      </w:r>
      <w:r w:rsidRPr="00291605">
        <w:rPr>
          <w:rFonts w:ascii="Times New Roman" w:hAnsi="Times New Roman" w:cs="Times New Roman"/>
          <w:b/>
          <w:sz w:val="24"/>
          <w:szCs w:val="24"/>
          <w:lang w:val="ru-RU"/>
        </w:rPr>
        <w:t>18 ноември 2017 г.</w:t>
      </w:r>
      <w:r w:rsidRPr="00291605">
        <w:rPr>
          <w:rFonts w:ascii="Times New Roman" w:hAnsi="Times New Roman" w:cs="Times New Roman"/>
          <w:sz w:val="24"/>
          <w:szCs w:val="24"/>
          <w:lang w:val="ru-RU"/>
        </w:rPr>
        <w:t xml:space="preserve"> следва да отговарят на </w:t>
      </w:r>
      <w:r w:rsidRPr="00291605">
        <w:rPr>
          <w:rFonts w:ascii="Times New Roman" w:hAnsi="Times New Roman" w:cs="Times New Roman"/>
          <w:sz w:val="24"/>
          <w:szCs w:val="24"/>
        </w:rPr>
        <w:t>техническите спецификации, регламентирани в чл. 4, параграф 6 от Директива 2014/94/ЕС за разгръщането на инфраструктура за алтернативни горива.</w:t>
      </w:r>
    </w:p>
    <w:p w14:paraId="481263CC" w14:textId="77777777" w:rsidR="00291605" w:rsidRPr="00291605" w:rsidRDefault="00291605" w:rsidP="006D09E6">
      <w:pPr>
        <w:spacing w:after="120" w:line="240" w:lineRule="auto"/>
        <w:ind w:firstLine="709"/>
        <w:jc w:val="both"/>
        <w:rPr>
          <w:rFonts w:ascii="Times New Roman" w:hAnsi="Times New Roman" w:cs="Times New Roman"/>
          <w:sz w:val="24"/>
          <w:szCs w:val="24"/>
        </w:rPr>
      </w:pPr>
      <w:r w:rsidRPr="00291605">
        <w:rPr>
          <w:rFonts w:ascii="Times New Roman" w:hAnsi="Times New Roman" w:cs="Times New Roman"/>
          <w:sz w:val="24"/>
          <w:szCs w:val="24"/>
        </w:rPr>
        <w:t xml:space="preserve">Инсталирането на това оборудване не е задължително, при условие че не се регистрира търсене и разходите са несъразмерни по отношение на ползите, в това число и ползите за околната среда. </w:t>
      </w:r>
    </w:p>
    <w:p w14:paraId="048B7070" w14:textId="77777777" w:rsidR="00723AAA" w:rsidRDefault="00723AAA" w:rsidP="00291605">
      <w:pPr>
        <w:jc w:val="both"/>
        <w:rPr>
          <w:rFonts w:ascii="Times New Roman" w:hAnsi="Times New Roman" w:cs="Times New Roman"/>
          <w:i/>
          <w:sz w:val="24"/>
          <w:szCs w:val="24"/>
          <w:lang w:val="ru-RU"/>
        </w:rPr>
      </w:pPr>
    </w:p>
    <w:p w14:paraId="74653EAB" w14:textId="77777777" w:rsidR="003A665F" w:rsidRDefault="00291605" w:rsidP="00291605">
      <w:pPr>
        <w:jc w:val="both"/>
        <w:rPr>
          <w:rFonts w:ascii="Times New Roman" w:hAnsi="Times New Roman" w:cs="Times New Roman"/>
          <w:i/>
          <w:sz w:val="24"/>
          <w:szCs w:val="24"/>
          <w:lang w:val="ru-RU"/>
        </w:rPr>
      </w:pPr>
      <w:r w:rsidRPr="00291605">
        <w:rPr>
          <w:rFonts w:ascii="Times New Roman" w:hAnsi="Times New Roman" w:cs="Times New Roman"/>
          <w:i/>
          <w:sz w:val="24"/>
          <w:szCs w:val="24"/>
          <w:lang w:val="ru-RU"/>
        </w:rPr>
        <w:t xml:space="preserve">Необходими мерки за гарантиране на заложените национални краткосрочни и дългосрочни цели </w:t>
      </w:r>
    </w:p>
    <w:p w14:paraId="6B2218FC" w14:textId="77777777" w:rsidR="00291605" w:rsidRPr="00291605" w:rsidRDefault="00291605" w:rsidP="006D09E6">
      <w:pPr>
        <w:spacing w:after="120" w:line="240" w:lineRule="auto"/>
        <w:ind w:firstLine="708"/>
        <w:jc w:val="both"/>
        <w:rPr>
          <w:rFonts w:ascii="Times New Roman" w:hAnsi="Times New Roman" w:cs="Times New Roman"/>
          <w:sz w:val="24"/>
          <w:szCs w:val="24"/>
        </w:rPr>
      </w:pPr>
      <w:r w:rsidRPr="00291605">
        <w:rPr>
          <w:rFonts w:ascii="Times New Roman" w:hAnsi="Times New Roman" w:cs="Times New Roman"/>
          <w:sz w:val="24"/>
          <w:szCs w:val="24"/>
          <w:lang w:val="ru-RU"/>
        </w:rPr>
        <w:t xml:space="preserve">Тъй като на голяма част от пристанищата и пристанищните терминали електроснабдяването на кораби от брега се предоставя, следва да се осигури устойчиво предлагане на тази услуга чрез </w:t>
      </w:r>
      <w:r w:rsidRPr="00291605">
        <w:rPr>
          <w:rFonts w:ascii="Times New Roman" w:hAnsi="Times New Roman" w:cs="Times New Roman"/>
          <w:sz w:val="24"/>
          <w:szCs w:val="24"/>
        </w:rPr>
        <w:t>въвеждането в националното законодателство на съответните стандарти и технически спецификации за бреговото електроснабдяване за кораби, плаващи по море и брегово електроснабдяване за плавателни съдове по вътрешни водни пътища. Към настоящия момент е определено, че бреговото електроснабдяване за кораби, плаващи по море, както и проектирането, монтажът и изпитването на системите, трябва да отговарят на техническите спецификации, регламентирани в чл. 4, параграф 6 от Директива 2014/94/ЕС за разгръщането на инфраструктура за алтернативни горива. Инсталациите за брегово електроснабдяване на морския транспорт, разгънати или обновени след</w:t>
      </w:r>
      <w:r w:rsidRPr="00291605">
        <w:rPr>
          <w:rFonts w:ascii="Times New Roman" w:hAnsi="Times New Roman" w:cs="Times New Roman"/>
          <w:sz w:val="24"/>
          <w:szCs w:val="24"/>
          <w:lang w:val="ru-RU"/>
        </w:rPr>
        <w:t xml:space="preserve"> след </w:t>
      </w:r>
      <w:r w:rsidRPr="00291605">
        <w:rPr>
          <w:rFonts w:ascii="Times New Roman" w:hAnsi="Times New Roman" w:cs="Times New Roman"/>
          <w:b/>
          <w:sz w:val="24"/>
          <w:szCs w:val="24"/>
          <w:lang w:val="ru-RU"/>
        </w:rPr>
        <w:t>18 ноември 2017 г.</w:t>
      </w:r>
      <w:r w:rsidRPr="00291605">
        <w:rPr>
          <w:rFonts w:ascii="Times New Roman" w:hAnsi="Times New Roman" w:cs="Times New Roman"/>
          <w:sz w:val="24"/>
          <w:szCs w:val="24"/>
          <w:lang w:val="ru-RU"/>
        </w:rPr>
        <w:t xml:space="preserve"> следва да отговарят на </w:t>
      </w:r>
      <w:r w:rsidRPr="00291605">
        <w:rPr>
          <w:rFonts w:ascii="Times New Roman" w:hAnsi="Times New Roman" w:cs="Times New Roman"/>
          <w:sz w:val="24"/>
          <w:szCs w:val="24"/>
        </w:rPr>
        <w:t xml:space="preserve">стандарт </w:t>
      </w:r>
      <w:r w:rsidRPr="00291605">
        <w:rPr>
          <w:rFonts w:ascii="Times New Roman" w:hAnsi="Times New Roman" w:cs="Times New Roman"/>
          <w:sz w:val="24"/>
          <w:szCs w:val="24"/>
          <w:lang w:val="en-US"/>
        </w:rPr>
        <w:t>IEC</w:t>
      </w:r>
      <w:r w:rsidRPr="00291605">
        <w:rPr>
          <w:rFonts w:ascii="Times New Roman" w:hAnsi="Times New Roman" w:cs="Times New Roman"/>
          <w:sz w:val="24"/>
          <w:szCs w:val="24"/>
          <w:lang w:val="ru-RU"/>
        </w:rPr>
        <w:t>/</w:t>
      </w:r>
      <w:r w:rsidRPr="00291605">
        <w:rPr>
          <w:rFonts w:ascii="Times New Roman" w:hAnsi="Times New Roman" w:cs="Times New Roman"/>
          <w:sz w:val="24"/>
          <w:szCs w:val="24"/>
          <w:lang w:val="en-US"/>
        </w:rPr>
        <w:t>ISO</w:t>
      </w:r>
      <w:r w:rsidRPr="00291605">
        <w:rPr>
          <w:rFonts w:ascii="Times New Roman" w:hAnsi="Times New Roman" w:cs="Times New Roman"/>
          <w:sz w:val="24"/>
          <w:szCs w:val="24"/>
          <w:lang w:val="ru-RU"/>
        </w:rPr>
        <w:t>/</w:t>
      </w:r>
      <w:r w:rsidRPr="00291605">
        <w:rPr>
          <w:rFonts w:ascii="Times New Roman" w:hAnsi="Times New Roman" w:cs="Times New Roman"/>
          <w:sz w:val="24"/>
          <w:szCs w:val="24"/>
          <w:lang w:val="en-US"/>
        </w:rPr>
        <w:t>IEEE</w:t>
      </w:r>
      <w:r w:rsidRPr="00291605">
        <w:rPr>
          <w:rFonts w:ascii="Times New Roman" w:hAnsi="Times New Roman" w:cs="Times New Roman"/>
          <w:sz w:val="24"/>
          <w:szCs w:val="24"/>
          <w:lang w:val="ru-RU"/>
        </w:rPr>
        <w:t xml:space="preserve"> 800005-1. В тази връзка е необходимо да се разработи подходяща законодателна уредба, с която собствениците на пристанища да осигурят това съответствие на инсталациите за брегово електроснабдяване на морския транспорт. </w:t>
      </w:r>
    </w:p>
    <w:p w14:paraId="396B58E4" w14:textId="72E694A8" w:rsidR="00C65F4F" w:rsidRDefault="00291605" w:rsidP="00280F68">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13</w:t>
      </w:r>
      <w:r w:rsidRPr="00291605">
        <w:rPr>
          <w:rFonts w:ascii="Times New Roman" w:hAnsi="Times New Roman" w:cs="Times New Roman"/>
          <w:b/>
          <w:sz w:val="24"/>
          <w:szCs w:val="24"/>
        </w:rPr>
        <w:t xml:space="preserve">. </w:t>
      </w:r>
      <w:r w:rsidR="003A665F">
        <w:rPr>
          <w:rFonts w:ascii="Times New Roman" w:hAnsi="Times New Roman" w:cs="Times New Roman"/>
          <w:b/>
          <w:sz w:val="24"/>
          <w:szCs w:val="24"/>
          <w:lang w:val="ru-RU"/>
        </w:rPr>
        <w:t>Прогнози</w:t>
      </w:r>
      <w:r w:rsidR="00C65F4F" w:rsidRPr="00291605">
        <w:rPr>
          <w:rFonts w:ascii="Times New Roman" w:hAnsi="Times New Roman" w:cs="Times New Roman"/>
          <w:b/>
          <w:sz w:val="24"/>
          <w:szCs w:val="24"/>
        </w:rPr>
        <w:t xml:space="preserve"> и мерки</w:t>
      </w:r>
      <w:r w:rsidR="00C65F4F">
        <w:rPr>
          <w:rFonts w:ascii="Times New Roman" w:hAnsi="Times New Roman" w:cs="Times New Roman"/>
          <w:b/>
          <w:sz w:val="24"/>
          <w:szCs w:val="24"/>
        </w:rPr>
        <w:t xml:space="preserve"> по отношение снабдяването с втечнен природен газ на морските пристанища и пристанищата по вътрешните водни пътища </w:t>
      </w:r>
    </w:p>
    <w:p w14:paraId="663DF7DF" w14:textId="77777777" w:rsidR="00753731" w:rsidRPr="00753731" w:rsidRDefault="00753731" w:rsidP="006D09E6">
      <w:pPr>
        <w:spacing w:after="120" w:line="240" w:lineRule="auto"/>
        <w:jc w:val="both"/>
        <w:rPr>
          <w:rFonts w:ascii="Times New Roman" w:hAnsi="Times New Roman" w:cs="Times New Roman"/>
          <w:i/>
          <w:sz w:val="24"/>
          <w:szCs w:val="24"/>
          <w:lang w:val="ru-RU"/>
        </w:rPr>
      </w:pPr>
      <w:r w:rsidRPr="00753731">
        <w:rPr>
          <w:rFonts w:ascii="Times New Roman" w:hAnsi="Times New Roman" w:cs="Times New Roman"/>
          <w:i/>
          <w:sz w:val="24"/>
          <w:szCs w:val="24"/>
          <w:lang w:val="ru-RU"/>
        </w:rPr>
        <w:t>Национални краткосрочни и дългосрочни цели</w:t>
      </w:r>
    </w:p>
    <w:p w14:paraId="725B0611" w14:textId="77777777" w:rsidR="00753731" w:rsidRPr="00753731" w:rsidRDefault="00753731" w:rsidP="006D09E6">
      <w:pPr>
        <w:spacing w:after="120" w:line="240" w:lineRule="auto"/>
        <w:ind w:firstLine="360"/>
        <w:jc w:val="both"/>
        <w:rPr>
          <w:rFonts w:ascii="Times New Roman" w:hAnsi="Times New Roman" w:cs="Times New Roman"/>
          <w:b/>
          <w:sz w:val="24"/>
          <w:szCs w:val="24"/>
        </w:rPr>
      </w:pPr>
      <w:r w:rsidRPr="00753731">
        <w:rPr>
          <w:rFonts w:ascii="Times New Roman" w:hAnsi="Times New Roman" w:cs="Times New Roman"/>
          <w:sz w:val="24"/>
          <w:szCs w:val="24"/>
          <w:lang w:val="ru-RU"/>
        </w:rPr>
        <w:t xml:space="preserve">Определянето на националните краткосрочни и дългосрочни цели по отношение на снабдяването на водния транспорт с ВПГ е свързано с провеждането на проучване относно възможностите за изграждане на необходимия брой </w:t>
      </w:r>
      <w:r w:rsidRPr="00753731">
        <w:rPr>
          <w:rFonts w:ascii="Times New Roman" w:hAnsi="Times New Roman" w:cs="Times New Roman"/>
          <w:sz w:val="24"/>
          <w:szCs w:val="24"/>
        </w:rPr>
        <w:t xml:space="preserve">точки за зареждане с ВПГ на морските пристанища, които да позволят движението на плавателни съдове по вътрешните водни пътища, задвижвани с ВПГ, или на кораби, плаващи по море, задвижвани с ВПГ, в рамките на основната </w:t>
      </w:r>
      <w:r w:rsidRPr="00753731">
        <w:rPr>
          <w:rFonts w:ascii="Times New Roman" w:hAnsi="Times New Roman" w:cs="Times New Roman"/>
          <w:sz w:val="24"/>
          <w:szCs w:val="24"/>
          <w:lang w:val="en-US"/>
        </w:rPr>
        <w:t>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rPr>
        <w:t xml:space="preserve"> мрежа. Необходимите точки за зареждане с ВПГ в българските морските пристанища следва да бъдат изградени до </w:t>
      </w:r>
      <w:r w:rsidRPr="00753731">
        <w:rPr>
          <w:rFonts w:ascii="Times New Roman" w:hAnsi="Times New Roman" w:cs="Times New Roman"/>
          <w:b/>
          <w:sz w:val="24"/>
          <w:szCs w:val="24"/>
        </w:rPr>
        <w:t xml:space="preserve">31 декември 2025 г. </w:t>
      </w:r>
    </w:p>
    <w:p w14:paraId="2904B523" w14:textId="77777777" w:rsidR="00753731" w:rsidRPr="00753731" w:rsidRDefault="00753731" w:rsidP="006D09E6">
      <w:pPr>
        <w:spacing w:after="120" w:line="240" w:lineRule="auto"/>
        <w:ind w:firstLine="360"/>
        <w:jc w:val="both"/>
        <w:rPr>
          <w:rFonts w:ascii="Times New Roman" w:hAnsi="Times New Roman" w:cs="Times New Roman"/>
          <w:b/>
          <w:sz w:val="24"/>
          <w:szCs w:val="24"/>
        </w:rPr>
      </w:pPr>
      <w:r w:rsidRPr="00753731">
        <w:rPr>
          <w:rFonts w:ascii="Times New Roman" w:hAnsi="Times New Roman" w:cs="Times New Roman"/>
          <w:sz w:val="24"/>
          <w:szCs w:val="24"/>
        </w:rPr>
        <w:t xml:space="preserve">С проучването също така трябва да се определи и подходящия брой точки за зареждане с ВПГ на пристанищата по вътрешните водни пътища, които да позволяват </w:t>
      </w:r>
      <w:r w:rsidRPr="00753731">
        <w:rPr>
          <w:rFonts w:ascii="Times New Roman" w:hAnsi="Times New Roman" w:cs="Times New Roman"/>
          <w:sz w:val="24"/>
          <w:szCs w:val="24"/>
        </w:rPr>
        <w:lastRenderedPageBreak/>
        <w:t xml:space="preserve">движението на плавателни съдове по вътрешните водни пътища, задвижвани с ВПГ, или на кораби, плаващи по море, задвижвани с ВПГ, в рамките на основната </w:t>
      </w:r>
      <w:r w:rsidRPr="00753731">
        <w:rPr>
          <w:rFonts w:ascii="Times New Roman" w:hAnsi="Times New Roman" w:cs="Times New Roman"/>
          <w:sz w:val="24"/>
          <w:szCs w:val="24"/>
          <w:lang w:val="en-US"/>
        </w:rPr>
        <w:t>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lang w:val="ru-RU"/>
        </w:rPr>
        <w:t xml:space="preserve"> </w:t>
      </w:r>
      <w:r w:rsidRPr="00753731">
        <w:rPr>
          <w:rFonts w:ascii="Times New Roman" w:hAnsi="Times New Roman" w:cs="Times New Roman"/>
          <w:sz w:val="24"/>
          <w:szCs w:val="24"/>
        </w:rPr>
        <w:t xml:space="preserve">мрежа. Необходимите точки за зареждане с ВПГ в българските пристанищата по вътрешните водни пътища следва да бъдат изградени до </w:t>
      </w:r>
      <w:r w:rsidRPr="00753731">
        <w:rPr>
          <w:rFonts w:ascii="Times New Roman" w:hAnsi="Times New Roman" w:cs="Times New Roman"/>
          <w:b/>
          <w:sz w:val="24"/>
          <w:szCs w:val="24"/>
        </w:rPr>
        <w:t>31 декември 2030 г.</w:t>
      </w:r>
    </w:p>
    <w:p w14:paraId="34A5B60A" w14:textId="77777777" w:rsidR="00753731" w:rsidRPr="00753731" w:rsidRDefault="00753731" w:rsidP="006D09E6">
      <w:pPr>
        <w:spacing w:after="120" w:line="240" w:lineRule="auto"/>
        <w:ind w:firstLine="420"/>
        <w:jc w:val="both"/>
        <w:rPr>
          <w:rFonts w:ascii="Times New Roman" w:hAnsi="Times New Roman" w:cs="Times New Roman"/>
          <w:sz w:val="24"/>
          <w:szCs w:val="24"/>
          <w:lang w:val="ru-RU"/>
        </w:rPr>
      </w:pPr>
      <w:r w:rsidRPr="00753731">
        <w:rPr>
          <w:rFonts w:ascii="Times New Roman" w:hAnsi="Times New Roman" w:cs="Times New Roman"/>
          <w:sz w:val="24"/>
          <w:szCs w:val="24"/>
          <w:lang w:val="ru-RU"/>
        </w:rPr>
        <w:t xml:space="preserve">Заложените цели обхващат приоритетно пристанища: Бургас, Русе и Видин, тъй като са част от основната </w:t>
      </w:r>
      <w:r w:rsidRPr="00753731">
        <w:rPr>
          <w:rFonts w:ascii="Times New Roman" w:hAnsi="Times New Roman" w:cs="Times New Roman"/>
          <w:sz w:val="24"/>
          <w:szCs w:val="24"/>
          <w:lang w:val="en-US"/>
        </w:rPr>
        <w:t>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lang w:val="ru-RU"/>
        </w:rPr>
        <w:t xml:space="preserve"> </w:t>
      </w:r>
      <w:r w:rsidRPr="00753731">
        <w:rPr>
          <w:rFonts w:ascii="Times New Roman" w:hAnsi="Times New Roman" w:cs="Times New Roman"/>
          <w:sz w:val="24"/>
          <w:szCs w:val="24"/>
        </w:rPr>
        <w:t>мрежа, което не изключва възможността в дългосрочен план точки за зареждане с ВПГ да са на разположение в пристанища от широкообхватната мрежа</w:t>
      </w:r>
      <w:r w:rsidRPr="00753731">
        <w:rPr>
          <w:rFonts w:ascii="Times New Roman" w:hAnsi="Times New Roman" w:cs="Times New Roman"/>
          <w:sz w:val="24"/>
          <w:szCs w:val="24"/>
          <w:lang w:val="ru-RU"/>
        </w:rPr>
        <w:t>: Варна, Лом, Оряхово, Силистра и Свищов.</w:t>
      </w:r>
    </w:p>
    <w:p w14:paraId="54456B8F" w14:textId="77777777" w:rsidR="00753731" w:rsidRPr="00753731" w:rsidRDefault="00753731" w:rsidP="006D09E6">
      <w:pPr>
        <w:spacing w:after="120" w:line="240" w:lineRule="auto"/>
        <w:ind w:firstLine="420"/>
        <w:jc w:val="both"/>
        <w:rPr>
          <w:rFonts w:ascii="Times New Roman" w:hAnsi="Times New Roman" w:cs="Times New Roman"/>
          <w:sz w:val="24"/>
          <w:szCs w:val="24"/>
          <w:lang w:val="ru-RU"/>
        </w:rPr>
      </w:pPr>
      <w:r w:rsidRPr="00753731">
        <w:rPr>
          <w:rFonts w:ascii="Times New Roman" w:hAnsi="Times New Roman" w:cs="Times New Roman"/>
          <w:sz w:val="24"/>
          <w:szCs w:val="24"/>
          <w:lang w:val="ru-RU"/>
        </w:rPr>
        <w:t xml:space="preserve">За постигане на заложените по-горе цели Република България си ситрудничи с Румъния, за да се осигури адекватно покритие на мрежата, както в морските пристанища, и най-вече в пристанищата по вътрешните водни пътища за осигуряване на необходимите точки по целия българо-румънски участък на река Дунав. </w:t>
      </w:r>
    </w:p>
    <w:p w14:paraId="063C2332" w14:textId="77777777" w:rsidR="00753731" w:rsidRPr="00753731" w:rsidRDefault="00753731" w:rsidP="00753731">
      <w:pPr>
        <w:ind w:firstLine="708"/>
        <w:jc w:val="both"/>
        <w:rPr>
          <w:rFonts w:ascii="Times New Roman" w:hAnsi="Times New Roman" w:cs="Times New Roman"/>
          <w:sz w:val="24"/>
          <w:szCs w:val="24"/>
        </w:rPr>
      </w:pPr>
      <w:r w:rsidRPr="00753731">
        <w:rPr>
          <w:rFonts w:ascii="Times New Roman" w:hAnsi="Times New Roman" w:cs="Times New Roman"/>
          <w:i/>
          <w:sz w:val="24"/>
          <w:szCs w:val="24"/>
          <w:lang w:val="ru-RU"/>
        </w:rPr>
        <w:t>Необходими мерки за гарантиране на заложените национални краткосрочни и дългосрочни цели</w:t>
      </w:r>
    </w:p>
    <w:p w14:paraId="4C1EEB43" w14:textId="77777777" w:rsidR="00753731" w:rsidRPr="00753731" w:rsidRDefault="00753731" w:rsidP="006D09E6">
      <w:pPr>
        <w:spacing w:after="120" w:line="240" w:lineRule="auto"/>
        <w:ind w:firstLine="708"/>
        <w:jc w:val="both"/>
        <w:rPr>
          <w:rFonts w:ascii="Times New Roman" w:hAnsi="Times New Roman" w:cs="Times New Roman"/>
          <w:sz w:val="24"/>
          <w:szCs w:val="24"/>
        </w:rPr>
      </w:pPr>
      <w:r w:rsidRPr="00753731">
        <w:rPr>
          <w:rFonts w:ascii="Times New Roman" w:hAnsi="Times New Roman" w:cs="Times New Roman"/>
          <w:sz w:val="24"/>
          <w:szCs w:val="24"/>
        </w:rPr>
        <w:t xml:space="preserve">По отношение на изпълнението на заложените по-горе цели относно инсталирането </w:t>
      </w:r>
      <w:r w:rsidRPr="00753731">
        <w:rPr>
          <w:rFonts w:ascii="Times New Roman" w:hAnsi="Times New Roman" w:cs="Times New Roman"/>
          <w:b/>
          <w:sz w:val="24"/>
          <w:szCs w:val="24"/>
        </w:rPr>
        <w:t>до 31.12.2025 г.</w:t>
      </w:r>
      <w:r w:rsidRPr="00753731">
        <w:rPr>
          <w:rFonts w:ascii="Times New Roman" w:hAnsi="Times New Roman" w:cs="Times New Roman"/>
          <w:sz w:val="24"/>
          <w:szCs w:val="24"/>
        </w:rPr>
        <w:t xml:space="preserve"> на подходящ брой точки за зареждане с ВПГ на </w:t>
      </w:r>
      <w:r w:rsidRPr="00753731">
        <w:rPr>
          <w:rFonts w:ascii="Times New Roman" w:hAnsi="Times New Roman" w:cs="Times New Roman"/>
          <w:b/>
          <w:sz w:val="24"/>
          <w:szCs w:val="24"/>
        </w:rPr>
        <w:t>морските пристанища</w:t>
      </w:r>
      <w:r w:rsidRPr="00753731">
        <w:rPr>
          <w:rFonts w:ascii="Times New Roman" w:hAnsi="Times New Roman" w:cs="Times New Roman"/>
          <w:sz w:val="24"/>
          <w:szCs w:val="24"/>
        </w:rPr>
        <w:t xml:space="preserve"> и до </w:t>
      </w:r>
      <w:r w:rsidRPr="00753731">
        <w:rPr>
          <w:rFonts w:ascii="Times New Roman" w:hAnsi="Times New Roman" w:cs="Times New Roman"/>
          <w:b/>
          <w:sz w:val="24"/>
          <w:szCs w:val="24"/>
        </w:rPr>
        <w:t>31.12.2030 г.</w:t>
      </w:r>
      <w:r w:rsidRPr="00753731">
        <w:rPr>
          <w:rFonts w:ascii="Times New Roman" w:hAnsi="Times New Roman" w:cs="Times New Roman"/>
          <w:sz w:val="24"/>
          <w:szCs w:val="24"/>
        </w:rPr>
        <w:t xml:space="preserve"> на подходящ брой точки за зареждане с ВПГ на </w:t>
      </w:r>
      <w:r w:rsidRPr="00753731">
        <w:rPr>
          <w:rFonts w:ascii="Times New Roman" w:hAnsi="Times New Roman" w:cs="Times New Roman"/>
          <w:b/>
          <w:sz w:val="24"/>
          <w:szCs w:val="24"/>
        </w:rPr>
        <w:t>пристанищата по вътрешните водни пътища</w:t>
      </w:r>
      <w:r w:rsidRPr="00753731">
        <w:rPr>
          <w:rFonts w:ascii="Times New Roman" w:hAnsi="Times New Roman" w:cs="Times New Roman"/>
          <w:sz w:val="24"/>
          <w:szCs w:val="24"/>
        </w:rPr>
        <w:t xml:space="preserve">, които да позволят движението на плавателни съдове по вътрешните водни пътища, задвижвани с ВПГ, или на кораби, плаващи по море, задвижвани с ВПГ, в рамките на основната </w:t>
      </w:r>
      <w:r w:rsidRPr="00753731">
        <w:rPr>
          <w:rFonts w:ascii="Times New Roman" w:hAnsi="Times New Roman" w:cs="Times New Roman"/>
          <w:sz w:val="24"/>
          <w:szCs w:val="24"/>
          <w:lang w:val="en-US"/>
        </w:rPr>
        <w:t>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rPr>
        <w:t xml:space="preserve"> мрежа, следва да се изготви анализ на разходите и ползите от инсталиране на подобно оборудване. </w:t>
      </w:r>
    </w:p>
    <w:p w14:paraId="593448B9" w14:textId="77777777" w:rsidR="00753731" w:rsidRPr="00753731" w:rsidRDefault="00753731" w:rsidP="006D09E6">
      <w:pPr>
        <w:spacing w:after="120" w:line="240" w:lineRule="auto"/>
        <w:ind w:firstLine="708"/>
        <w:jc w:val="both"/>
        <w:rPr>
          <w:rFonts w:ascii="Times New Roman" w:hAnsi="Times New Roman" w:cs="Times New Roman"/>
          <w:sz w:val="24"/>
          <w:szCs w:val="24"/>
        </w:rPr>
      </w:pPr>
      <w:r w:rsidRPr="00753731">
        <w:rPr>
          <w:rFonts w:ascii="Times New Roman" w:hAnsi="Times New Roman" w:cs="Times New Roman"/>
          <w:sz w:val="24"/>
          <w:szCs w:val="24"/>
        </w:rPr>
        <w:t xml:space="preserve">С проучването ще се определят местата и сроковете за изграждане на съответните точки за зареждане в основната </w:t>
      </w:r>
      <w:r w:rsidRPr="00753731">
        <w:rPr>
          <w:rFonts w:ascii="Times New Roman" w:hAnsi="Times New Roman" w:cs="Times New Roman"/>
          <w:sz w:val="24"/>
          <w:szCs w:val="24"/>
          <w:lang w:val="en-US"/>
        </w:rPr>
        <w:t>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lang w:val="ru-RU"/>
        </w:rPr>
        <w:t xml:space="preserve"> </w:t>
      </w:r>
      <w:r w:rsidRPr="00753731">
        <w:rPr>
          <w:rFonts w:ascii="Times New Roman" w:hAnsi="Times New Roman" w:cs="Times New Roman"/>
          <w:sz w:val="24"/>
          <w:szCs w:val="24"/>
        </w:rPr>
        <w:t>мрежа: пристанища Бургас, Видин и Русе. С проучването също така следва да се оценят реалните потребности на пазара от изграждане на точки за зареждане в морските пристанища и в пристанищата по вътрешните водни пътища. Следва да бъде оценена също така и необходимостта от изграждане на подходяща инфраструктура и в пристанищата, обхванати от широкообхватната Т</w:t>
      </w:r>
      <w:r w:rsidRPr="00753731">
        <w:rPr>
          <w:rFonts w:ascii="Times New Roman" w:hAnsi="Times New Roman" w:cs="Times New Roman"/>
          <w:sz w:val="24"/>
          <w:szCs w:val="24"/>
          <w:lang w:val="en-US"/>
        </w:rPr>
        <w:t>EN</w:t>
      </w:r>
      <w:r w:rsidRPr="00753731">
        <w:rPr>
          <w:rFonts w:ascii="Times New Roman" w:hAnsi="Times New Roman" w:cs="Times New Roman"/>
          <w:sz w:val="24"/>
          <w:szCs w:val="24"/>
          <w:lang w:val="ru-RU"/>
        </w:rPr>
        <w:t>-</w:t>
      </w:r>
      <w:r w:rsidRPr="00753731">
        <w:rPr>
          <w:rFonts w:ascii="Times New Roman" w:hAnsi="Times New Roman" w:cs="Times New Roman"/>
          <w:sz w:val="24"/>
          <w:szCs w:val="24"/>
          <w:lang w:val="en-US"/>
        </w:rPr>
        <w:t>T</w:t>
      </w:r>
      <w:r w:rsidRPr="00753731">
        <w:rPr>
          <w:rFonts w:ascii="Times New Roman" w:hAnsi="Times New Roman" w:cs="Times New Roman"/>
          <w:sz w:val="24"/>
          <w:szCs w:val="24"/>
        </w:rPr>
        <w:t xml:space="preserve"> мрежа.    </w:t>
      </w:r>
    </w:p>
    <w:p w14:paraId="45D6C3D0" w14:textId="77777777" w:rsidR="00753731" w:rsidRPr="00753731" w:rsidRDefault="00753731" w:rsidP="006D09E6">
      <w:pPr>
        <w:spacing w:after="120" w:line="240" w:lineRule="auto"/>
        <w:ind w:firstLine="708"/>
        <w:jc w:val="both"/>
        <w:rPr>
          <w:rFonts w:ascii="Times New Roman" w:hAnsi="Times New Roman" w:cs="Times New Roman"/>
          <w:sz w:val="24"/>
          <w:szCs w:val="24"/>
          <w:lang w:val="ru-RU"/>
        </w:rPr>
      </w:pPr>
      <w:r w:rsidRPr="00753731">
        <w:rPr>
          <w:rFonts w:ascii="Times New Roman" w:hAnsi="Times New Roman" w:cs="Times New Roman"/>
          <w:sz w:val="24"/>
          <w:szCs w:val="24"/>
        </w:rPr>
        <w:t xml:space="preserve"> Извършването на подобно проучване и изграждането на необходимата инфраструктура са предпоставка за по-доброто интегриране на българските пристанища в европейската транспортна система, с което ще се осигури висока степен на безопасност и сигурност на транспорта, а също така и намаляване на вредното му въздействие върху околната среда и здравето на хората. Изпълнението на предвидените цели в голяма степен се свързва с определянето на тенденциите за развитие на българските пристанища в дългосрочен план.  </w:t>
      </w:r>
    </w:p>
    <w:p w14:paraId="5B22DDE6" w14:textId="77777777" w:rsidR="00A74D8C" w:rsidRPr="007C469F" w:rsidRDefault="00A74D8C" w:rsidP="006D09E6">
      <w:pPr>
        <w:spacing w:after="120" w:line="240" w:lineRule="auto"/>
        <w:ind w:firstLine="360"/>
        <w:jc w:val="both"/>
        <w:rPr>
          <w:rFonts w:ascii="Times New Roman" w:hAnsi="Times New Roman" w:cs="Times New Roman"/>
          <w:b/>
          <w:sz w:val="24"/>
          <w:szCs w:val="24"/>
        </w:rPr>
      </w:pPr>
    </w:p>
    <w:p w14:paraId="0DF92192" w14:textId="77777777" w:rsidR="00170B72" w:rsidRDefault="00170B72" w:rsidP="00753731">
      <w:pPr>
        <w:ind w:firstLine="360"/>
        <w:jc w:val="both"/>
        <w:rPr>
          <w:rFonts w:ascii="Times New Roman" w:hAnsi="Times New Roman" w:cs="Times New Roman"/>
          <w:b/>
          <w:sz w:val="24"/>
          <w:szCs w:val="24"/>
        </w:rPr>
      </w:pPr>
    </w:p>
    <w:p w14:paraId="298989F3" w14:textId="77777777" w:rsidR="00170B72" w:rsidRDefault="00170B72" w:rsidP="00753731">
      <w:pPr>
        <w:ind w:firstLine="360"/>
        <w:jc w:val="both"/>
        <w:rPr>
          <w:rFonts w:ascii="Times New Roman" w:hAnsi="Times New Roman" w:cs="Times New Roman"/>
          <w:b/>
          <w:sz w:val="24"/>
          <w:szCs w:val="24"/>
        </w:rPr>
      </w:pPr>
    </w:p>
    <w:p w14:paraId="1C7DF3B0" w14:textId="77777777" w:rsidR="00170B72" w:rsidRDefault="00170B72" w:rsidP="00753731">
      <w:pPr>
        <w:ind w:firstLine="360"/>
        <w:jc w:val="both"/>
        <w:rPr>
          <w:rFonts w:ascii="Times New Roman" w:hAnsi="Times New Roman" w:cs="Times New Roman"/>
          <w:b/>
          <w:sz w:val="24"/>
          <w:szCs w:val="24"/>
        </w:rPr>
      </w:pPr>
    </w:p>
    <w:p w14:paraId="26FA7A8F" w14:textId="77777777" w:rsidR="00170B72" w:rsidRDefault="00170B72" w:rsidP="00753731">
      <w:pPr>
        <w:ind w:firstLine="360"/>
        <w:jc w:val="both"/>
        <w:rPr>
          <w:rFonts w:ascii="Times New Roman" w:hAnsi="Times New Roman" w:cs="Times New Roman"/>
          <w:b/>
          <w:sz w:val="24"/>
          <w:szCs w:val="24"/>
        </w:rPr>
      </w:pPr>
    </w:p>
    <w:p w14:paraId="723C8EB2" w14:textId="77777777" w:rsidR="00170B72" w:rsidRDefault="00170B72" w:rsidP="00753731">
      <w:pPr>
        <w:ind w:firstLine="360"/>
        <w:jc w:val="both"/>
        <w:rPr>
          <w:rFonts w:ascii="Times New Roman" w:hAnsi="Times New Roman" w:cs="Times New Roman"/>
          <w:b/>
          <w:sz w:val="24"/>
          <w:szCs w:val="24"/>
        </w:rPr>
      </w:pPr>
    </w:p>
    <w:p w14:paraId="183B3F33" w14:textId="77777777" w:rsidR="00170B72" w:rsidRDefault="00170B72" w:rsidP="00753731">
      <w:pPr>
        <w:ind w:firstLine="360"/>
        <w:jc w:val="both"/>
        <w:rPr>
          <w:rFonts w:ascii="Times New Roman" w:hAnsi="Times New Roman" w:cs="Times New Roman"/>
          <w:b/>
          <w:sz w:val="24"/>
          <w:szCs w:val="24"/>
        </w:rPr>
      </w:pPr>
    </w:p>
    <w:p w14:paraId="63A7AA80" w14:textId="77777777" w:rsidR="00753731" w:rsidRDefault="00BC53B0" w:rsidP="00280F68">
      <w:pPr>
        <w:ind w:firstLine="708"/>
        <w:jc w:val="both"/>
        <w:rPr>
          <w:rFonts w:ascii="Times New Roman" w:hAnsi="Times New Roman" w:cs="Times New Roman"/>
          <w:b/>
          <w:sz w:val="24"/>
          <w:szCs w:val="24"/>
        </w:rPr>
      </w:pPr>
      <w:r w:rsidRPr="007C469F">
        <w:rPr>
          <w:rFonts w:ascii="Times New Roman" w:hAnsi="Times New Roman" w:cs="Times New Roman"/>
          <w:b/>
          <w:sz w:val="24"/>
          <w:szCs w:val="24"/>
        </w:rPr>
        <w:t xml:space="preserve">14. </w:t>
      </w:r>
      <w:r>
        <w:rPr>
          <w:rFonts w:ascii="Times New Roman" w:hAnsi="Times New Roman" w:cs="Times New Roman"/>
          <w:b/>
          <w:sz w:val="24"/>
          <w:szCs w:val="24"/>
        </w:rPr>
        <w:t>Заключение</w:t>
      </w:r>
    </w:p>
    <w:p w14:paraId="3244EA8F" w14:textId="77777777" w:rsidR="005732BF" w:rsidRPr="00896216" w:rsidRDefault="005732BF" w:rsidP="006D09E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настоящата </w:t>
      </w:r>
      <w:r w:rsidRPr="00896216">
        <w:rPr>
          <w:rFonts w:ascii="Times New Roman" w:hAnsi="Times New Roman" w:cs="Times New Roman"/>
          <w:sz w:val="24"/>
          <w:szCs w:val="24"/>
        </w:rPr>
        <w:t xml:space="preserve">рамка на политиката </w:t>
      </w:r>
      <w:r>
        <w:rPr>
          <w:rFonts w:ascii="Times New Roman" w:hAnsi="Times New Roman" w:cs="Times New Roman"/>
          <w:sz w:val="24"/>
          <w:szCs w:val="24"/>
        </w:rPr>
        <w:t xml:space="preserve">е направен </w:t>
      </w:r>
      <w:r w:rsidRPr="00896216">
        <w:rPr>
          <w:rFonts w:ascii="Times New Roman" w:hAnsi="Times New Roman" w:cs="Times New Roman"/>
          <w:sz w:val="24"/>
          <w:szCs w:val="24"/>
        </w:rPr>
        <w:t>обзор на страт</w:t>
      </w:r>
      <w:r>
        <w:rPr>
          <w:rFonts w:ascii="Times New Roman" w:hAnsi="Times New Roman" w:cs="Times New Roman"/>
          <w:sz w:val="24"/>
          <w:szCs w:val="24"/>
        </w:rPr>
        <w:t>егическите документи на национално</w:t>
      </w:r>
      <w:r w:rsidR="00432BDA">
        <w:rPr>
          <w:rFonts w:ascii="Times New Roman" w:hAnsi="Times New Roman" w:cs="Times New Roman"/>
          <w:sz w:val="24"/>
          <w:szCs w:val="24"/>
        </w:rPr>
        <w:t xml:space="preserve"> ниво</w:t>
      </w:r>
      <w:r>
        <w:rPr>
          <w:rFonts w:ascii="Times New Roman" w:hAnsi="Times New Roman" w:cs="Times New Roman"/>
          <w:sz w:val="24"/>
          <w:szCs w:val="24"/>
        </w:rPr>
        <w:t>, застъпващи тематиката за</w:t>
      </w:r>
      <w:r w:rsidRPr="00896216">
        <w:rPr>
          <w:rFonts w:ascii="Times New Roman" w:hAnsi="Times New Roman" w:cs="Times New Roman"/>
          <w:sz w:val="24"/>
          <w:szCs w:val="24"/>
        </w:rPr>
        <w:t xml:space="preserve"> алтернативните горива и алтерн</w:t>
      </w:r>
      <w:r>
        <w:rPr>
          <w:rFonts w:ascii="Times New Roman" w:hAnsi="Times New Roman" w:cs="Times New Roman"/>
          <w:sz w:val="24"/>
          <w:szCs w:val="24"/>
        </w:rPr>
        <w:t>ативни технологии на задвижване.</w:t>
      </w:r>
    </w:p>
    <w:p w14:paraId="18E745AB" w14:textId="77777777" w:rsidR="005732BF" w:rsidRPr="00896216" w:rsidRDefault="005732BF" w:rsidP="006D09E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Представени са действащи</w:t>
      </w:r>
      <w:r w:rsidR="00432BDA">
        <w:rPr>
          <w:rFonts w:ascii="Times New Roman" w:hAnsi="Times New Roman" w:cs="Times New Roman"/>
          <w:sz w:val="24"/>
          <w:szCs w:val="24"/>
        </w:rPr>
        <w:t>те</w:t>
      </w:r>
      <w:r>
        <w:rPr>
          <w:rFonts w:ascii="Times New Roman" w:hAnsi="Times New Roman" w:cs="Times New Roman"/>
          <w:sz w:val="24"/>
          <w:szCs w:val="24"/>
        </w:rPr>
        <w:t xml:space="preserve"> закони </w:t>
      </w:r>
      <w:r w:rsidRPr="00896216">
        <w:rPr>
          <w:rFonts w:ascii="Times New Roman" w:hAnsi="Times New Roman" w:cs="Times New Roman"/>
          <w:sz w:val="24"/>
          <w:szCs w:val="24"/>
        </w:rPr>
        <w:t>и подзаконови нормативни актове</w:t>
      </w:r>
      <w:r>
        <w:rPr>
          <w:rFonts w:ascii="Times New Roman" w:hAnsi="Times New Roman" w:cs="Times New Roman"/>
          <w:sz w:val="24"/>
          <w:szCs w:val="24"/>
        </w:rPr>
        <w:t xml:space="preserve">, които касаят пряко или косвено отделните </w:t>
      </w:r>
      <w:r w:rsidRPr="00896216">
        <w:rPr>
          <w:rFonts w:ascii="Times New Roman" w:hAnsi="Times New Roman" w:cs="Times New Roman"/>
          <w:sz w:val="24"/>
          <w:szCs w:val="24"/>
        </w:rPr>
        <w:t>видове алтернативни горива: електрическа енергия, природен газ, втечнен нефтен газ, биогорива, водород.</w:t>
      </w:r>
      <w:r>
        <w:rPr>
          <w:rFonts w:ascii="Times New Roman" w:hAnsi="Times New Roman" w:cs="Times New Roman"/>
          <w:sz w:val="24"/>
          <w:szCs w:val="24"/>
        </w:rPr>
        <w:t xml:space="preserve"> Идентифицирана е необходимост от хармонизиране на някои от закони и подзаконови </w:t>
      </w:r>
      <w:r w:rsidR="00432BDA">
        <w:rPr>
          <w:rFonts w:ascii="Times New Roman" w:hAnsi="Times New Roman" w:cs="Times New Roman"/>
          <w:sz w:val="24"/>
          <w:szCs w:val="24"/>
        </w:rPr>
        <w:t xml:space="preserve">нормативни </w:t>
      </w:r>
      <w:r>
        <w:rPr>
          <w:rFonts w:ascii="Times New Roman" w:hAnsi="Times New Roman" w:cs="Times New Roman"/>
          <w:sz w:val="24"/>
          <w:szCs w:val="24"/>
        </w:rPr>
        <w:t>актове с оглед транспониране на изискванията на Директива 2014/94/ЕС.</w:t>
      </w:r>
    </w:p>
    <w:p w14:paraId="7B68832A" w14:textId="77777777" w:rsidR="005732BF" w:rsidRPr="00896216" w:rsidRDefault="005732BF" w:rsidP="006D09E6">
      <w:pPr>
        <w:spacing w:before="120" w:after="0" w:line="240" w:lineRule="auto"/>
        <w:ind w:firstLine="708"/>
        <w:jc w:val="both"/>
        <w:rPr>
          <w:rFonts w:ascii="Times New Roman" w:hAnsi="Times New Roman" w:cs="Times New Roman"/>
          <w:sz w:val="24"/>
          <w:szCs w:val="24"/>
        </w:rPr>
      </w:pPr>
      <w:r w:rsidRPr="00896216">
        <w:rPr>
          <w:rFonts w:ascii="Times New Roman" w:hAnsi="Times New Roman" w:cs="Times New Roman"/>
          <w:sz w:val="24"/>
          <w:szCs w:val="24"/>
        </w:rPr>
        <w:t xml:space="preserve">Разгледани са възможностите </w:t>
      </w:r>
      <w:r>
        <w:rPr>
          <w:rFonts w:ascii="Times New Roman" w:hAnsi="Times New Roman" w:cs="Times New Roman"/>
          <w:sz w:val="24"/>
          <w:szCs w:val="24"/>
        </w:rPr>
        <w:t>за и</w:t>
      </w:r>
      <w:r w:rsidRPr="00896216">
        <w:rPr>
          <w:rFonts w:ascii="Times New Roman" w:hAnsi="Times New Roman" w:cs="Times New Roman"/>
          <w:sz w:val="24"/>
          <w:szCs w:val="24"/>
        </w:rPr>
        <w:t>нве</w:t>
      </w:r>
      <w:r>
        <w:rPr>
          <w:rFonts w:ascii="Times New Roman" w:hAnsi="Times New Roman" w:cs="Times New Roman"/>
          <w:sz w:val="24"/>
          <w:szCs w:val="24"/>
        </w:rPr>
        <w:t xml:space="preserve">стиционна подкрепа по линия </w:t>
      </w:r>
      <w:r w:rsidRPr="00896216">
        <w:rPr>
          <w:rFonts w:ascii="Times New Roman" w:hAnsi="Times New Roman" w:cs="Times New Roman"/>
          <w:sz w:val="24"/>
          <w:szCs w:val="24"/>
        </w:rPr>
        <w:t>на някои от оперативните програми, както и на други програми за финансиране на проекти в областта алтернативните технологии на задвижване и алтернативните горива.</w:t>
      </w:r>
    </w:p>
    <w:p w14:paraId="737CDE7C" w14:textId="77777777" w:rsidR="005732BF" w:rsidRPr="00896216" w:rsidRDefault="005732BF" w:rsidP="006D09E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Отразени </w:t>
      </w:r>
      <w:r w:rsidRPr="00896216">
        <w:rPr>
          <w:rFonts w:ascii="Times New Roman" w:hAnsi="Times New Roman" w:cs="Times New Roman"/>
          <w:sz w:val="24"/>
          <w:szCs w:val="24"/>
        </w:rPr>
        <w:t>са тенденциите в крайното енергийно потребление в транспортния сектор – потребление по видове транспорт и по вид гориво</w:t>
      </w:r>
      <w:r>
        <w:rPr>
          <w:rFonts w:ascii="Times New Roman" w:hAnsi="Times New Roman" w:cs="Times New Roman"/>
          <w:sz w:val="24"/>
          <w:szCs w:val="24"/>
        </w:rPr>
        <w:t xml:space="preserve"> –</w:t>
      </w:r>
      <w:r w:rsidRPr="00896216">
        <w:rPr>
          <w:rFonts w:ascii="Times New Roman" w:hAnsi="Times New Roman" w:cs="Times New Roman"/>
          <w:sz w:val="24"/>
          <w:szCs w:val="24"/>
        </w:rPr>
        <w:t xml:space="preserve"> бензин/дизел, пропан-бутан/природен газ, биогорива. </w:t>
      </w:r>
    </w:p>
    <w:p w14:paraId="1870418C" w14:textId="77777777" w:rsidR="005732BF" w:rsidRPr="00896216" w:rsidRDefault="005732BF" w:rsidP="006D09E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Изнесени са актуални данни за р</w:t>
      </w:r>
      <w:r w:rsidRPr="00896216">
        <w:rPr>
          <w:rFonts w:ascii="Times New Roman" w:hAnsi="Times New Roman" w:cs="Times New Roman"/>
          <w:sz w:val="24"/>
          <w:szCs w:val="24"/>
        </w:rPr>
        <w:t>азпределение</w:t>
      </w:r>
      <w:r w:rsidR="00282FF0">
        <w:rPr>
          <w:rFonts w:ascii="Times New Roman" w:hAnsi="Times New Roman" w:cs="Times New Roman"/>
          <w:sz w:val="24"/>
          <w:szCs w:val="24"/>
        </w:rPr>
        <w:t>то</w:t>
      </w:r>
      <w:r w:rsidRPr="00896216">
        <w:rPr>
          <w:rFonts w:ascii="Times New Roman" w:hAnsi="Times New Roman" w:cs="Times New Roman"/>
          <w:sz w:val="24"/>
          <w:szCs w:val="24"/>
        </w:rPr>
        <w:t xml:space="preserve"> на автомобилния парк </w:t>
      </w:r>
      <w:r w:rsidR="00282FF0">
        <w:rPr>
          <w:rFonts w:ascii="Times New Roman" w:hAnsi="Times New Roman" w:cs="Times New Roman"/>
          <w:sz w:val="24"/>
          <w:szCs w:val="24"/>
        </w:rPr>
        <w:t xml:space="preserve">в </w:t>
      </w:r>
      <w:r w:rsidR="00432BDA">
        <w:rPr>
          <w:rFonts w:ascii="Times New Roman" w:hAnsi="Times New Roman" w:cs="Times New Roman"/>
          <w:sz w:val="24"/>
          <w:szCs w:val="24"/>
        </w:rPr>
        <w:t xml:space="preserve">Република </w:t>
      </w:r>
      <w:r w:rsidR="00282FF0">
        <w:rPr>
          <w:rFonts w:ascii="Times New Roman" w:hAnsi="Times New Roman" w:cs="Times New Roman"/>
          <w:sz w:val="24"/>
          <w:szCs w:val="24"/>
        </w:rPr>
        <w:t xml:space="preserve">България </w:t>
      </w:r>
      <w:r w:rsidRPr="00896216">
        <w:rPr>
          <w:rFonts w:ascii="Times New Roman" w:hAnsi="Times New Roman" w:cs="Times New Roman"/>
          <w:sz w:val="24"/>
          <w:szCs w:val="24"/>
        </w:rPr>
        <w:t>по вид на използваното гориво</w:t>
      </w:r>
      <w:r>
        <w:rPr>
          <w:rFonts w:ascii="Times New Roman" w:hAnsi="Times New Roman" w:cs="Times New Roman"/>
          <w:sz w:val="24"/>
          <w:szCs w:val="24"/>
        </w:rPr>
        <w:t xml:space="preserve"> и неговата възрастова структура.</w:t>
      </w:r>
    </w:p>
    <w:p w14:paraId="058EF0D0" w14:textId="08B41594" w:rsidR="0048291A" w:rsidRDefault="0048291A" w:rsidP="006D09E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Представено е актуалното състояние на инфраструктура по отделни видове алтернативни горива, използвани в автомобилния, водния и въздушния транспорт. Предложени са прогнозни цели</w:t>
      </w:r>
      <w:r w:rsidR="006B1455">
        <w:rPr>
          <w:rFonts w:ascii="Times New Roman" w:hAnsi="Times New Roman" w:cs="Times New Roman"/>
          <w:sz w:val="24"/>
          <w:szCs w:val="24"/>
        </w:rPr>
        <w:t>, възможности</w:t>
      </w:r>
      <w:r>
        <w:rPr>
          <w:rFonts w:ascii="Times New Roman" w:hAnsi="Times New Roman" w:cs="Times New Roman"/>
          <w:sz w:val="24"/>
          <w:szCs w:val="24"/>
        </w:rPr>
        <w:t xml:space="preserve"> и потенциални мерки по отношение на :</w:t>
      </w:r>
    </w:p>
    <w:p w14:paraId="57B91EC6" w14:textId="77777777" w:rsidR="0048291A" w:rsidRPr="0048291A" w:rsidRDefault="006B1455" w:rsidP="006D09E6">
      <w:pPr>
        <w:pStyle w:val="ListParagraph"/>
        <w:numPr>
          <w:ilvl w:val="0"/>
          <w:numId w:val="4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навлизането </w:t>
      </w:r>
      <w:r w:rsidR="0048291A" w:rsidRPr="0048291A">
        <w:rPr>
          <w:rFonts w:ascii="Times New Roman" w:hAnsi="Times New Roman" w:cs="Times New Roman"/>
          <w:sz w:val="24"/>
          <w:szCs w:val="24"/>
        </w:rPr>
        <w:t>на превозните средства, с електрическо и водородно задвижван</w:t>
      </w:r>
      <w:r w:rsidR="0048291A">
        <w:rPr>
          <w:rFonts w:ascii="Times New Roman" w:hAnsi="Times New Roman" w:cs="Times New Roman"/>
          <w:sz w:val="24"/>
          <w:szCs w:val="24"/>
        </w:rPr>
        <w:t>е и изграждането</w:t>
      </w:r>
      <w:r w:rsidR="0048291A" w:rsidRPr="0048291A">
        <w:rPr>
          <w:rFonts w:ascii="Times New Roman" w:hAnsi="Times New Roman" w:cs="Times New Roman"/>
          <w:sz w:val="24"/>
          <w:szCs w:val="24"/>
        </w:rPr>
        <w:t xml:space="preserve"> на съответната зарядна инфраструктура</w:t>
      </w:r>
      <w:r>
        <w:rPr>
          <w:rFonts w:ascii="Times New Roman" w:hAnsi="Times New Roman" w:cs="Times New Roman"/>
          <w:sz w:val="24"/>
          <w:szCs w:val="24"/>
        </w:rPr>
        <w:t xml:space="preserve"> за тях</w:t>
      </w:r>
      <w:r w:rsidR="0048291A" w:rsidRPr="0048291A">
        <w:rPr>
          <w:rFonts w:ascii="Times New Roman" w:hAnsi="Times New Roman" w:cs="Times New Roman"/>
          <w:sz w:val="24"/>
          <w:szCs w:val="24"/>
        </w:rPr>
        <w:t>.</w:t>
      </w:r>
    </w:p>
    <w:p w14:paraId="73DE6925" w14:textId="77777777" w:rsidR="00753731" w:rsidRDefault="006B1455" w:rsidP="006D09E6">
      <w:pPr>
        <w:pStyle w:val="ListParagraph"/>
        <w:numPr>
          <w:ilvl w:val="0"/>
          <w:numId w:val="43"/>
        </w:numPr>
        <w:spacing w:before="120" w:after="0" w:line="240" w:lineRule="auto"/>
        <w:jc w:val="both"/>
        <w:rPr>
          <w:rFonts w:ascii="Times New Roman" w:hAnsi="Times New Roman" w:cs="Times New Roman"/>
          <w:sz w:val="24"/>
          <w:szCs w:val="24"/>
        </w:rPr>
      </w:pPr>
      <w:r w:rsidRPr="006B1455">
        <w:rPr>
          <w:rFonts w:ascii="Times New Roman" w:hAnsi="Times New Roman" w:cs="Times New Roman"/>
          <w:sz w:val="24"/>
          <w:szCs w:val="24"/>
        </w:rPr>
        <w:t>и</w:t>
      </w:r>
      <w:r w:rsidR="007E1DCF" w:rsidRPr="006B1455">
        <w:rPr>
          <w:rFonts w:ascii="Times New Roman" w:hAnsi="Times New Roman" w:cs="Times New Roman"/>
          <w:sz w:val="24"/>
          <w:szCs w:val="24"/>
        </w:rPr>
        <w:t>зграждане</w:t>
      </w:r>
      <w:r>
        <w:rPr>
          <w:rFonts w:ascii="Times New Roman" w:hAnsi="Times New Roman" w:cs="Times New Roman"/>
          <w:sz w:val="24"/>
          <w:szCs w:val="24"/>
        </w:rPr>
        <w:t>то</w:t>
      </w:r>
      <w:r w:rsidR="007E1DCF" w:rsidRPr="006B1455">
        <w:rPr>
          <w:rFonts w:ascii="Times New Roman" w:hAnsi="Times New Roman" w:cs="Times New Roman"/>
          <w:sz w:val="24"/>
          <w:szCs w:val="24"/>
        </w:rPr>
        <w:t xml:space="preserve"> на </w:t>
      </w:r>
      <w:r w:rsidRPr="006B1455">
        <w:rPr>
          <w:rFonts w:ascii="Times New Roman" w:hAnsi="Times New Roman" w:cs="Times New Roman"/>
          <w:sz w:val="24"/>
          <w:szCs w:val="24"/>
        </w:rPr>
        <w:t>зарядна инф</w:t>
      </w:r>
      <w:r w:rsidR="007E1DCF" w:rsidRPr="006B1455">
        <w:rPr>
          <w:rFonts w:ascii="Times New Roman" w:hAnsi="Times New Roman" w:cs="Times New Roman"/>
          <w:sz w:val="24"/>
          <w:szCs w:val="24"/>
        </w:rPr>
        <w:t>р</w:t>
      </w:r>
      <w:r w:rsidRPr="006B1455">
        <w:rPr>
          <w:rFonts w:ascii="Times New Roman" w:hAnsi="Times New Roman" w:cs="Times New Roman"/>
          <w:sz w:val="24"/>
          <w:szCs w:val="24"/>
        </w:rPr>
        <w:t>а</w:t>
      </w:r>
      <w:r w:rsidR="007E1DCF" w:rsidRPr="006B1455">
        <w:rPr>
          <w:rFonts w:ascii="Times New Roman" w:hAnsi="Times New Roman" w:cs="Times New Roman"/>
          <w:sz w:val="24"/>
          <w:szCs w:val="24"/>
        </w:rPr>
        <w:t xml:space="preserve">структура </w:t>
      </w:r>
      <w:r w:rsidRPr="006B1455">
        <w:rPr>
          <w:rFonts w:ascii="Times New Roman" w:hAnsi="Times New Roman" w:cs="Times New Roman"/>
          <w:sz w:val="24"/>
          <w:szCs w:val="24"/>
        </w:rPr>
        <w:t xml:space="preserve">за компресиран и втечнен природен газ </w:t>
      </w:r>
    </w:p>
    <w:p w14:paraId="36749AC4" w14:textId="77777777" w:rsidR="006B1455" w:rsidRDefault="006B1455" w:rsidP="006D09E6">
      <w:pPr>
        <w:pStyle w:val="ListParagraph"/>
        <w:numPr>
          <w:ilvl w:val="0"/>
          <w:numId w:val="4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наземното електроснабдяване на морските пристанища и пристанищата по вътрешните водни пътища</w:t>
      </w:r>
    </w:p>
    <w:p w14:paraId="32622174" w14:textId="77777777" w:rsidR="006B1455" w:rsidRPr="006B1455" w:rsidRDefault="006B1455" w:rsidP="006D09E6">
      <w:pPr>
        <w:pStyle w:val="ListParagraph"/>
        <w:numPr>
          <w:ilvl w:val="0"/>
          <w:numId w:val="43"/>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снабдяването с втечнен природен газ на морските пристанища и пристанищата по вътрешните водни пътища.</w:t>
      </w:r>
    </w:p>
    <w:sectPr w:rsidR="006B1455" w:rsidRPr="006B1455" w:rsidSect="007C469F">
      <w:footerReference w:type="default" r:id="rId14"/>
      <w:footerReference w:type="first" r:id="rId15"/>
      <w:pgSz w:w="11906" w:h="16838"/>
      <w:pgMar w:top="1276"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9402" w14:textId="77777777" w:rsidR="003117F0" w:rsidRDefault="003117F0" w:rsidP="0089314C">
      <w:pPr>
        <w:spacing w:after="0" w:line="240" w:lineRule="auto"/>
      </w:pPr>
      <w:r>
        <w:separator/>
      </w:r>
    </w:p>
  </w:endnote>
  <w:endnote w:type="continuationSeparator" w:id="0">
    <w:p w14:paraId="2B7BCC7B" w14:textId="77777777" w:rsidR="003117F0" w:rsidRDefault="003117F0" w:rsidP="0089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F9FD" w14:textId="77777777" w:rsidR="00A6350D" w:rsidRPr="007C469F" w:rsidRDefault="00A6350D" w:rsidP="007C469F">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027A" w14:textId="77777777" w:rsidR="00A6350D" w:rsidRDefault="00A6350D">
    <w:pPr>
      <w:pStyle w:val="Footer"/>
      <w:jc w:val="right"/>
    </w:pPr>
  </w:p>
  <w:p w14:paraId="3577D2DF" w14:textId="77777777" w:rsidR="00A6350D" w:rsidRDefault="00A63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68756"/>
      <w:docPartObj>
        <w:docPartGallery w:val="Page Numbers (Bottom of Page)"/>
        <w:docPartUnique/>
      </w:docPartObj>
    </w:sdtPr>
    <w:sdtEndPr>
      <w:rPr>
        <w:noProof/>
      </w:rPr>
    </w:sdtEndPr>
    <w:sdtContent>
      <w:p w14:paraId="73F6639F" w14:textId="77777777" w:rsidR="00A6350D" w:rsidRDefault="00A6350D">
        <w:pPr>
          <w:pStyle w:val="Footer"/>
          <w:jc w:val="center"/>
        </w:pPr>
        <w:r>
          <w:fldChar w:fldCharType="begin"/>
        </w:r>
        <w:r>
          <w:instrText xml:space="preserve"> PAGE   \* MERGEFORMAT </w:instrText>
        </w:r>
        <w:r>
          <w:fldChar w:fldCharType="separate"/>
        </w:r>
        <w:r w:rsidR="003D7D98">
          <w:rPr>
            <w:noProof/>
          </w:rPr>
          <w:t>55</w:t>
        </w:r>
        <w:r>
          <w:rPr>
            <w:noProof/>
          </w:rPr>
          <w:fldChar w:fldCharType="end"/>
        </w:r>
      </w:p>
    </w:sdtContent>
  </w:sdt>
  <w:p w14:paraId="4E58B742" w14:textId="77777777" w:rsidR="00A6350D" w:rsidRPr="007C469F" w:rsidRDefault="00A6350D" w:rsidP="007C469F">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6337"/>
      <w:docPartObj>
        <w:docPartGallery w:val="Page Numbers (Bottom of Page)"/>
        <w:docPartUnique/>
      </w:docPartObj>
    </w:sdtPr>
    <w:sdtEndPr>
      <w:rPr>
        <w:noProof/>
      </w:rPr>
    </w:sdtEndPr>
    <w:sdtContent>
      <w:p w14:paraId="5E567A90" w14:textId="77777777" w:rsidR="00A6350D" w:rsidRDefault="00A6350D">
        <w:pPr>
          <w:pStyle w:val="Footer"/>
          <w:jc w:val="center"/>
        </w:pPr>
        <w:r>
          <w:fldChar w:fldCharType="begin"/>
        </w:r>
        <w:r>
          <w:instrText xml:space="preserve"> PAGE   \* MERGEFORMAT </w:instrText>
        </w:r>
        <w:r>
          <w:fldChar w:fldCharType="separate"/>
        </w:r>
        <w:r w:rsidR="003D7D98">
          <w:rPr>
            <w:noProof/>
          </w:rPr>
          <w:t>1</w:t>
        </w:r>
        <w:r>
          <w:rPr>
            <w:noProof/>
          </w:rPr>
          <w:fldChar w:fldCharType="end"/>
        </w:r>
      </w:p>
    </w:sdtContent>
  </w:sdt>
  <w:p w14:paraId="36A8C519" w14:textId="77777777" w:rsidR="00A6350D" w:rsidRDefault="00A63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2C0A" w14:textId="77777777" w:rsidR="003117F0" w:rsidRDefault="003117F0" w:rsidP="0089314C">
      <w:pPr>
        <w:spacing w:after="0" w:line="240" w:lineRule="auto"/>
      </w:pPr>
      <w:r>
        <w:separator/>
      </w:r>
    </w:p>
  </w:footnote>
  <w:footnote w:type="continuationSeparator" w:id="0">
    <w:p w14:paraId="78EBAC1C" w14:textId="77777777" w:rsidR="003117F0" w:rsidRDefault="003117F0" w:rsidP="0089314C">
      <w:pPr>
        <w:spacing w:after="0" w:line="240" w:lineRule="auto"/>
      </w:pPr>
      <w:r>
        <w:continuationSeparator/>
      </w:r>
    </w:p>
  </w:footnote>
  <w:footnote w:id="1">
    <w:p w14:paraId="4B6921BE" w14:textId="77777777" w:rsidR="00A6350D" w:rsidRPr="00AF0ACC" w:rsidRDefault="00A6350D" w:rsidP="00AF0ACC">
      <w:pPr>
        <w:tabs>
          <w:tab w:val="left" w:pos="720"/>
        </w:tabs>
        <w:jc w:val="both"/>
        <w:outlineLvl w:val="0"/>
        <w:rPr>
          <w:rFonts w:ascii="Times New Roman" w:hAnsi="Times New Roman" w:cs="Times New Roman"/>
          <w:b/>
          <w:sz w:val="18"/>
          <w:szCs w:val="18"/>
        </w:rPr>
      </w:pPr>
      <w:r>
        <w:rPr>
          <w:rStyle w:val="FootnoteReference"/>
        </w:rPr>
        <w:footnoteRef/>
      </w:r>
      <w:r>
        <w:t xml:space="preserve"> </w:t>
      </w:r>
      <w:r w:rsidRPr="00AF0ACC">
        <w:rPr>
          <w:rFonts w:ascii="Times New Roman" w:hAnsi="Times New Roman" w:cs="Times New Roman"/>
          <w:sz w:val="18"/>
          <w:szCs w:val="18"/>
        </w:rPr>
        <w:t xml:space="preserve">Изводи от Одитен доклад </w:t>
      </w:r>
      <w:r w:rsidRPr="00AF0ACC">
        <w:rPr>
          <w:rFonts w:ascii="Times New Roman" w:hAnsi="Times New Roman" w:cs="Times New Roman"/>
          <w:b/>
          <w:sz w:val="18"/>
          <w:szCs w:val="18"/>
        </w:rPr>
        <w:t xml:space="preserve">№ </w:t>
      </w:r>
      <w:r w:rsidRPr="00AF0ACC">
        <w:rPr>
          <w:rFonts w:ascii="Times New Roman" w:hAnsi="Times New Roman" w:cs="Times New Roman"/>
          <w:b/>
          <w:iCs/>
          <w:sz w:val="18"/>
          <w:szCs w:val="18"/>
        </w:rPr>
        <w:t xml:space="preserve">0300001613 </w:t>
      </w:r>
      <w:r w:rsidRPr="00AF0ACC">
        <w:rPr>
          <w:rFonts w:ascii="Times New Roman" w:hAnsi="Times New Roman" w:cs="Times New Roman"/>
          <w:sz w:val="18"/>
          <w:szCs w:val="18"/>
        </w:rPr>
        <w:t>на Сметна палата от 2015 г.</w:t>
      </w:r>
    </w:p>
  </w:footnote>
  <w:footnote w:id="2">
    <w:p w14:paraId="1B4065E5" w14:textId="77777777" w:rsidR="00A6350D" w:rsidRPr="00AF0ACC" w:rsidRDefault="00A6350D" w:rsidP="0089314C">
      <w:pPr>
        <w:pStyle w:val="FootnoteText"/>
        <w:rPr>
          <w:rFonts w:ascii="Times New Roman" w:hAnsi="Times New Roman" w:cs="Times New Roman"/>
          <w:sz w:val="18"/>
          <w:szCs w:val="18"/>
        </w:rPr>
      </w:pPr>
      <w:r w:rsidRPr="005D62CF">
        <w:rPr>
          <w:rStyle w:val="FootnoteReference"/>
          <w:sz w:val="18"/>
          <w:szCs w:val="18"/>
        </w:rPr>
        <w:footnoteRef/>
      </w:r>
      <w:r w:rsidRPr="005D62CF">
        <w:rPr>
          <w:sz w:val="18"/>
          <w:szCs w:val="18"/>
        </w:rPr>
        <w:t xml:space="preserve"> </w:t>
      </w:r>
      <w:r w:rsidRPr="00AF0ACC">
        <w:rPr>
          <w:rFonts w:ascii="Times New Roman" w:hAnsi="Times New Roman" w:cs="Times New Roman"/>
          <w:sz w:val="18"/>
          <w:szCs w:val="18"/>
        </w:rPr>
        <w:t>ЗЕВИ, чл. 2, ал. 1  и НПДЕВИ, стр. 10</w:t>
      </w:r>
    </w:p>
  </w:footnote>
  <w:footnote w:id="3">
    <w:p w14:paraId="1091BCF0" w14:textId="77777777" w:rsidR="00A6350D" w:rsidRPr="00C75C7F" w:rsidRDefault="00A6350D" w:rsidP="0089314C">
      <w:pPr>
        <w:pStyle w:val="FootnoteText"/>
        <w:rPr>
          <w:rFonts w:ascii="Times New Roman" w:hAnsi="Times New Roman" w:cs="Times New Roman"/>
        </w:rPr>
      </w:pPr>
      <w:r w:rsidRPr="00AD34AF">
        <w:rPr>
          <w:rStyle w:val="FootnoteReference"/>
          <w:sz w:val="18"/>
          <w:szCs w:val="18"/>
        </w:rPr>
        <w:footnoteRef/>
      </w:r>
      <w:r w:rsidRPr="00AD34AF">
        <w:rPr>
          <w:sz w:val="18"/>
          <w:szCs w:val="18"/>
        </w:rPr>
        <w:t xml:space="preserve"> </w:t>
      </w:r>
      <w:r w:rsidRPr="00C75C7F">
        <w:rPr>
          <w:rFonts w:ascii="Times New Roman" w:hAnsi="Times New Roman" w:cs="Times New Roman"/>
        </w:rPr>
        <w:t>Приет в съответствие с Директива 2009/28/ЕО на ЕС и Съвета</w:t>
      </w:r>
      <w:r w:rsidRPr="00C75C7F">
        <w:rPr>
          <w:rFonts w:ascii="Times New Roman" w:hAnsi="Times New Roman" w:cs="Times New Roman"/>
          <w:bCs/>
        </w:rPr>
        <w:t>2010 г. - 2020 г.</w:t>
      </w:r>
      <w:r w:rsidRPr="00C75C7F">
        <w:rPr>
          <w:rFonts w:ascii="Times New Roman" w:hAnsi="Times New Roman" w:cs="Times New Roman"/>
        </w:rPr>
        <w:t>, представен в ЕК и утвърден на 30 юни 2010 г.</w:t>
      </w:r>
    </w:p>
  </w:footnote>
  <w:footnote w:id="4">
    <w:p w14:paraId="420A0640" w14:textId="77777777" w:rsidR="00A6350D" w:rsidRPr="006C49DA" w:rsidRDefault="00A6350D" w:rsidP="00F54E69">
      <w:pPr>
        <w:pStyle w:val="FootnoteText"/>
        <w:rPr>
          <w:sz w:val="18"/>
          <w:szCs w:val="18"/>
        </w:rPr>
      </w:pPr>
      <w:r w:rsidRPr="006C49DA">
        <w:rPr>
          <w:rStyle w:val="FootnoteReference"/>
          <w:sz w:val="18"/>
          <w:szCs w:val="18"/>
        </w:rPr>
        <w:footnoteRef/>
      </w:r>
      <w:r w:rsidRPr="006C49DA">
        <w:rPr>
          <w:sz w:val="18"/>
          <w:szCs w:val="18"/>
        </w:rPr>
        <w:t xml:space="preserve"> </w:t>
      </w:r>
      <w:r>
        <w:rPr>
          <w:sz w:val="18"/>
          <w:szCs w:val="18"/>
        </w:rPr>
        <w:t>О</w:t>
      </w:r>
      <w:r w:rsidRPr="006C49DA">
        <w:rPr>
          <w:sz w:val="18"/>
          <w:szCs w:val="18"/>
        </w:rPr>
        <w:t xml:space="preserve">тчита изпълнението на целите за 2013 г. и 2014 г. </w:t>
      </w:r>
      <w:hyperlink r:id="rId1" w:history="1">
        <w:r w:rsidRPr="006C49DA">
          <w:rPr>
            <w:bCs/>
            <w:color w:val="0000FF"/>
            <w:sz w:val="18"/>
            <w:szCs w:val="18"/>
            <w:u w:val="single"/>
            <w:bdr w:val="none" w:sz="0" w:space="0" w:color="auto" w:frame="1"/>
          </w:rPr>
          <w:t>http://ec.europa.eu/energy/en/topics/renewable-energy/progress-reports</w:t>
        </w:r>
      </w:hyperlink>
    </w:p>
  </w:footnote>
  <w:footnote w:id="5">
    <w:p w14:paraId="7ECEC39B" w14:textId="77777777" w:rsidR="00A6350D" w:rsidRPr="007C469F" w:rsidRDefault="00A6350D">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На 14.12.2016 г. проектът</w:t>
      </w:r>
      <w:r w:rsidRPr="0017149C">
        <w:rPr>
          <w:rFonts w:ascii="Times New Roman" w:hAnsi="Times New Roman" w:cs="Times New Roman"/>
          <w:sz w:val="18"/>
          <w:szCs w:val="18"/>
        </w:rPr>
        <w:t xml:space="preserve"> на ЗИД </w:t>
      </w:r>
      <w:r>
        <w:rPr>
          <w:rFonts w:ascii="Times New Roman" w:hAnsi="Times New Roman" w:cs="Times New Roman"/>
          <w:sz w:val="18"/>
          <w:szCs w:val="18"/>
        </w:rPr>
        <w:t xml:space="preserve">на Закона за движение по пътищата </w:t>
      </w:r>
      <w:r w:rsidRPr="0017149C">
        <w:rPr>
          <w:rFonts w:ascii="Times New Roman" w:hAnsi="Times New Roman" w:cs="Times New Roman"/>
          <w:sz w:val="18"/>
          <w:szCs w:val="18"/>
        </w:rPr>
        <w:t>се прие</w:t>
      </w:r>
      <w:r>
        <w:rPr>
          <w:rFonts w:ascii="Times New Roman" w:hAnsi="Times New Roman" w:cs="Times New Roman"/>
          <w:sz w:val="18"/>
          <w:szCs w:val="18"/>
        </w:rPr>
        <w:t xml:space="preserve"> в Комисията по транспорт, информационни </w:t>
      </w:r>
      <w:r w:rsidRPr="0017149C">
        <w:rPr>
          <w:rFonts w:ascii="Times New Roman" w:hAnsi="Times New Roman" w:cs="Times New Roman"/>
          <w:sz w:val="18"/>
          <w:szCs w:val="18"/>
        </w:rPr>
        <w:t>технологии и съобщенията на второ четене</w:t>
      </w:r>
    </w:p>
  </w:footnote>
  <w:footnote w:id="6">
    <w:p w14:paraId="5D330718" w14:textId="77777777" w:rsidR="00A6350D" w:rsidRPr="008C16D0" w:rsidRDefault="00A6350D">
      <w:pPr>
        <w:pStyle w:val="FootnoteText"/>
        <w:rPr>
          <w:rFonts w:ascii="Times New Roman" w:hAnsi="Times New Roman" w:cs="Times New Roman"/>
          <w:sz w:val="18"/>
          <w:szCs w:val="18"/>
        </w:rPr>
      </w:pPr>
      <w:r w:rsidRPr="008C16D0">
        <w:rPr>
          <w:rStyle w:val="FootnoteReference"/>
          <w:rFonts w:ascii="Times New Roman" w:hAnsi="Times New Roman" w:cs="Times New Roman"/>
          <w:sz w:val="18"/>
          <w:szCs w:val="18"/>
        </w:rPr>
        <w:footnoteRef/>
      </w:r>
      <w:r w:rsidRPr="008C16D0">
        <w:rPr>
          <w:rFonts w:ascii="Times New Roman" w:hAnsi="Times New Roman" w:cs="Times New Roman"/>
          <w:sz w:val="18"/>
          <w:szCs w:val="18"/>
        </w:rPr>
        <w:t xml:space="preserve"> Предложенията са на</w:t>
      </w:r>
      <w:r>
        <w:rPr>
          <w:rFonts w:ascii="Times New Roman" w:hAnsi="Times New Roman" w:cs="Times New Roman"/>
          <w:sz w:val="18"/>
          <w:szCs w:val="18"/>
        </w:rPr>
        <w:t>правени от</w:t>
      </w:r>
      <w:r w:rsidRPr="008C16D0">
        <w:rPr>
          <w:rFonts w:ascii="Times New Roman" w:hAnsi="Times New Roman" w:cs="Times New Roman"/>
          <w:sz w:val="18"/>
          <w:szCs w:val="18"/>
        </w:rPr>
        <w:t xml:space="preserve"> Индустриален клъстер Електоромобили</w:t>
      </w:r>
    </w:p>
  </w:footnote>
  <w:footnote w:id="7">
    <w:p w14:paraId="09A4123E" w14:textId="77777777" w:rsidR="00A6350D" w:rsidRDefault="00A6350D" w:rsidP="0089314C">
      <w:pPr>
        <w:pStyle w:val="FootnoteText"/>
        <w:jc w:val="both"/>
      </w:pPr>
      <w:r>
        <w:rPr>
          <w:rStyle w:val="FootnoteReference"/>
        </w:rPr>
        <w:footnoteRef/>
      </w:r>
      <w:r>
        <w:t xml:space="preserve"> </w:t>
      </w:r>
      <w:r w:rsidRPr="0002159D">
        <w:rPr>
          <w:rFonts w:ascii="Times New Roman" w:hAnsi="Times New Roman" w:cs="Times New Roman"/>
          <w:sz w:val="22"/>
          <w:szCs w:val="22"/>
        </w:rPr>
        <w:t>Директива 2012/45/ЕС на Комисията от 3 декември 2012 г. за привеждане за втори път в съответствие с научно-техническия прогрес на приложенията към Директива 2008/68/ЕО относно вътрешния превоз на опасни товари</w:t>
      </w:r>
    </w:p>
  </w:footnote>
  <w:footnote w:id="8">
    <w:p w14:paraId="765C84ED" w14:textId="77777777" w:rsidR="00A6350D" w:rsidRPr="00802489" w:rsidRDefault="00A6350D" w:rsidP="00353D0C">
      <w:pPr>
        <w:pStyle w:val="FootnoteText"/>
        <w:rPr>
          <w:sz w:val="18"/>
          <w:szCs w:val="18"/>
        </w:rPr>
      </w:pPr>
      <w:r w:rsidRPr="00802489">
        <w:rPr>
          <w:rStyle w:val="FootnoteReference"/>
          <w:sz w:val="18"/>
          <w:szCs w:val="18"/>
        </w:rPr>
        <w:footnoteRef/>
      </w:r>
      <w:r w:rsidRPr="00802489">
        <w:rPr>
          <w:sz w:val="18"/>
          <w:szCs w:val="18"/>
        </w:rPr>
        <w:t xml:space="preserve"> http://archive.eufunds.bg/bg/page/984</w:t>
      </w:r>
    </w:p>
  </w:footnote>
  <w:footnote w:id="9">
    <w:p w14:paraId="56645EF9" w14:textId="77777777" w:rsidR="00A6350D" w:rsidRDefault="00A6350D" w:rsidP="00353D0C">
      <w:pPr>
        <w:pStyle w:val="FootnoteText"/>
      </w:pPr>
      <w:r>
        <w:rPr>
          <w:rStyle w:val="FootnoteReference"/>
        </w:rPr>
        <w:footnoteRef/>
      </w:r>
      <w:r>
        <w:t xml:space="preserve"> чл. </w:t>
      </w:r>
      <w:r w:rsidRPr="007E504A">
        <w:t>чл. 37-</w:t>
      </w:r>
      <w:r>
        <w:t xml:space="preserve"> </w:t>
      </w:r>
      <w:r w:rsidRPr="007E504A">
        <w:t>40</w:t>
      </w:r>
      <w:r>
        <w:t xml:space="preserve"> от Закона за енергията от възобновяемите източници</w:t>
      </w:r>
    </w:p>
  </w:footnote>
  <w:footnote w:id="10">
    <w:p w14:paraId="639C5F6E" w14:textId="77777777" w:rsidR="00A6350D" w:rsidRDefault="00A6350D">
      <w:pPr>
        <w:pStyle w:val="FootnoteText"/>
      </w:pPr>
      <w:r>
        <w:rPr>
          <w:rStyle w:val="FootnoteReference"/>
        </w:rPr>
        <w:footnoteRef/>
      </w:r>
      <w:r>
        <w:t xml:space="preserve"> Данните са предоставени от „Астрабиоплант“ ООД, дъщерно дружество на „Булмаркет ДМ“ ООД</w:t>
      </w:r>
    </w:p>
  </w:footnote>
  <w:footnote w:id="11">
    <w:p w14:paraId="0105EB29" w14:textId="77777777" w:rsidR="00A6350D" w:rsidRPr="00854442" w:rsidRDefault="00A6350D" w:rsidP="00113F39">
      <w:pPr>
        <w:pStyle w:val="FootnoteText"/>
        <w:rPr>
          <w:sz w:val="16"/>
          <w:szCs w:val="16"/>
        </w:rPr>
      </w:pPr>
      <w:r>
        <w:rPr>
          <w:rStyle w:val="FootnoteReference"/>
        </w:rPr>
        <w:footnoteRef/>
      </w:r>
      <w:r>
        <w:t xml:space="preserve"> </w:t>
      </w:r>
      <w:r>
        <w:rPr>
          <w:sz w:val="16"/>
          <w:szCs w:val="16"/>
        </w:rPr>
        <w:t>Точният брой на обектите, както и видовете горива, които се предлагат на тях могат да бъдат изискани от Националната агенция за приходите по отношение на втечнения нефтен газ, както и Агенция „Митници“ по отношение на станциите предлагащи компресиран природен газ, тъй като съгласно възложените им законови компетенции те разполагат с подобна информация.</w:t>
      </w:r>
    </w:p>
  </w:footnote>
  <w:footnote w:id="12">
    <w:p w14:paraId="5B1B4275" w14:textId="77777777" w:rsidR="00A6350D" w:rsidRDefault="00A6350D" w:rsidP="0089314C">
      <w:pPr>
        <w:pStyle w:val="FootnoteText"/>
      </w:pPr>
      <w:r>
        <w:rPr>
          <w:rStyle w:val="FootnoteReference"/>
        </w:rPr>
        <w:footnoteRef/>
      </w:r>
      <w:r>
        <w:t xml:space="preserve"> При изготвянето на настоящия документ са взети предвид пристанищата и пристанищните терминали с национално и регионално значение, осигуряващи заставането и обработването на кораби, обслужващи водния транспорт</w:t>
      </w:r>
    </w:p>
  </w:footnote>
  <w:footnote w:id="13">
    <w:p w14:paraId="3FD1760B" w14:textId="77777777" w:rsidR="00A6350D" w:rsidRPr="007C469F" w:rsidRDefault="00A6350D" w:rsidP="00AA325D">
      <w:pPr>
        <w:pStyle w:val="FootnoteText"/>
      </w:pPr>
      <w:r>
        <w:rPr>
          <w:rStyle w:val="FootnoteReference"/>
        </w:rPr>
        <w:footnoteRef/>
      </w:r>
      <w:r>
        <w:t xml:space="preserve"> Прогнозите са разработени в съответствие с предоставени анализи от Индустриален клъстер Електромобили и Българска асоциация Електрически превозни средства</w:t>
      </w:r>
    </w:p>
  </w:footnote>
  <w:footnote w:id="14">
    <w:p w14:paraId="61AA6CBE" w14:textId="77777777" w:rsidR="00A6350D" w:rsidRDefault="00A6350D" w:rsidP="00AA325D">
      <w:pPr>
        <w:pStyle w:val="FootnoteText"/>
      </w:pPr>
      <w:r>
        <w:rPr>
          <w:rStyle w:val="FootnoteReference"/>
        </w:rPr>
        <w:footnoteRef/>
      </w:r>
      <w:r>
        <w:t xml:space="preserve"> http://www.bloomberg.com/news/articles/2016-06-07/poland-seeks-to-take-tesla-s-electric-revolution-for-a-bus-ride-ip6uiai3</w:t>
      </w:r>
    </w:p>
  </w:footnote>
  <w:footnote w:id="15">
    <w:p w14:paraId="621AB2AD" w14:textId="77777777" w:rsidR="00A6350D" w:rsidRDefault="00A6350D" w:rsidP="00AA325D">
      <w:pPr>
        <w:pStyle w:val="FootnoteText"/>
      </w:pPr>
      <w:r>
        <w:rPr>
          <w:rStyle w:val="FootnoteReference"/>
        </w:rPr>
        <w:footnoteRef/>
      </w:r>
      <w:r>
        <w:t xml:space="preserve"> http://www.eltis.org/discover/news/slovakia-support-purchase-evs</w:t>
      </w:r>
    </w:p>
  </w:footnote>
  <w:footnote w:id="16">
    <w:p w14:paraId="35458824" w14:textId="77777777" w:rsidR="00A6350D" w:rsidRDefault="00A6350D" w:rsidP="00AA325D">
      <w:pPr>
        <w:pStyle w:val="FootnoteText"/>
      </w:pPr>
      <w:r>
        <w:rPr>
          <w:rStyle w:val="FootnoteReference"/>
        </w:rPr>
        <w:footnoteRef/>
      </w:r>
      <w:r>
        <w:t xml:space="preserve"> http://www.unep.org/transport/EMOB/pdf/Paris_ElectroMobility_Declaration_2Dec.pdf</w:t>
      </w:r>
    </w:p>
  </w:footnote>
  <w:footnote w:id="17">
    <w:p w14:paraId="47849921" w14:textId="77777777" w:rsidR="00A6350D" w:rsidRDefault="00A6350D" w:rsidP="00AA325D">
      <w:pPr>
        <w:pStyle w:val="FootnoteText"/>
      </w:pPr>
      <w:r>
        <w:rPr>
          <w:rStyle w:val="FootnoteReference"/>
        </w:rPr>
        <w:footnoteRef/>
      </w:r>
      <w:r>
        <w:t xml:space="preserve"> </w:t>
      </w:r>
      <w:r>
        <w:rPr>
          <w:sz w:val="18"/>
          <w:szCs w:val="18"/>
        </w:rPr>
        <w:t>ч</w:t>
      </w:r>
      <w:r w:rsidRPr="00234722">
        <w:rPr>
          <w:sz w:val="18"/>
          <w:szCs w:val="18"/>
        </w:rPr>
        <w:t>л. 104 от Наредба за организацията на движението на територията на Столична община</w:t>
      </w:r>
    </w:p>
  </w:footnote>
  <w:footnote w:id="18">
    <w:p w14:paraId="44F36ED7" w14:textId="77777777" w:rsidR="00A6350D" w:rsidRPr="00DD4184" w:rsidRDefault="00A6350D" w:rsidP="00AA325D">
      <w:pPr>
        <w:pStyle w:val="FootnoteText"/>
        <w:rPr>
          <w:sz w:val="18"/>
          <w:szCs w:val="18"/>
        </w:rPr>
      </w:pPr>
      <w:r w:rsidRPr="00DD4184">
        <w:rPr>
          <w:rStyle w:val="FootnoteReference"/>
          <w:sz w:val="18"/>
          <w:szCs w:val="18"/>
        </w:rPr>
        <w:footnoteRef/>
      </w:r>
      <w:r w:rsidRPr="00DD4184">
        <w:rPr>
          <w:sz w:val="18"/>
          <w:szCs w:val="18"/>
        </w:rPr>
        <w:t xml:space="preserve"> съгласно Наредба за реда за спиране, престой и паркиране на пътни превозни средства на територията на гр. Пловдив</w:t>
      </w:r>
    </w:p>
  </w:footnote>
  <w:footnote w:id="19">
    <w:p w14:paraId="49EFFE81" w14:textId="77777777" w:rsidR="00A6350D" w:rsidRPr="007C469F" w:rsidRDefault="00A6350D" w:rsidP="00AA325D">
      <w:pPr>
        <w:pStyle w:val="FootnoteText"/>
      </w:pPr>
      <w:r>
        <w:rPr>
          <w:rStyle w:val="FootnoteReference"/>
        </w:rPr>
        <w:footnoteRef/>
      </w:r>
      <w:r>
        <w:t xml:space="preserve"> Мерките са предложени от Българска асоциация Електрически превозни средства</w:t>
      </w:r>
    </w:p>
  </w:footnote>
  <w:footnote w:id="20">
    <w:p w14:paraId="170370E2" w14:textId="77777777" w:rsidR="00A6350D" w:rsidRDefault="00A6350D" w:rsidP="00AA325D">
      <w:pPr>
        <w:pStyle w:val="FootnoteText"/>
      </w:pPr>
      <w:r>
        <w:rPr>
          <w:rStyle w:val="FootnoteReference"/>
        </w:rPr>
        <w:footnoteRef/>
      </w:r>
      <w:r>
        <w:t xml:space="preserve"> http://shop.solarpro.bg/Chargin%20Stations/centers-hotels/CCL-WBM-TOUCH-TRI2</w:t>
      </w:r>
    </w:p>
  </w:footnote>
  <w:footnote w:id="21">
    <w:p w14:paraId="7A0E55A8" w14:textId="77777777" w:rsidR="00A6350D" w:rsidRDefault="00A6350D" w:rsidP="00AA325D">
      <w:pPr>
        <w:pStyle w:val="FootnoteText"/>
      </w:pPr>
      <w:r>
        <w:rPr>
          <w:rStyle w:val="FootnoteReference"/>
        </w:rPr>
        <w:footnoteRef/>
      </w:r>
      <w:r>
        <w:t xml:space="preserve"> Прогноза на Института по електрохимия и енергийни системи към БАН</w:t>
      </w:r>
    </w:p>
  </w:footnote>
  <w:footnote w:id="22">
    <w:p w14:paraId="12F8F9C8" w14:textId="77777777" w:rsidR="00A6350D" w:rsidRDefault="00A6350D" w:rsidP="00AA325D">
      <w:pPr>
        <w:pStyle w:val="FootnoteText"/>
      </w:pPr>
      <w:r>
        <w:rPr>
          <w:rStyle w:val="FootnoteReference"/>
        </w:rPr>
        <w:footnoteRef/>
      </w:r>
      <w:r>
        <w:t xml:space="preserve"> Прогноза на Индустриален клъстер Електромобили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F9FA" w14:textId="77777777" w:rsidR="00A6350D" w:rsidRDefault="00A6350D" w:rsidP="00540A2A">
    <w:pPr>
      <w:pStyle w:val="Header"/>
      <w:jc w:val="right"/>
    </w:pPr>
  </w:p>
  <w:p w14:paraId="2642AF1C" w14:textId="77777777" w:rsidR="00A6350D" w:rsidRDefault="00A635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A18"/>
    <w:multiLevelType w:val="hybridMultilevel"/>
    <w:tmpl w:val="96A6CE4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43D387F"/>
    <w:multiLevelType w:val="hybridMultilevel"/>
    <w:tmpl w:val="5D085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BD5453"/>
    <w:multiLevelType w:val="hybridMultilevel"/>
    <w:tmpl w:val="68CCDD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EE0DD6"/>
    <w:multiLevelType w:val="hybridMultilevel"/>
    <w:tmpl w:val="E88004D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3B2853"/>
    <w:multiLevelType w:val="hybridMultilevel"/>
    <w:tmpl w:val="0DD62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37615A"/>
    <w:multiLevelType w:val="multilevel"/>
    <w:tmpl w:val="22AC7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28E1"/>
    <w:multiLevelType w:val="hybridMultilevel"/>
    <w:tmpl w:val="3CDAC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DC4CB0"/>
    <w:multiLevelType w:val="hybridMultilevel"/>
    <w:tmpl w:val="762E52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9C3F54"/>
    <w:multiLevelType w:val="hybridMultilevel"/>
    <w:tmpl w:val="6D50F1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925D8C"/>
    <w:multiLevelType w:val="hybridMultilevel"/>
    <w:tmpl w:val="43F689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B55CA6"/>
    <w:multiLevelType w:val="hybridMultilevel"/>
    <w:tmpl w:val="3F341418"/>
    <w:lvl w:ilvl="0" w:tplc="FC8C2862">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21DF3349"/>
    <w:multiLevelType w:val="hybridMultilevel"/>
    <w:tmpl w:val="76DA064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24C70F11"/>
    <w:multiLevelType w:val="hybridMultilevel"/>
    <w:tmpl w:val="5F9A0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7291B77"/>
    <w:multiLevelType w:val="hybridMultilevel"/>
    <w:tmpl w:val="FC607C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9067EEC"/>
    <w:multiLevelType w:val="hybridMultilevel"/>
    <w:tmpl w:val="EF8ECEAC"/>
    <w:lvl w:ilvl="0" w:tplc="21728DC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4676E1"/>
    <w:multiLevelType w:val="multilevel"/>
    <w:tmpl w:val="E0A23E48"/>
    <w:lvl w:ilvl="0">
      <w:start w:val="1"/>
      <w:numFmt w:val="bullet"/>
      <w:lvlText w:val="-"/>
      <w:lvlJc w:val="left"/>
      <w:rPr>
        <w:rFonts w:ascii="Trebuchet MS" w:eastAsia="Trebuchet MS" w:hAnsi="Trebuchet MS" w:cs="Trebuchet MS"/>
        <w:b w:val="0"/>
        <w:bCs w:val="0"/>
        <w:i w:val="0"/>
        <w:iCs w:val="0"/>
        <w:smallCaps w:val="0"/>
        <w:strike w:val="0"/>
        <w:color w:val="000000"/>
        <w:spacing w:val="-1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25E62"/>
    <w:multiLevelType w:val="hybridMultilevel"/>
    <w:tmpl w:val="2228CAC4"/>
    <w:lvl w:ilvl="0" w:tplc="FC8C2862">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EE36E48"/>
    <w:multiLevelType w:val="hybridMultilevel"/>
    <w:tmpl w:val="7E54C078"/>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8">
    <w:nsid w:val="31B81E4E"/>
    <w:multiLevelType w:val="hybridMultilevel"/>
    <w:tmpl w:val="7D14C49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33421E98"/>
    <w:multiLevelType w:val="hybridMultilevel"/>
    <w:tmpl w:val="C542099C"/>
    <w:lvl w:ilvl="0" w:tplc="0402000F">
      <w:start w:val="1"/>
      <w:numFmt w:val="decimal"/>
      <w:lvlText w:val="%1."/>
      <w:lvlJc w:val="left"/>
      <w:pPr>
        <w:ind w:left="360" w:hanging="360"/>
      </w:pPr>
      <w:rPr>
        <w:rFonts w:cs="Times New Roman"/>
      </w:rPr>
    </w:lvl>
    <w:lvl w:ilvl="1" w:tplc="FC8C2862">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6FF139E"/>
    <w:multiLevelType w:val="hybridMultilevel"/>
    <w:tmpl w:val="B2F29F72"/>
    <w:lvl w:ilvl="0" w:tplc="04020001">
      <w:start w:val="1"/>
      <w:numFmt w:val="bullet"/>
      <w:lvlText w:val=""/>
      <w:lvlJc w:val="left"/>
      <w:pPr>
        <w:tabs>
          <w:tab w:val="num" w:pos="1080"/>
        </w:tabs>
        <w:ind w:left="1080" w:hanging="360"/>
      </w:pPr>
      <w:rPr>
        <w:rFonts w:ascii="Symbol" w:hAnsi="Symbol" w:hint="default"/>
      </w:rPr>
    </w:lvl>
    <w:lvl w:ilvl="1" w:tplc="92149CDA">
      <w:start w:val="3"/>
      <w:numFmt w:val="bullet"/>
      <w:lvlText w:val="-"/>
      <w:lvlJc w:val="left"/>
      <w:pPr>
        <w:tabs>
          <w:tab w:val="num" w:pos="1800"/>
        </w:tabs>
        <w:ind w:left="1800" w:hanging="360"/>
      </w:pPr>
      <w:rPr>
        <w:rFonts w:ascii="Verdana" w:eastAsia="Times New Roman" w:hAnsi="Verdana" w:cs="Times New Roman"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nsid w:val="37451063"/>
    <w:multiLevelType w:val="hybridMultilevel"/>
    <w:tmpl w:val="99A610A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39CE43FC"/>
    <w:multiLevelType w:val="multilevel"/>
    <w:tmpl w:val="B16ABAD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5D1B23"/>
    <w:multiLevelType w:val="multilevel"/>
    <w:tmpl w:val="8542B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044722"/>
    <w:multiLevelType w:val="hybridMultilevel"/>
    <w:tmpl w:val="3116A8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94FB2"/>
    <w:multiLevelType w:val="hybridMultilevel"/>
    <w:tmpl w:val="94808936"/>
    <w:lvl w:ilvl="0" w:tplc="04020007">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26F6718"/>
    <w:multiLevelType w:val="hybridMultilevel"/>
    <w:tmpl w:val="755A79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88D7E45"/>
    <w:multiLevelType w:val="hybridMultilevel"/>
    <w:tmpl w:val="E27E9EB4"/>
    <w:lvl w:ilvl="0" w:tplc="FC8C2862">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DCD01BC"/>
    <w:multiLevelType w:val="multilevel"/>
    <w:tmpl w:val="82F67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443E8A"/>
    <w:multiLevelType w:val="hybridMultilevel"/>
    <w:tmpl w:val="61BA89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6F41AF"/>
    <w:multiLevelType w:val="hybridMultilevel"/>
    <w:tmpl w:val="837219F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A547FF3"/>
    <w:multiLevelType w:val="hybridMultilevel"/>
    <w:tmpl w:val="B4E8C0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A8F6838"/>
    <w:multiLevelType w:val="multilevel"/>
    <w:tmpl w:val="F4C82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CC08E2"/>
    <w:multiLevelType w:val="hybridMultilevel"/>
    <w:tmpl w:val="772E814E"/>
    <w:lvl w:ilvl="0" w:tplc="E520A712">
      <w:start w:val="1"/>
      <w:numFmt w:val="bullet"/>
      <w:lvlText w:val=""/>
      <w:lvlJc w:val="left"/>
      <w:pPr>
        <w:ind w:left="1495" w:hanging="360"/>
      </w:pPr>
      <w:rPr>
        <w:rFonts w:ascii="Symbol" w:hAnsi="Symbol" w:hint="default"/>
      </w:rPr>
    </w:lvl>
    <w:lvl w:ilvl="1" w:tplc="3610805C">
      <w:numFmt w:val="bullet"/>
      <w:lvlText w:val="-"/>
      <w:lvlJc w:val="left"/>
      <w:pPr>
        <w:ind w:left="2215" w:hanging="360"/>
      </w:pPr>
      <w:rPr>
        <w:rFonts w:ascii="Times New Roman" w:eastAsia="Times New Roman" w:hAnsi="Times New Roman" w:cs="Times New Roman"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34">
    <w:nsid w:val="5D7C1E99"/>
    <w:multiLevelType w:val="multilevel"/>
    <w:tmpl w:val="345CF4AC"/>
    <w:lvl w:ilvl="0">
      <w:start w:val="1"/>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5C680F"/>
    <w:multiLevelType w:val="multilevel"/>
    <w:tmpl w:val="72FCA60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2B6BE3"/>
    <w:multiLevelType w:val="hybridMultilevel"/>
    <w:tmpl w:val="6520E55C"/>
    <w:lvl w:ilvl="0" w:tplc="B0227F3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D5D4B84"/>
    <w:multiLevelType w:val="hybridMultilevel"/>
    <w:tmpl w:val="AB12586A"/>
    <w:lvl w:ilvl="0" w:tplc="261A0B94">
      <w:start w:val="7"/>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73584708"/>
    <w:multiLevelType w:val="multilevel"/>
    <w:tmpl w:val="B0F64B2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414691D"/>
    <w:multiLevelType w:val="hybridMultilevel"/>
    <w:tmpl w:val="B93CCC7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nsid w:val="74187B73"/>
    <w:multiLevelType w:val="hybridMultilevel"/>
    <w:tmpl w:val="11321F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BF43E6"/>
    <w:multiLevelType w:val="multilevel"/>
    <w:tmpl w:val="03E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C23624"/>
    <w:multiLevelType w:val="hybridMultilevel"/>
    <w:tmpl w:val="64D81416"/>
    <w:lvl w:ilvl="0" w:tplc="FC8C2862">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7A2C30FD"/>
    <w:multiLevelType w:val="hybridMultilevel"/>
    <w:tmpl w:val="ED3227B2"/>
    <w:lvl w:ilvl="0" w:tplc="564CFEFC">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1"/>
  </w:num>
  <w:num w:numId="4">
    <w:abstractNumId w:val="0"/>
  </w:num>
  <w:num w:numId="5">
    <w:abstractNumId w:val="37"/>
  </w:num>
  <w:num w:numId="6">
    <w:abstractNumId w:val="39"/>
  </w:num>
  <w:num w:numId="7">
    <w:abstractNumId w:val="11"/>
  </w:num>
  <w:num w:numId="8">
    <w:abstractNumId w:val="25"/>
  </w:num>
  <w:num w:numId="9">
    <w:abstractNumId w:val="38"/>
  </w:num>
  <w:num w:numId="10">
    <w:abstractNumId w:val="5"/>
  </w:num>
  <w:num w:numId="11">
    <w:abstractNumId w:val="28"/>
  </w:num>
  <w:num w:numId="12">
    <w:abstractNumId w:val="22"/>
  </w:num>
  <w:num w:numId="13">
    <w:abstractNumId w:val="24"/>
  </w:num>
  <w:num w:numId="14">
    <w:abstractNumId w:val="8"/>
  </w:num>
  <w:num w:numId="15">
    <w:abstractNumId w:val="2"/>
  </w:num>
  <w:num w:numId="16">
    <w:abstractNumId w:val="3"/>
  </w:num>
  <w:num w:numId="17">
    <w:abstractNumId w:val="12"/>
  </w:num>
  <w:num w:numId="18">
    <w:abstractNumId w:val="41"/>
  </w:num>
  <w:num w:numId="19">
    <w:abstractNumId w:val="20"/>
  </w:num>
  <w:num w:numId="20">
    <w:abstractNumId w:val="16"/>
  </w:num>
  <w:num w:numId="21">
    <w:abstractNumId w:val="19"/>
  </w:num>
  <w:num w:numId="22">
    <w:abstractNumId w:val="9"/>
  </w:num>
  <w:num w:numId="23">
    <w:abstractNumId w:val="7"/>
  </w:num>
  <w:num w:numId="24">
    <w:abstractNumId w:val="4"/>
  </w:num>
  <w:num w:numId="25">
    <w:abstractNumId w:val="30"/>
  </w:num>
  <w:num w:numId="26">
    <w:abstractNumId w:val="31"/>
  </w:num>
  <w:num w:numId="27">
    <w:abstractNumId w:val="14"/>
  </w:num>
  <w:num w:numId="28">
    <w:abstractNumId w:val="36"/>
  </w:num>
  <w:num w:numId="29">
    <w:abstractNumId w:val="6"/>
  </w:num>
  <w:num w:numId="30">
    <w:abstractNumId w:val="1"/>
  </w:num>
  <w:num w:numId="31">
    <w:abstractNumId w:val="23"/>
  </w:num>
  <w:num w:numId="32">
    <w:abstractNumId w:val="29"/>
  </w:num>
  <w:num w:numId="33">
    <w:abstractNumId w:val="13"/>
  </w:num>
  <w:num w:numId="34">
    <w:abstractNumId w:val="43"/>
  </w:num>
  <w:num w:numId="35">
    <w:abstractNumId w:val="42"/>
  </w:num>
  <w:num w:numId="36">
    <w:abstractNumId w:val="10"/>
  </w:num>
  <w:num w:numId="37">
    <w:abstractNumId w:val="27"/>
  </w:num>
  <w:num w:numId="38">
    <w:abstractNumId w:val="34"/>
  </w:num>
  <w:num w:numId="39">
    <w:abstractNumId w:val="4"/>
  </w:num>
  <w:num w:numId="40">
    <w:abstractNumId w:val="17"/>
  </w:num>
  <w:num w:numId="41">
    <w:abstractNumId w:val="18"/>
  </w:num>
  <w:num w:numId="42">
    <w:abstractNumId w:val="33"/>
  </w:num>
  <w:num w:numId="43">
    <w:abstractNumId w:val="40"/>
  </w:num>
  <w:num w:numId="44">
    <w:abstractNumId w:val="15"/>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2A"/>
    <w:rsid w:val="000132E9"/>
    <w:rsid w:val="00013405"/>
    <w:rsid w:val="000146E1"/>
    <w:rsid w:val="000227E6"/>
    <w:rsid w:val="0002316F"/>
    <w:rsid w:val="000244FB"/>
    <w:rsid w:val="00026EFF"/>
    <w:rsid w:val="0002786E"/>
    <w:rsid w:val="00033A98"/>
    <w:rsid w:val="00034A0A"/>
    <w:rsid w:val="00034B87"/>
    <w:rsid w:val="000443D2"/>
    <w:rsid w:val="00044A64"/>
    <w:rsid w:val="00046053"/>
    <w:rsid w:val="000465E9"/>
    <w:rsid w:val="00047063"/>
    <w:rsid w:val="000472C3"/>
    <w:rsid w:val="00050F11"/>
    <w:rsid w:val="00080900"/>
    <w:rsid w:val="000836EF"/>
    <w:rsid w:val="00091F00"/>
    <w:rsid w:val="0009218D"/>
    <w:rsid w:val="000A4153"/>
    <w:rsid w:val="000B43F9"/>
    <w:rsid w:val="000C08B3"/>
    <w:rsid w:val="000C4F1D"/>
    <w:rsid w:val="000C54CB"/>
    <w:rsid w:val="000D082B"/>
    <w:rsid w:val="000D410B"/>
    <w:rsid w:val="000D5F4A"/>
    <w:rsid w:val="000D6BCF"/>
    <w:rsid w:val="000E5721"/>
    <w:rsid w:val="000E77CF"/>
    <w:rsid w:val="000E7DBD"/>
    <w:rsid w:val="000F45A2"/>
    <w:rsid w:val="0010606A"/>
    <w:rsid w:val="00110D1D"/>
    <w:rsid w:val="0011205C"/>
    <w:rsid w:val="00113CD7"/>
    <w:rsid w:val="00113F39"/>
    <w:rsid w:val="00121964"/>
    <w:rsid w:val="0012260F"/>
    <w:rsid w:val="00123E59"/>
    <w:rsid w:val="00124881"/>
    <w:rsid w:val="00126C90"/>
    <w:rsid w:val="001454DF"/>
    <w:rsid w:val="00147D18"/>
    <w:rsid w:val="00147DB3"/>
    <w:rsid w:val="001503AC"/>
    <w:rsid w:val="00153B40"/>
    <w:rsid w:val="00163CC7"/>
    <w:rsid w:val="001656CA"/>
    <w:rsid w:val="00167606"/>
    <w:rsid w:val="00170B72"/>
    <w:rsid w:val="00170CCA"/>
    <w:rsid w:val="0017149C"/>
    <w:rsid w:val="00176FE8"/>
    <w:rsid w:val="00195BC4"/>
    <w:rsid w:val="00195FA8"/>
    <w:rsid w:val="001A0506"/>
    <w:rsid w:val="001A2BE3"/>
    <w:rsid w:val="001B0FA4"/>
    <w:rsid w:val="001B1979"/>
    <w:rsid w:val="001B33BF"/>
    <w:rsid w:val="001C4BB6"/>
    <w:rsid w:val="001E10FD"/>
    <w:rsid w:val="001F367C"/>
    <w:rsid w:val="001F4051"/>
    <w:rsid w:val="00212973"/>
    <w:rsid w:val="002129CC"/>
    <w:rsid w:val="00233C22"/>
    <w:rsid w:val="002427C2"/>
    <w:rsid w:val="002431CC"/>
    <w:rsid w:val="002458DA"/>
    <w:rsid w:val="002471E3"/>
    <w:rsid w:val="00247B8E"/>
    <w:rsid w:val="002545AE"/>
    <w:rsid w:val="00255762"/>
    <w:rsid w:val="00260921"/>
    <w:rsid w:val="002617E0"/>
    <w:rsid w:val="00263FBE"/>
    <w:rsid w:val="00266ECD"/>
    <w:rsid w:val="002800B2"/>
    <w:rsid w:val="00280F68"/>
    <w:rsid w:val="00282FF0"/>
    <w:rsid w:val="0028773F"/>
    <w:rsid w:val="00291605"/>
    <w:rsid w:val="002A1DE7"/>
    <w:rsid w:val="002C0D46"/>
    <w:rsid w:val="002C36F8"/>
    <w:rsid w:val="002D1521"/>
    <w:rsid w:val="002E124C"/>
    <w:rsid w:val="002E266A"/>
    <w:rsid w:val="002E582F"/>
    <w:rsid w:val="002E6B59"/>
    <w:rsid w:val="002F699A"/>
    <w:rsid w:val="002F7A0D"/>
    <w:rsid w:val="003117F0"/>
    <w:rsid w:val="00313DB6"/>
    <w:rsid w:val="003148FF"/>
    <w:rsid w:val="00322D2F"/>
    <w:rsid w:val="00337E5B"/>
    <w:rsid w:val="0035111F"/>
    <w:rsid w:val="00353D0C"/>
    <w:rsid w:val="00356703"/>
    <w:rsid w:val="00366682"/>
    <w:rsid w:val="00370133"/>
    <w:rsid w:val="0039014A"/>
    <w:rsid w:val="00393B35"/>
    <w:rsid w:val="003A665F"/>
    <w:rsid w:val="003B284C"/>
    <w:rsid w:val="003D7D98"/>
    <w:rsid w:val="003E4292"/>
    <w:rsid w:val="003F0720"/>
    <w:rsid w:val="003F435D"/>
    <w:rsid w:val="00406ABF"/>
    <w:rsid w:val="00432BDA"/>
    <w:rsid w:val="00440A76"/>
    <w:rsid w:val="00444821"/>
    <w:rsid w:val="00454526"/>
    <w:rsid w:val="00466BDD"/>
    <w:rsid w:val="00480847"/>
    <w:rsid w:val="00481ABE"/>
    <w:rsid w:val="00482076"/>
    <w:rsid w:val="0048291A"/>
    <w:rsid w:val="0049527A"/>
    <w:rsid w:val="004B6317"/>
    <w:rsid w:val="004C599F"/>
    <w:rsid w:val="004D7B05"/>
    <w:rsid w:val="004E0529"/>
    <w:rsid w:val="004E49B2"/>
    <w:rsid w:val="004E7A31"/>
    <w:rsid w:val="004F0525"/>
    <w:rsid w:val="004F35F7"/>
    <w:rsid w:val="00501A4A"/>
    <w:rsid w:val="005058C6"/>
    <w:rsid w:val="00511139"/>
    <w:rsid w:val="005144D1"/>
    <w:rsid w:val="005278D2"/>
    <w:rsid w:val="00527BF3"/>
    <w:rsid w:val="00532293"/>
    <w:rsid w:val="00533217"/>
    <w:rsid w:val="00540A2A"/>
    <w:rsid w:val="005411A6"/>
    <w:rsid w:val="005441AF"/>
    <w:rsid w:val="00551702"/>
    <w:rsid w:val="005520A1"/>
    <w:rsid w:val="00552E15"/>
    <w:rsid w:val="00554C19"/>
    <w:rsid w:val="00554E55"/>
    <w:rsid w:val="005576CD"/>
    <w:rsid w:val="00570A70"/>
    <w:rsid w:val="005714D2"/>
    <w:rsid w:val="005732BF"/>
    <w:rsid w:val="00582693"/>
    <w:rsid w:val="00590605"/>
    <w:rsid w:val="005914CA"/>
    <w:rsid w:val="00594C88"/>
    <w:rsid w:val="005A1345"/>
    <w:rsid w:val="005D1DBB"/>
    <w:rsid w:val="005E50EA"/>
    <w:rsid w:val="005E5ACA"/>
    <w:rsid w:val="005F53B2"/>
    <w:rsid w:val="006207BD"/>
    <w:rsid w:val="006249CE"/>
    <w:rsid w:val="006270B2"/>
    <w:rsid w:val="0063500A"/>
    <w:rsid w:val="00635363"/>
    <w:rsid w:val="00647BDA"/>
    <w:rsid w:val="00651835"/>
    <w:rsid w:val="00655493"/>
    <w:rsid w:val="0067162A"/>
    <w:rsid w:val="0068795F"/>
    <w:rsid w:val="006A30F4"/>
    <w:rsid w:val="006A5678"/>
    <w:rsid w:val="006B1455"/>
    <w:rsid w:val="006B5C5B"/>
    <w:rsid w:val="006C5374"/>
    <w:rsid w:val="006D09E6"/>
    <w:rsid w:val="006E468D"/>
    <w:rsid w:val="006E561C"/>
    <w:rsid w:val="006F5168"/>
    <w:rsid w:val="006F65F6"/>
    <w:rsid w:val="00710D7F"/>
    <w:rsid w:val="00713567"/>
    <w:rsid w:val="00723AAA"/>
    <w:rsid w:val="007302CC"/>
    <w:rsid w:val="0073243F"/>
    <w:rsid w:val="00732BBD"/>
    <w:rsid w:val="00734ACB"/>
    <w:rsid w:val="00742222"/>
    <w:rsid w:val="00750981"/>
    <w:rsid w:val="00753731"/>
    <w:rsid w:val="007640A8"/>
    <w:rsid w:val="00770CD4"/>
    <w:rsid w:val="00774613"/>
    <w:rsid w:val="00777B86"/>
    <w:rsid w:val="007A464B"/>
    <w:rsid w:val="007B4140"/>
    <w:rsid w:val="007B497B"/>
    <w:rsid w:val="007B608E"/>
    <w:rsid w:val="007C210A"/>
    <w:rsid w:val="007C3090"/>
    <w:rsid w:val="007C469F"/>
    <w:rsid w:val="007D2549"/>
    <w:rsid w:val="007D54C3"/>
    <w:rsid w:val="007E1DCF"/>
    <w:rsid w:val="007E397A"/>
    <w:rsid w:val="007E5A3A"/>
    <w:rsid w:val="007E7681"/>
    <w:rsid w:val="007F23EE"/>
    <w:rsid w:val="008045CD"/>
    <w:rsid w:val="00804691"/>
    <w:rsid w:val="00821193"/>
    <w:rsid w:val="0083160B"/>
    <w:rsid w:val="0083639C"/>
    <w:rsid w:val="00836781"/>
    <w:rsid w:val="00840F40"/>
    <w:rsid w:val="00847FAF"/>
    <w:rsid w:val="0085020F"/>
    <w:rsid w:val="00851BA0"/>
    <w:rsid w:val="008524BE"/>
    <w:rsid w:val="00854C9D"/>
    <w:rsid w:val="0086074C"/>
    <w:rsid w:val="008744FA"/>
    <w:rsid w:val="0089314C"/>
    <w:rsid w:val="008A6C57"/>
    <w:rsid w:val="008A7B1F"/>
    <w:rsid w:val="008C16D0"/>
    <w:rsid w:val="008E0F48"/>
    <w:rsid w:val="008E2542"/>
    <w:rsid w:val="008E3ABF"/>
    <w:rsid w:val="008E69E6"/>
    <w:rsid w:val="009117B1"/>
    <w:rsid w:val="00913997"/>
    <w:rsid w:val="00917D61"/>
    <w:rsid w:val="00936C48"/>
    <w:rsid w:val="00941B5E"/>
    <w:rsid w:val="00970788"/>
    <w:rsid w:val="00986483"/>
    <w:rsid w:val="00993383"/>
    <w:rsid w:val="009A55BC"/>
    <w:rsid w:val="009B1633"/>
    <w:rsid w:val="009B7D35"/>
    <w:rsid w:val="009C0510"/>
    <w:rsid w:val="009D788E"/>
    <w:rsid w:val="009E1D26"/>
    <w:rsid w:val="009E6C5F"/>
    <w:rsid w:val="009F541F"/>
    <w:rsid w:val="009F5843"/>
    <w:rsid w:val="00A07B8F"/>
    <w:rsid w:val="00A162C0"/>
    <w:rsid w:val="00A204E0"/>
    <w:rsid w:val="00A21AD3"/>
    <w:rsid w:val="00A251CB"/>
    <w:rsid w:val="00A30791"/>
    <w:rsid w:val="00A43418"/>
    <w:rsid w:val="00A47F27"/>
    <w:rsid w:val="00A5052F"/>
    <w:rsid w:val="00A512FE"/>
    <w:rsid w:val="00A6350D"/>
    <w:rsid w:val="00A663E3"/>
    <w:rsid w:val="00A71ECE"/>
    <w:rsid w:val="00A724B3"/>
    <w:rsid w:val="00A74D8C"/>
    <w:rsid w:val="00A76C8D"/>
    <w:rsid w:val="00AA325D"/>
    <w:rsid w:val="00AA4268"/>
    <w:rsid w:val="00AC06FA"/>
    <w:rsid w:val="00AC15FF"/>
    <w:rsid w:val="00AC6A39"/>
    <w:rsid w:val="00AD1804"/>
    <w:rsid w:val="00AD4B3F"/>
    <w:rsid w:val="00AD6DFA"/>
    <w:rsid w:val="00AE0323"/>
    <w:rsid w:val="00AF0ACC"/>
    <w:rsid w:val="00AF1465"/>
    <w:rsid w:val="00AF6B3D"/>
    <w:rsid w:val="00B10A49"/>
    <w:rsid w:val="00B23F3A"/>
    <w:rsid w:val="00B35B1A"/>
    <w:rsid w:val="00B369AB"/>
    <w:rsid w:val="00B42ED3"/>
    <w:rsid w:val="00B45E95"/>
    <w:rsid w:val="00B57A0C"/>
    <w:rsid w:val="00B67BC1"/>
    <w:rsid w:val="00B7066A"/>
    <w:rsid w:val="00B77EAB"/>
    <w:rsid w:val="00B826CA"/>
    <w:rsid w:val="00B959F5"/>
    <w:rsid w:val="00B960DE"/>
    <w:rsid w:val="00B96395"/>
    <w:rsid w:val="00B97336"/>
    <w:rsid w:val="00BA367D"/>
    <w:rsid w:val="00BB383D"/>
    <w:rsid w:val="00BC53B0"/>
    <w:rsid w:val="00BC6EFF"/>
    <w:rsid w:val="00BE0326"/>
    <w:rsid w:val="00BE3414"/>
    <w:rsid w:val="00BE53DC"/>
    <w:rsid w:val="00BF41EF"/>
    <w:rsid w:val="00C01CB3"/>
    <w:rsid w:val="00C022FF"/>
    <w:rsid w:val="00C169B4"/>
    <w:rsid w:val="00C2633F"/>
    <w:rsid w:val="00C30668"/>
    <w:rsid w:val="00C324EB"/>
    <w:rsid w:val="00C34332"/>
    <w:rsid w:val="00C41257"/>
    <w:rsid w:val="00C467F0"/>
    <w:rsid w:val="00C55039"/>
    <w:rsid w:val="00C63D87"/>
    <w:rsid w:val="00C65F4F"/>
    <w:rsid w:val="00C66CF8"/>
    <w:rsid w:val="00C73217"/>
    <w:rsid w:val="00C75C7F"/>
    <w:rsid w:val="00C764BC"/>
    <w:rsid w:val="00C80F06"/>
    <w:rsid w:val="00C82A8A"/>
    <w:rsid w:val="00C912EA"/>
    <w:rsid w:val="00CA3C4A"/>
    <w:rsid w:val="00CB0BCF"/>
    <w:rsid w:val="00CC08A0"/>
    <w:rsid w:val="00CC2D86"/>
    <w:rsid w:val="00CC609C"/>
    <w:rsid w:val="00CC6D49"/>
    <w:rsid w:val="00CF0893"/>
    <w:rsid w:val="00CF0971"/>
    <w:rsid w:val="00CF7A2E"/>
    <w:rsid w:val="00D00712"/>
    <w:rsid w:val="00D10BEE"/>
    <w:rsid w:val="00D20CF8"/>
    <w:rsid w:val="00D21EAB"/>
    <w:rsid w:val="00D24688"/>
    <w:rsid w:val="00D32B26"/>
    <w:rsid w:val="00D345A8"/>
    <w:rsid w:val="00D45DD0"/>
    <w:rsid w:val="00D46998"/>
    <w:rsid w:val="00D50D62"/>
    <w:rsid w:val="00D52310"/>
    <w:rsid w:val="00D602C2"/>
    <w:rsid w:val="00D66564"/>
    <w:rsid w:val="00D77F09"/>
    <w:rsid w:val="00D85784"/>
    <w:rsid w:val="00D93129"/>
    <w:rsid w:val="00DA29EB"/>
    <w:rsid w:val="00DC0A57"/>
    <w:rsid w:val="00DC525D"/>
    <w:rsid w:val="00DD0AC2"/>
    <w:rsid w:val="00DD2376"/>
    <w:rsid w:val="00DD4C17"/>
    <w:rsid w:val="00DE0D68"/>
    <w:rsid w:val="00DE549C"/>
    <w:rsid w:val="00E05F43"/>
    <w:rsid w:val="00E1598D"/>
    <w:rsid w:val="00E16103"/>
    <w:rsid w:val="00E210A7"/>
    <w:rsid w:val="00E25D01"/>
    <w:rsid w:val="00E25F43"/>
    <w:rsid w:val="00E43495"/>
    <w:rsid w:val="00E454DB"/>
    <w:rsid w:val="00E510F7"/>
    <w:rsid w:val="00E51398"/>
    <w:rsid w:val="00E5772C"/>
    <w:rsid w:val="00E60601"/>
    <w:rsid w:val="00E65997"/>
    <w:rsid w:val="00E66958"/>
    <w:rsid w:val="00E67B50"/>
    <w:rsid w:val="00E70935"/>
    <w:rsid w:val="00E84B1F"/>
    <w:rsid w:val="00E9062B"/>
    <w:rsid w:val="00E9195F"/>
    <w:rsid w:val="00E91C40"/>
    <w:rsid w:val="00E97CA6"/>
    <w:rsid w:val="00EA05F5"/>
    <w:rsid w:val="00EA0E5E"/>
    <w:rsid w:val="00EA13BC"/>
    <w:rsid w:val="00EB0D78"/>
    <w:rsid w:val="00EB28A0"/>
    <w:rsid w:val="00EB428E"/>
    <w:rsid w:val="00EB6F9A"/>
    <w:rsid w:val="00EC2910"/>
    <w:rsid w:val="00EC3B3C"/>
    <w:rsid w:val="00ED3171"/>
    <w:rsid w:val="00ED7082"/>
    <w:rsid w:val="00EE194E"/>
    <w:rsid w:val="00EF6EA4"/>
    <w:rsid w:val="00F17EF7"/>
    <w:rsid w:val="00F25BD3"/>
    <w:rsid w:val="00F35456"/>
    <w:rsid w:val="00F36A87"/>
    <w:rsid w:val="00F46407"/>
    <w:rsid w:val="00F53F6F"/>
    <w:rsid w:val="00F54E69"/>
    <w:rsid w:val="00F55239"/>
    <w:rsid w:val="00F578D0"/>
    <w:rsid w:val="00F65049"/>
    <w:rsid w:val="00F743C9"/>
    <w:rsid w:val="00F77523"/>
    <w:rsid w:val="00F811BE"/>
    <w:rsid w:val="00F85945"/>
    <w:rsid w:val="00FA130B"/>
    <w:rsid w:val="00FA31D7"/>
    <w:rsid w:val="00FA6D6F"/>
    <w:rsid w:val="00FC781B"/>
    <w:rsid w:val="00FD1A00"/>
    <w:rsid w:val="00FD4B1A"/>
    <w:rsid w:val="00FD7951"/>
    <w:rsid w:val="00FE0340"/>
    <w:rsid w:val="00FF63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266827"/>
  <w15:docId w15:val="{D36881F2-DAED-44F4-87A4-1F2D25B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9C"/>
    <w:pPr>
      <w:ind w:left="720"/>
      <w:contextualSpacing/>
    </w:pPr>
  </w:style>
  <w:style w:type="table" w:styleId="TableGrid">
    <w:name w:val="Table Grid"/>
    <w:basedOn w:val="TableNormal"/>
    <w:uiPriority w:val="39"/>
    <w:rsid w:val="0083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9314C"/>
    <w:pPr>
      <w:spacing w:line="240" w:lineRule="auto"/>
    </w:pPr>
    <w:rPr>
      <w:sz w:val="20"/>
      <w:szCs w:val="20"/>
    </w:rPr>
  </w:style>
  <w:style w:type="character" w:customStyle="1" w:styleId="CommentTextChar">
    <w:name w:val="Comment Text Char"/>
    <w:basedOn w:val="DefaultParagraphFont"/>
    <w:link w:val="CommentText"/>
    <w:uiPriority w:val="99"/>
    <w:semiHidden/>
    <w:rsid w:val="0089314C"/>
    <w:rPr>
      <w:sz w:val="20"/>
      <w:szCs w:val="20"/>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Char,Char,Podrozdział"/>
    <w:basedOn w:val="Normal"/>
    <w:link w:val="FootnoteTextChar"/>
    <w:rsid w:val="0089314C"/>
    <w:pPr>
      <w:spacing w:after="0" w:line="240" w:lineRule="auto"/>
    </w:pPr>
    <w:rPr>
      <w:rFonts w:ascii="Calibri" w:eastAsia="Calibri" w:hAnsi="Calibri" w:cs="Calibri"/>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89314C"/>
    <w:rPr>
      <w:rFonts w:ascii="Calibri" w:eastAsia="Calibri" w:hAnsi="Calibri" w:cs="Calibri"/>
      <w:sz w:val="20"/>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basedOn w:val="DefaultParagraphFont"/>
    <w:uiPriority w:val="99"/>
    <w:rsid w:val="0089314C"/>
    <w:rPr>
      <w:vertAlign w:val="superscript"/>
    </w:rPr>
  </w:style>
  <w:style w:type="character" w:styleId="CommentReference">
    <w:name w:val="annotation reference"/>
    <w:basedOn w:val="DefaultParagraphFont"/>
    <w:uiPriority w:val="99"/>
    <w:semiHidden/>
    <w:rsid w:val="0089314C"/>
    <w:rPr>
      <w:sz w:val="16"/>
      <w:szCs w:val="16"/>
    </w:rPr>
  </w:style>
  <w:style w:type="table" w:customStyle="1" w:styleId="TableGrid1">
    <w:name w:val="Table Grid1"/>
    <w:basedOn w:val="TableNormal"/>
    <w:next w:val="TableGrid"/>
    <w:rsid w:val="000C4F1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ен текст_"/>
    <w:basedOn w:val="DefaultParagraphFont"/>
    <w:link w:val="a0"/>
    <w:rsid w:val="00570A70"/>
    <w:rPr>
      <w:rFonts w:ascii="Times New Roman" w:eastAsia="Times New Roman" w:hAnsi="Times New Roman" w:cs="Times New Roman"/>
      <w:shd w:val="clear" w:color="auto" w:fill="FFFFFF"/>
    </w:rPr>
  </w:style>
  <w:style w:type="paragraph" w:customStyle="1" w:styleId="a0">
    <w:name w:val="Основен текст"/>
    <w:basedOn w:val="Normal"/>
    <w:link w:val="a"/>
    <w:rsid w:val="00570A70"/>
    <w:pPr>
      <w:widowControl w:val="0"/>
      <w:shd w:val="clear" w:color="auto" w:fill="FFFFFF"/>
      <w:spacing w:after="540" w:line="0" w:lineRule="atLeast"/>
      <w:ind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DE0D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0D68"/>
  </w:style>
  <w:style w:type="paragraph" w:styleId="Footer">
    <w:name w:val="footer"/>
    <w:basedOn w:val="Normal"/>
    <w:link w:val="FooterChar"/>
    <w:uiPriority w:val="99"/>
    <w:unhideWhenUsed/>
    <w:rsid w:val="00DE0D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0D68"/>
  </w:style>
  <w:style w:type="table" w:customStyle="1" w:styleId="TableGrid2">
    <w:name w:val="Table Grid2"/>
    <w:basedOn w:val="TableNormal"/>
    <w:next w:val="TableGrid"/>
    <w:uiPriority w:val="39"/>
    <w:rsid w:val="00DD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EC3B3C"/>
  </w:style>
  <w:style w:type="paragraph" w:styleId="BalloonText">
    <w:name w:val="Balloon Text"/>
    <w:basedOn w:val="Normal"/>
    <w:link w:val="BalloonTextChar"/>
    <w:uiPriority w:val="99"/>
    <w:semiHidden/>
    <w:unhideWhenUsed/>
    <w:rsid w:val="00E2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43"/>
    <w:rPr>
      <w:rFonts w:ascii="Segoe UI" w:hAnsi="Segoe UI" w:cs="Segoe UI"/>
      <w:sz w:val="18"/>
      <w:szCs w:val="18"/>
    </w:rPr>
  </w:style>
  <w:style w:type="table" w:customStyle="1" w:styleId="TableGrid21">
    <w:name w:val="Table Grid21"/>
    <w:basedOn w:val="TableNormal"/>
    <w:next w:val="TableGrid"/>
    <w:uiPriority w:val="39"/>
    <w:rsid w:val="0062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2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6703"/>
    <w:rPr>
      <w:b/>
      <w:bCs/>
    </w:rPr>
  </w:style>
  <w:style w:type="character" w:customStyle="1" w:styleId="CommentSubjectChar">
    <w:name w:val="Comment Subject Char"/>
    <w:basedOn w:val="CommentTextChar"/>
    <w:link w:val="CommentSubject"/>
    <w:uiPriority w:val="99"/>
    <w:semiHidden/>
    <w:rsid w:val="00356703"/>
    <w:rPr>
      <w:b/>
      <w:bCs/>
      <w:sz w:val="20"/>
      <w:szCs w:val="20"/>
    </w:rPr>
  </w:style>
  <w:style w:type="paragraph" w:styleId="NoSpacing">
    <w:name w:val="No Spacing"/>
    <w:link w:val="NoSpacingChar"/>
    <w:uiPriority w:val="1"/>
    <w:qFormat/>
    <w:rsid w:val="00540A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0A2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9442">
      <w:bodyDiv w:val="1"/>
      <w:marLeft w:val="0"/>
      <w:marRight w:val="0"/>
      <w:marTop w:val="0"/>
      <w:marBottom w:val="0"/>
      <w:divBdr>
        <w:top w:val="none" w:sz="0" w:space="0" w:color="auto"/>
        <w:left w:val="none" w:sz="0" w:space="0" w:color="auto"/>
        <w:bottom w:val="none" w:sz="0" w:space="0" w:color="auto"/>
        <w:right w:val="none" w:sz="0" w:space="0" w:color="auto"/>
      </w:divBdr>
    </w:div>
    <w:div w:id="451482772">
      <w:bodyDiv w:val="1"/>
      <w:marLeft w:val="0"/>
      <w:marRight w:val="0"/>
      <w:marTop w:val="0"/>
      <w:marBottom w:val="0"/>
      <w:divBdr>
        <w:top w:val="none" w:sz="0" w:space="0" w:color="auto"/>
        <w:left w:val="none" w:sz="0" w:space="0" w:color="auto"/>
        <w:bottom w:val="none" w:sz="0" w:space="0" w:color="auto"/>
        <w:right w:val="none" w:sz="0" w:space="0" w:color="auto"/>
      </w:divBdr>
    </w:div>
    <w:div w:id="14532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0965|8|44|"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ergy/en/topics/renewable-energy/progres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76F4-163C-4330-9A16-6D8D7CCE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28915</Words>
  <Characters>164820</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НАЦИОНАЛНА РАМКА ЗА ПОЛИТИКА</vt:lpstr>
    </vt:vector>
  </TitlesOfParts>
  <Company>MTITC</Company>
  <LinksUpToDate>false</LinksUpToDate>
  <CharactersWithSpaces>193349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РАМКА ЗА ПОЛИТИКА</dc:title>
  <dc:subject>за развитието на пазара на алтернативни горива в транспортния сектор и за разгръщането на съответната инфраструктура</dc:subject>
  <dc:creator>Georgi Petrov Bozhinov</dc:creator>
  <cp:lastModifiedBy>Anna Kardjeva</cp:lastModifiedBy>
  <cp:revision>2</cp:revision>
  <cp:lastPrinted>2016-12-23T08:57:00Z</cp:lastPrinted>
  <dcterms:created xsi:type="dcterms:W3CDTF">2017-01-10T14:11:00Z</dcterms:created>
  <dcterms:modified xsi:type="dcterms:W3CDTF">2017-01-10T14:11:00Z</dcterms:modified>
</cp:coreProperties>
</file>