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FF" w:rsidRDefault="004679AB" w:rsidP="00467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679AB" w:rsidRDefault="004679AB" w:rsidP="00467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55F" w:rsidRDefault="004679AB" w:rsidP="004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</w:t>
      </w:r>
      <w:r w:rsidRPr="004679AB">
        <w:rPr>
          <w:rFonts w:ascii="Times New Roman" w:hAnsi="Times New Roman" w:cs="Times New Roman"/>
          <w:b/>
          <w:sz w:val="24"/>
          <w:szCs w:val="24"/>
        </w:rPr>
        <w:t>Наредба № 60 от</w:t>
      </w:r>
      <w:r w:rsidR="00D00F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24.04.</w:t>
      </w:r>
      <w:r w:rsidRPr="004679AB">
        <w:rPr>
          <w:rFonts w:ascii="Times New Roman" w:hAnsi="Times New Roman" w:cs="Times New Roman"/>
          <w:b/>
          <w:sz w:val="24"/>
          <w:szCs w:val="24"/>
        </w:rPr>
        <w:t>2009 г. за одобряване типа на нови моторни превозни средства и техните ремаркета</w:t>
      </w:r>
    </w:p>
    <w:p w:rsidR="004679AB" w:rsidRDefault="004679AB" w:rsidP="004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5F">
        <w:rPr>
          <w:rFonts w:ascii="Times New Roman" w:hAnsi="Times New Roman" w:cs="Times New Roman"/>
          <w:sz w:val="24"/>
          <w:szCs w:val="24"/>
        </w:rPr>
        <w:t>(обн., ДВ, бр. 40 от 2009 г., изм. и доп., бр. 75 от 2012 г., бр. 77 от 2013 г., бр. 17 от 2015 г., бр. 69 от 2016 г., бр. 1 от 2017 г., бр. 53 от 2018 г., бр. 39 и 55 от 2019 г.)</w:t>
      </w:r>
    </w:p>
    <w:p w:rsidR="004679AB" w:rsidRPr="004679AB" w:rsidRDefault="004679AB" w:rsidP="004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AB" w:rsidRPr="004679AB" w:rsidRDefault="004679AB" w:rsidP="004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AB" w:rsidRPr="004679AB" w:rsidRDefault="004679AB" w:rsidP="004679AB">
      <w:pPr>
        <w:widowControl w:val="0"/>
        <w:spacing w:after="0" w:line="240" w:lineRule="auto"/>
        <w:ind w:left="-426" w:firstLine="993"/>
        <w:jc w:val="both"/>
        <w:rPr>
          <w:rFonts w:ascii="Liberation Serif" w:eastAsia="Liberation Serif" w:hAnsi="Liberation Serif" w:cs="Liberation Serif"/>
          <w:bCs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b/>
          <w:sz w:val="24"/>
          <w:szCs w:val="24"/>
        </w:rPr>
        <w:t xml:space="preserve">§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1</w:t>
      </w:r>
      <w:r w:rsidRPr="004679AB">
        <w:rPr>
          <w:rFonts w:ascii="Liberation Serif" w:eastAsia="Liberation Serif" w:hAnsi="Liberation Serif" w:cs="Liberation Serif"/>
          <w:b/>
          <w:sz w:val="24"/>
          <w:szCs w:val="24"/>
        </w:rPr>
        <w:t xml:space="preserve">. </w:t>
      </w:r>
      <w:r w:rsidRPr="004679AB">
        <w:rPr>
          <w:rFonts w:ascii="Liberation Serif" w:eastAsia="Liberation Serif" w:hAnsi="Liberation Serif" w:cs="Liberation Serif"/>
          <w:bCs/>
          <w:sz w:val="24"/>
          <w:szCs w:val="24"/>
        </w:rPr>
        <w:t xml:space="preserve">В </w:t>
      </w:r>
      <w:r w:rsidRPr="004679AB">
        <w:rPr>
          <w:rFonts w:ascii="Liberation Serif" w:eastAsia="Liberation Serif" w:hAnsi="Liberation Serif" w:cs="Liberation Serif"/>
          <w:sz w:val="24"/>
          <w:szCs w:val="24"/>
        </w:rPr>
        <w:t xml:space="preserve">приложение № 10, допълнение № 3 </w:t>
      </w:r>
      <w:r w:rsidRPr="004679AB">
        <w:rPr>
          <w:rFonts w:ascii="Liberation Serif" w:eastAsia="Liberation Serif" w:hAnsi="Liberation Serif" w:cs="Liberation Serif"/>
          <w:bCs/>
          <w:sz w:val="24"/>
          <w:szCs w:val="24"/>
        </w:rPr>
        <w:t>се правят следните изменения и допълнения:</w:t>
      </w:r>
    </w:p>
    <w:p w:rsidR="004679AB" w:rsidRPr="004679AB" w:rsidRDefault="004679AB" w:rsidP="004679AB">
      <w:pPr>
        <w:widowControl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4679AB">
        <w:rPr>
          <w:rFonts w:ascii="Liberation Serif" w:eastAsia="Liberation Serif" w:hAnsi="Liberation Serif" w:cs="Liberation Serif"/>
          <w:sz w:val="24"/>
          <w:szCs w:val="24"/>
        </w:rPr>
        <w:t xml:space="preserve">В ред 2А от таблицата, колона „Алтернативни изисквания“, т. 1 </w:t>
      </w:r>
      <w:r w:rsidR="00D00FBB">
        <w:rPr>
          <w:rFonts w:ascii="Liberation Serif" w:eastAsia="Liberation Serif" w:hAnsi="Liberation Serif" w:cs="Liberation Serif"/>
          <w:sz w:val="24"/>
          <w:szCs w:val="24"/>
        </w:rPr>
        <w:t>„</w:t>
      </w:r>
      <w:r w:rsidRPr="004679AB">
        <w:rPr>
          <w:rFonts w:ascii="Liberation Serif" w:eastAsia="Liberation Serif" w:hAnsi="Liberation Serif" w:cs="Liberation Serif"/>
          <w:sz w:val="24"/>
          <w:szCs w:val="24"/>
        </w:rPr>
        <w:t>Емисии от изхода на шумозаглушителя“, първо и второ изречение се изменят така:</w:t>
      </w:r>
    </w:p>
    <w:p w:rsidR="004679AB" w:rsidRPr="004679AB" w:rsidRDefault="004679AB" w:rsidP="004679AB">
      <w:pPr>
        <w:widowControl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sz w:val="24"/>
          <w:szCs w:val="24"/>
        </w:rPr>
        <w:t>„Провежда се изпитване от тип I в съответствие с приложение III към Регламент (ЕО) № 692/2008, като се използват коефициентите на влошаване, посочени в точка 1.4 от приложение VII към Регламент (ЕО) № 692/2008. Приложимите гранични стойности са посочените в таблица 1 и таблица 2 от приложение I към Регламент (ЕО) № 715/2007.“</w:t>
      </w:r>
    </w:p>
    <w:p w:rsidR="004679AB" w:rsidRPr="004679AB" w:rsidRDefault="004679AB" w:rsidP="004679AB">
      <w:pPr>
        <w:widowControl w:val="0"/>
        <w:spacing w:before="120" w:after="12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sz w:val="24"/>
          <w:szCs w:val="24"/>
        </w:rPr>
        <w:t>2. Ред 3А от таблицата се изменя така: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647"/>
        <w:gridCol w:w="1843"/>
        <w:gridCol w:w="4111"/>
        <w:gridCol w:w="1411"/>
      </w:tblGrid>
      <w:tr w:rsidR="004679AB" w:rsidRPr="004679AB" w:rsidTr="001128F8">
        <w:tc>
          <w:tcPr>
            <w:tcW w:w="616" w:type="dxa"/>
          </w:tcPr>
          <w:p w:rsidR="004679AB" w:rsidRPr="004679AB" w:rsidRDefault="004679AB" w:rsidP="004679AB">
            <w:pPr>
              <w:jc w:val="both"/>
            </w:pPr>
            <w:r w:rsidRPr="004679AB">
              <w:t>„3А</w:t>
            </w:r>
          </w:p>
        </w:tc>
        <w:tc>
          <w:tcPr>
            <w:tcW w:w="1647" w:type="dxa"/>
          </w:tcPr>
          <w:p w:rsidR="004679AB" w:rsidRPr="004679AB" w:rsidRDefault="004679AB" w:rsidP="004679AB">
            <w:pPr>
              <w:jc w:val="both"/>
            </w:pPr>
            <w:r w:rsidRPr="004679AB">
              <w:t>Резервоари за гориво</w:t>
            </w:r>
          </w:p>
        </w:tc>
        <w:tc>
          <w:tcPr>
            <w:tcW w:w="1843" w:type="dxa"/>
          </w:tcPr>
          <w:p w:rsidR="004679AB" w:rsidRPr="004679AB" w:rsidRDefault="004679AB" w:rsidP="004679AB">
            <w:r w:rsidRPr="004679AB">
              <w:t>Регламент (ЕО) № 661/2009</w:t>
            </w:r>
          </w:p>
          <w:p w:rsidR="004679AB" w:rsidRPr="004679AB" w:rsidRDefault="004679AB" w:rsidP="004679AB">
            <w:pPr>
              <w:jc w:val="both"/>
            </w:pPr>
            <w:r w:rsidRPr="004679AB">
              <w:t>Правило № 34 на ИКЕ на ООН</w:t>
            </w:r>
          </w:p>
        </w:tc>
        <w:tc>
          <w:tcPr>
            <w:tcW w:w="4111" w:type="dxa"/>
          </w:tcPr>
          <w:p w:rsidR="004679AB" w:rsidRPr="004679AB" w:rsidRDefault="00B81A10" w:rsidP="004679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="004679AB" w:rsidRPr="004679AB">
              <w:t>Резервоари за гориво</w:t>
            </w:r>
            <w:r>
              <w:rPr>
                <w:lang w:val="en-US"/>
              </w:rPr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>а) Резервоарите за гориво трябва да отговарят на изискванията на точка 5 от Правило № 34 на ИКЕ на ООН, с изключение на точки 5.1, 5.2 и 5.12. По-специално резервоарите за гориво трябва да отговарят на изискванията на точки 5.9 и 5.9.1, без обаче да се провежда водна проба (изпитване).</w:t>
            </w:r>
          </w:p>
          <w:p w:rsidR="004679AB" w:rsidRPr="004679AB" w:rsidRDefault="004679AB" w:rsidP="004679AB">
            <w:pPr>
              <w:jc w:val="both"/>
            </w:pPr>
            <w:r w:rsidRPr="004679AB">
              <w:t>б) Резервоарите за ВНГ или СПГ трябва да са получили одобряване на типа съответно съгласно Правило № 67 на ИКЕ на ООН, серия от изменения 01 или Правило № 110 на ИКЕ на ООН</w:t>
            </w:r>
            <w:r w:rsidRPr="004679AB">
              <w:rPr>
                <w:vertAlign w:val="superscript"/>
              </w:rPr>
              <w:t>(г)</w:t>
            </w:r>
          </w:p>
          <w:p w:rsidR="004679AB" w:rsidRPr="004679AB" w:rsidRDefault="00B81A10" w:rsidP="004679AB">
            <w:pPr>
              <w:jc w:val="both"/>
            </w:pPr>
            <w:r w:rsidRPr="00B81A10">
              <w:t xml:space="preserve">2. </w:t>
            </w:r>
            <w:r w:rsidRPr="004679AB">
              <w:t xml:space="preserve">Резервоари </w:t>
            </w:r>
            <w:r w:rsidR="004679AB" w:rsidRPr="004679AB">
              <w:t>за гориво, изработени от пластмаса</w:t>
            </w:r>
            <w:r w:rsidRPr="00B81A10"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>Заявителят прилага декларация от производителя, с която удостоверява, че резервоарът за гориво на конкретното превозно средство, чийто идентификационен номер VIN се посочва, отговаря на изискванията на най-малко един от следните документи:</w:t>
            </w:r>
          </w:p>
          <w:p w:rsidR="004679AB" w:rsidRPr="004679AB" w:rsidRDefault="004679AB" w:rsidP="004679AB">
            <w:pPr>
              <w:jc w:val="both"/>
            </w:pPr>
            <w:r w:rsidRPr="004679AB">
              <w:t xml:space="preserve">- FMVSS (Стандарт относно безопасността на моторните превозни средства на Министерството на транспорта на САЩ) № 301 (Работоспособност на горивната уредба); или </w:t>
            </w:r>
          </w:p>
          <w:p w:rsidR="004679AB" w:rsidRPr="004679AB" w:rsidRDefault="004679AB" w:rsidP="004679AB">
            <w:pPr>
              <w:jc w:val="both"/>
            </w:pPr>
            <w:r w:rsidRPr="004679AB">
              <w:t>- Приложение 5 към Правило № 34 на ИКЕ на ООН.</w:t>
            </w:r>
          </w:p>
        </w:tc>
        <w:tc>
          <w:tcPr>
            <w:tcW w:w="1411" w:type="dxa"/>
          </w:tcPr>
          <w:p w:rsidR="004679AB" w:rsidRPr="004679AB" w:rsidRDefault="004679AB" w:rsidP="004679AB">
            <w:pPr>
              <w:jc w:val="both"/>
              <w:rPr>
                <w:rFonts w:ascii="Times New Roman" w:hAnsi="Times New Roman" w:cs="Times New Roman"/>
              </w:rPr>
            </w:pPr>
            <w:r w:rsidRPr="004679AB">
              <w:rPr>
                <w:rFonts w:ascii="Times New Roman" w:hAnsi="Times New Roman" w:cs="Times New Roman"/>
                <w:lang w:val="en-US"/>
              </w:rPr>
              <w:t>M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4679AB">
              <w:rPr>
                <w:rFonts w:ascii="Times New Roman" w:hAnsi="Times New Roman" w:cs="Times New Roman"/>
                <w:lang w:val="en-US"/>
              </w:rPr>
              <w:t>, M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679AB">
              <w:rPr>
                <w:rFonts w:ascii="Times New Roman" w:hAnsi="Times New Roman" w:cs="Times New Roman"/>
                <w:lang w:val="en-US"/>
              </w:rPr>
              <w:t>, M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4679AB">
              <w:rPr>
                <w:rFonts w:ascii="Times New Roman" w:hAnsi="Times New Roman" w:cs="Times New Roman"/>
                <w:lang w:val="en-US"/>
              </w:rPr>
              <w:t>, N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4679AB">
              <w:rPr>
                <w:rFonts w:ascii="Times New Roman" w:hAnsi="Times New Roman" w:cs="Times New Roman"/>
                <w:lang w:val="en-US"/>
              </w:rPr>
              <w:t>, N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679AB">
              <w:rPr>
                <w:rFonts w:ascii="Times New Roman" w:hAnsi="Times New Roman" w:cs="Times New Roman"/>
                <w:lang w:val="en-US"/>
              </w:rPr>
              <w:t>, N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4679AB">
              <w:rPr>
                <w:rFonts w:ascii="Times New Roman" w:hAnsi="Times New Roman" w:cs="Times New Roman"/>
                <w:lang w:val="en-US"/>
              </w:rPr>
              <w:t>, O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4679AB">
              <w:rPr>
                <w:rFonts w:ascii="Times New Roman" w:hAnsi="Times New Roman" w:cs="Times New Roman"/>
                <w:lang w:val="en-US"/>
              </w:rPr>
              <w:t>, O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679AB">
              <w:rPr>
                <w:rFonts w:ascii="Times New Roman" w:hAnsi="Times New Roman" w:cs="Times New Roman"/>
                <w:lang w:val="en-US"/>
              </w:rPr>
              <w:t>, O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4679AB">
              <w:rPr>
                <w:rFonts w:ascii="Times New Roman" w:hAnsi="Times New Roman" w:cs="Times New Roman"/>
                <w:lang w:val="en-US"/>
              </w:rPr>
              <w:t>, O</w:t>
            </w:r>
            <w:r w:rsidRPr="004679AB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4679AB">
              <w:rPr>
                <w:rFonts w:ascii="Times New Roman" w:hAnsi="Times New Roman" w:cs="Times New Roman"/>
              </w:rPr>
              <w:t>“</w:t>
            </w:r>
          </w:p>
        </w:tc>
      </w:tr>
    </w:tbl>
    <w:p w:rsidR="004679AB" w:rsidRPr="004679AB" w:rsidRDefault="004679AB" w:rsidP="004679AB">
      <w:pPr>
        <w:widowControl w:val="0"/>
        <w:spacing w:before="120" w:after="12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sz w:val="24"/>
          <w:szCs w:val="24"/>
        </w:rPr>
        <w:t>3. След ред 9Б от таблицата се създава ред 10А: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094"/>
        <w:gridCol w:w="1843"/>
        <w:gridCol w:w="3544"/>
        <w:gridCol w:w="1411"/>
      </w:tblGrid>
      <w:tr w:rsidR="004679AB" w:rsidRPr="004679AB" w:rsidTr="001128F8">
        <w:tc>
          <w:tcPr>
            <w:tcW w:w="736" w:type="dxa"/>
          </w:tcPr>
          <w:p w:rsidR="004679AB" w:rsidRPr="004679AB" w:rsidRDefault="004679AB" w:rsidP="004679AB">
            <w:pPr>
              <w:jc w:val="both"/>
            </w:pPr>
            <w:r w:rsidRPr="004679AB">
              <w:lastRenderedPageBreak/>
              <w:t>„10А</w:t>
            </w:r>
          </w:p>
        </w:tc>
        <w:tc>
          <w:tcPr>
            <w:tcW w:w="2094" w:type="dxa"/>
          </w:tcPr>
          <w:p w:rsidR="004679AB" w:rsidRPr="004679AB" w:rsidRDefault="004679AB" w:rsidP="004679AB">
            <w:pPr>
              <w:jc w:val="both"/>
            </w:pPr>
            <w:proofErr w:type="spellStart"/>
            <w:r w:rsidRPr="004679AB">
              <w:t>Радиосмущения</w:t>
            </w:r>
            <w:proofErr w:type="spellEnd"/>
            <w:r w:rsidRPr="004679AB">
              <w:t xml:space="preserve"> (електромагнитна съвместимост)</w:t>
            </w:r>
          </w:p>
        </w:tc>
        <w:tc>
          <w:tcPr>
            <w:tcW w:w="1843" w:type="dxa"/>
          </w:tcPr>
          <w:p w:rsidR="004679AB" w:rsidRPr="004679AB" w:rsidRDefault="004679AB" w:rsidP="004679AB">
            <w:pPr>
              <w:jc w:val="both"/>
            </w:pPr>
            <w:r w:rsidRPr="004679AB">
              <w:t>Регламент (ЕО) № 661/2009</w:t>
            </w:r>
          </w:p>
          <w:p w:rsidR="004679AB" w:rsidRPr="004679AB" w:rsidRDefault="004679AB" w:rsidP="004679AB">
            <w:pPr>
              <w:jc w:val="both"/>
            </w:pPr>
            <w:r w:rsidRPr="004679AB">
              <w:t>Правило № 10 на ИКЕ на ООН</w:t>
            </w:r>
          </w:p>
        </w:tc>
        <w:tc>
          <w:tcPr>
            <w:tcW w:w="3544" w:type="dxa"/>
          </w:tcPr>
          <w:p w:rsidR="004679AB" w:rsidRPr="004679AB" w:rsidRDefault="00B81A10" w:rsidP="004679AB">
            <w:pPr>
              <w:jc w:val="both"/>
            </w:pPr>
            <w:r>
              <w:t xml:space="preserve">1. </w:t>
            </w:r>
            <w:r w:rsidR="004679AB" w:rsidRPr="004679AB">
              <w:t>Компоненти</w:t>
            </w:r>
            <w:r w:rsidR="00D00FBB"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>а) За електрическите/ електронните възли не се изисква одобряване на типа в съответствие с Правило № 10 на ИКЕ на ООН.</w:t>
            </w:r>
          </w:p>
          <w:p w:rsidR="004679AB" w:rsidRPr="004679AB" w:rsidRDefault="004679AB" w:rsidP="004679AB">
            <w:pPr>
              <w:jc w:val="both"/>
            </w:pPr>
            <w:r w:rsidRPr="004679AB">
              <w:t>б) Допълнително монтираните електрически/електронни устройства трябва да отговарят на изискванията на Правило № 10 на ИКЕ на ООН.</w:t>
            </w:r>
          </w:p>
          <w:p w:rsidR="004679AB" w:rsidRPr="004679AB" w:rsidRDefault="00B81A10" w:rsidP="004679AB">
            <w:pPr>
              <w:jc w:val="both"/>
            </w:pPr>
            <w:r>
              <w:t xml:space="preserve">2. </w:t>
            </w:r>
            <w:r w:rsidR="004679AB" w:rsidRPr="004679AB">
              <w:t>Излъчени електромагнитни смущения</w:t>
            </w:r>
            <w:r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>Заявителят прилага декларация от производителя, с която удостоверява, че превозното средство отговаря на изискванията на Правило № 10 на ИКЕ на ООН или на следните алтернативни стандарти</w:t>
            </w:r>
            <w:r w:rsidR="00D00FBB"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 xml:space="preserve">- широколентово електромагнитно излъчване: </w:t>
            </w:r>
            <w:r w:rsidRPr="004679AB">
              <w:rPr>
                <w:lang w:val="en-US"/>
              </w:rPr>
              <w:t>CISPR</w:t>
            </w:r>
            <w:r w:rsidRPr="004679AB">
              <w:t xml:space="preserve"> 12 или </w:t>
            </w:r>
            <w:r w:rsidRPr="004679AB">
              <w:rPr>
                <w:lang w:val="en-US"/>
              </w:rPr>
              <w:t>SAE</w:t>
            </w:r>
            <w:r w:rsidRPr="004679AB">
              <w:t xml:space="preserve"> </w:t>
            </w:r>
            <w:r w:rsidRPr="004679AB">
              <w:rPr>
                <w:lang w:val="en-US"/>
              </w:rPr>
              <w:t>J</w:t>
            </w:r>
            <w:r w:rsidRPr="004679AB">
              <w:t>551-2;</w:t>
            </w:r>
          </w:p>
          <w:p w:rsidR="004679AB" w:rsidRPr="004679AB" w:rsidRDefault="004679AB" w:rsidP="004679AB">
            <w:pPr>
              <w:jc w:val="both"/>
            </w:pPr>
            <w:r w:rsidRPr="004679AB">
              <w:t xml:space="preserve">- </w:t>
            </w:r>
            <w:proofErr w:type="spellStart"/>
            <w:r w:rsidRPr="004679AB">
              <w:t>теснолентово</w:t>
            </w:r>
            <w:proofErr w:type="spellEnd"/>
            <w:r w:rsidRPr="004679AB">
              <w:t xml:space="preserve"> електромагнитно излъчване: </w:t>
            </w:r>
            <w:r w:rsidRPr="004679AB">
              <w:rPr>
                <w:lang w:val="en-US"/>
              </w:rPr>
              <w:t>CISPR</w:t>
            </w:r>
            <w:r w:rsidRPr="004679AB">
              <w:t xml:space="preserve"> 12 (извън превозното средство) или CISPR 25 (в превозното средство) или </w:t>
            </w:r>
            <w:r w:rsidRPr="004679AB">
              <w:rPr>
                <w:lang w:val="en-US"/>
              </w:rPr>
              <w:t>SAE</w:t>
            </w:r>
            <w:r w:rsidRPr="004679AB">
              <w:t xml:space="preserve"> </w:t>
            </w:r>
            <w:r w:rsidRPr="004679AB">
              <w:rPr>
                <w:lang w:val="en-US"/>
              </w:rPr>
              <w:t>J</w:t>
            </w:r>
            <w:r w:rsidRPr="004679AB">
              <w:t xml:space="preserve">551-4 и </w:t>
            </w:r>
            <w:r w:rsidRPr="004679AB">
              <w:rPr>
                <w:lang w:val="en-US"/>
              </w:rPr>
              <w:t>SAE</w:t>
            </w:r>
            <w:r w:rsidRPr="004679AB">
              <w:t xml:space="preserve"> </w:t>
            </w:r>
            <w:r w:rsidRPr="004679AB">
              <w:rPr>
                <w:lang w:val="en-US"/>
              </w:rPr>
              <w:t>J</w:t>
            </w:r>
            <w:r w:rsidRPr="004679AB">
              <w:t>1113-41.</w:t>
            </w:r>
          </w:p>
          <w:p w:rsidR="004679AB" w:rsidRPr="004679AB" w:rsidRDefault="00B81A10" w:rsidP="004679AB">
            <w:pPr>
              <w:jc w:val="both"/>
            </w:pPr>
            <w:r>
              <w:t xml:space="preserve">3. </w:t>
            </w:r>
            <w:r w:rsidR="004679AB" w:rsidRPr="004679AB">
              <w:t>Изпитване за устойчивост</w:t>
            </w:r>
            <w:r>
              <w:t>:</w:t>
            </w:r>
          </w:p>
          <w:p w:rsidR="004679AB" w:rsidRPr="004679AB" w:rsidRDefault="004679AB" w:rsidP="004679AB">
            <w:pPr>
              <w:jc w:val="both"/>
            </w:pPr>
            <w:r w:rsidRPr="004679AB">
              <w:t>Изпитване за устойчивост не се извършва.</w:t>
            </w:r>
          </w:p>
        </w:tc>
        <w:tc>
          <w:tcPr>
            <w:tcW w:w="1411" w:type="dxa"/>
          </w:tcPr>
          <w:p w:rsidR="004679AB" w:rsidRPr="004679AB" w:rsidRDefault="004679AB" w:rsidP="004679AB">
            <w:pPr>
              <w:jc w:val="both"/>
            </w:pPr>
            <w:r w:rsidRPr="004679AB">
              <w:t>M1, M2, M3, N1, N2, N3, O1, O2, O3, O4“</w:t>
            </w:r>
          </w:p>
        </w:tc>
      </w:tr>
    </w:tbl>
    <w:p w:rsidR="004679AB" w:rsidRPr="004679AB" w:rsidRDefault="004679AB" w:rsidP="004679AB">
      <w:pPr>
        <w:widowControl w:val="0"/>
        <w:spacing w:before="120"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sz w:val="24"/>
          <w:szCs w:val="24"/>
        </w:rPr>
        <w:t>4. В обяснителните бележки се създава бележка „г“:</w:t>
      </w:r>
    </w:p>
    <w:p w:rsidR="004679AB" w:rsidRPr="004679AB" w:rsidRDefault="004679AB" w:rsidP="004679AB">
      <w:pPr>
        <w:widowControl w:val="0"/>
        <w:spacing w:after="0" w:line="240" w:lineRule="auto"/>
        <w:ind w:right="-2"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79AB">
        <w:rPr>
          <w:rFonts w:ascii="Liberation Serif" w:eastAsia="Liberation Serif" w:hAnsi="Liberation Serif" w:cs="Liberation Serif"/>
          <w:sz w:val="24"/>
          <w:szCs w:val="24"/>
        </w:rPr>
        <w:t xml:space="preserve">„(г) Цялата система за ВНГ или СПГ се проверява </w:t>
      </w:r>
      <w:r w:rsidR="00D00FBB">
        <w:rPr>
          <w:rFonts w:ascii="Liberation Serif" w:eastAsia="Liberation Serif" w:hAnsi="Liberation Serif" w:cs="Liberation Serif"/>
          <w:sz w:val="24"/>
          <w:szCs w:val="24"/>
        </w:rPr>
        <w:t xml:space="preserve">за съответствие с изискванията </w:t>
      </w:r>
      <w:r w:rsidRPr="004679AB">
        <w:rPr>
          <w:rFonts w:ascii="Liberation Serif" w:eastAsia="Liberation Serif" w:hAnsi="Liberation Serif" w:cs="Liberation Serif"/>
          <w:sz w:val="24"/>
          <w:szCs w:val="24"/>
        </w:rPr>
        <w:t>на Правило № 67 на ИКЕ на ООН, Правило № 110 на ИКЕ на ООН или Правило № 115 на ИКЕ на ООН, в зависимост от конкретния случай.“</w:t>
      </w:r>
    </w:p>
    <w:p w:rsidR="004679AB" w:rsidRDefault="004679AB" w:rsidP="004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AB" w:rsidRPr="008E455F" w:rsidRDefault="008E455F" w:rsidP="008E4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  <w:r w:rsidR="00D00FBB">
        <w:rPr>
          <w:rFonts w:ascii="Times New Roman" w:hAnsi="Times New Roman" w:cs="Times New Roman"/>
          <w:b/>
          <w:sz w:val="24"/>
          <w:szCs w:val="24"/>
        </w:rPr>
        <w:t>:</w:t>
      </w:r>
    </w:p>
    <w:p w:rsidR="004679AB" w:rsidRDefault="004679AB" w:rsidP="004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AB" w:rsidRDefault="008E455F" w:rsidP="008E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55F">
        <w:rPr>
          <w:rFonts w:ascii="Times New Roman" w:hAnsi="Times New Roman" w:cs="Times New Roman"/>
          <w:sz w:val="24"/>
          <w:szCs w:val="24"/>
        </w:rPr>
        <w:t>Наредбата влиза в сила от деня на обнародването ѝ в „Държавен вестник“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55F" w:rsidRDefault="008E455F" w:rsidP="008E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5F" w:rsidRDefault="008E455F" w:rsidP="008E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5F" w:rsidRDefault="008E455F" w:rsidP="008E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5F" w:rsidRDefault="008E455F" w:rsidP="008E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55F" w:rsidSect="004679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B"/>
    <w:rsid w:val="0007018F"/>
    <w:rsid w:val="00102B2C"/>
    <w:rsid w:val="0016271A"/>
    <w:rsid w:val="001C7F3D"/>
    <w:rsid w:val="00386809"/>
    <w:rsid w:val="004679AB"/>
    <w:rsid w:val="006A530F"/>
    <w:rsid w:val="006F43FA"/>
    <w:rsid w:val="008E455F"/>
    <w:rsid w:val="00B81A10"/>
    <w:rsid w:val="00C76087"/>
    <w:rsid w:val="00D00FBB"/>
    <w:rsid w:val="00F444DA"/>
    <w:rsid w:val="00F52FD8"/>
    <w:rsid w:val="00F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7AF6-08E8-4490-886E-00FA931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9AB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Zoia Cvetkova</cp:lastModifiedBy>
  <cp:revision>4</cp:revision>
  <cp:lastPrinted>2020-02-11T14:36:00Z</cp:lastPrinted>
  <dcterms:created xsi:type="dcterms:W3CDTF">2020-02-11T14:32:00Z</dcterms:created>
  <dcterms:modified xsi:type="dcterms:W3CDTF">2020-02-11T15:02:00Z</dcterms:modified>
</cp:coreProperties>
</file>