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F4B1F" w14:textId="77777777" w:rsidR="00984455" w:rsidRPr="005779C2" w:rsidRDefault="00076B5F" w:rsidP="00076B5F">
      <w:pPr>
        <w:ind w:left="-284" w:right="72" w:firstLine="568"/>
        <w:jc w:val="right"/>
        <w:rPr>
          <w:rFonts w:ascii="Times New Roman" w:hAnsi="Times New Roman"/>
          <w:b/>
          <w:szCs w:val="24"/>
        </w:rPr>
      </w:pPr>
      <w:r w:rsidRPr="005779C2">
        <w:rPr>
          <w:rFonts w:ascii="Times New Roman" w:hAnsi="Times New Roman"/>
          <w:b/>
          <w:szCs w:val="24"/>
        </w:rPr>
        <w:t>Проект</w:t>
      </w:r>
    </w:p>
    <w:p w14:paraId="50C1E0B8" w14:textId="77777777" w:rsidR="00076B5F" w:rsidRPr="005779C2" w:rsidRDefault="00076B5F" w:rsidP="00BB36CE">
      <w:pPr>
        <w:ind w:left="-284" w:right="72" w:firstLine="568"/>
        <w:jc w:val="center"/>
        <w:rPr>
          <w:rFonts w:ascii="Times New Roman" w:hAnsi="Times New Roman"/>
          <w:b/>
          <w:szCs w:val="24"/>
        </w:rPr>
      </w:pPr>
    </w:p>
    <w:p w14:paraId="38D6C15F" w14:textId="77777777" w:rsidR="00076B5F" w:rsidRPr="005779C2" w:rsidRDefault="00BB36CE" w:rsidP="00BB36CE">
      <w:pPr>
        <w:ind w:left="-284" w:right="72" w:firstLine="568"/>
        <w:jc w:val="center"/>
        <w:rPr>
          <w:rFonts w:ascii="Times New Roman" w:hAnsi="Times New Roman"/>
          <w:b/>
          <w:szCs w:val="24"/>
        </w:rPr>
      </w:pPr>
      <w:r w:rsidRPr="005779C2">
        <w:rPr>
          <w:rFonts w:ascii="Times New Roman" w:hAnsi="Times New Roman"/>
          <w:b/>
          <w:szCs w:val="24"/>
        </w:rPr>
        <w:t xml:space="preserve">Наредба за </w:t>
      </w:r>
      <w:r w:rsidR="005D09F3" w:rsidRPr="005779C2">
        <w:rPr>
          <w:rFonts w:ascii="Times New Roman" w:hAnsi="Times New Roman"/>
          <w:b/>
          <w:szCs w:val="24"/>
        </w:rPr>
        <w:t xml:space="preserve">изменение и </w:t>
      </w:r>
      <w:r w:rsidRPr="005779C2">
        <w:rPr>
          <w:rFonts w:ascii="Times New Roman" w:hAnsi="Times New Roman"/>
          <w:b/>
          <w:szCs w:val="24"/>
        </w:rPr>
        <w:t xml:space="preserve">допълнение на Наредба № 57 от 9.06.2004 г. за постигане на оперативна съвместимост на националната железопътна система с железопътната система в рамките на Европейския съюз </w:t>
      </w:r>
    </w:p>
    <w:p w14:paraId="21C51AC7" w14:textId="77777777" w:rsidR="00BB36CE" w:rsidRPr="005779C2" w:rsidRDefault="00BB36CE" w:rsidP="00BB36CE">
      <w:pPr>
        <w:ind w:left="-284" w:right="72" w:firstLine="568"/>
        <w:jc w:val="center"/>
        <w:rPr>
          <w:rFonts w:ascii="Times New Roman" w:hAnsi="Times New Roman"/>
          <w:i/>
          <w:szCs w:val="24"/>
        </w:rPr>
      </w:pPr>
      <w:r w:rsidRPr="005779C2">
        <w:rPr>
          <w:rFonts w:ascii="Times New Roman" w:hAnsi="Times New Roman"/>
          <w:i/>
          <w:szCs w:val="24"/>
        </w:rPr>
        <w:t>(</w:t>
      </w:r>
      <w:proofErr w:type="spellStart"/>
      <w:r w:rsidRPr="005779C2">
        <w:rPr>
          <w:rFonts w:ascii="Times New Roman" w:hAnsi="Times New Roman"/>
          <w:i/>
          <w:szCs w:val="24"/>
        </w:rPr>
        <w:t>обн</w:t>
      </w:r>
      <w:proofErr w:type="spellEnd"/>
      <w:r w:rsidRPr="005779C2">
        <w:rPr>
          <w:rFonts w:ascii="Times New Roman" w:hAnsi="Times New Roman"/>
          <w:i/>
          <w:szCs w:val="24"/>
        </w:rPr>
        <w:t xml:space="preserve">., ДВ, бр. 55 от 2004 г., попр., бр. 60 от 2004 г., изм. и доп., бр. 91 от 2005 г., бр. 55 от 2006 г., попр., бр. 59 от 2006 г., изм. и доп., бр. 88 от 2007 г., бр. 84 от 2010 г., бр. 5 от 2012 г., доп., бр. 3 от 2013 г., изм. и доп., бр. 71 </w:t>
      </w:r>
      <w:r w:rsidR="00CF41C4" w:rsidRPr="005779C2">
        <w:rPr>
          <w:rFonts w:ascii="Times New Roman" w:hAnsi="Times New Roman"/>
          <w:i/>
          <w:szCs w:val="24"/>
        </w:rPr>
        <w:t xml:space="preserve">и </w:t>
      </w:r>
      <w:r w:rsidR="00076B5F" w:rsidRPr="005779C2">
        <w:rPr>
          <w:rFonts w:ascii="Times New Roman" w:hAnsi="Times New Roman"/>
          <w:i/>
          <w:szCs w:val="24"/>
        </w:rPr>
        <w:t xml:space="preserve">106 </w:t>
      </w:r>
      <w:r w:rsidRPr="005779C2">
        <w:rPr>
          <w:rFonts w:ascii="Times New Roman" w:hAnsi="Times New Roman"/>
          <w:i/>
          <w:szCs w:val="24"/>
        </w:rPr>
        <w:t>от 2013 г., бр. 4 от 2015 г., бр. 1 от 2016 г., бр. 85 от 2017 г., бр. 70 от 2019 г.)</w:t>
      </w:r>
    </w:p>
    <w:p w14:paraId="21A0FFCA" w14:textId="77777777" w:rsidR="00BB36CE" w:rsidRPr="005779C2" w:rsidRDefault="00BB36CE" w:rsidP="00BB36CE">
      <w:pPr>
        <w:ind w:left="-284" w:right="72" w:firstLine="568"/>
        <w:jc w:val="both"/>
        <w:rPr>
          <w:rFonts w:ascii="Times New Roman" w:hAnsi="Times New Roman"/>
          <w:szCs w:val="24"/>
        </w:rPr>
      </w:pPr>
    </w:p>
    <w:p w14:paraId="3881A467" w14:textId="77777777" w:rsidR="00BB36CE" w:rsidRPr="005779C2" w:rsidRDefault="005D09F3" w:rsidP="00BB36CE">
      <w:pPr>
        <w:ind w:left="-284" w:right="72" w:firstLine="568"/>
        <w:jc w:val="both"/>
        <w:rPr>
          <w:rFonts w:ascii="Times New Roman" w:hAnsi="Times New Roman"/>
          <w:szCs w:val="24"/>
        </w:rPr>
      </w:pPr>
      <w:r w:rsidRPr="005779C2">
        <w:rPr>
          <w:rFonts w:ascii="Times New Roman" w:hAnsi="Times New Roman"/>
          <w:b/>
          <w:szCs w:val="24"/>
        </w:rPr>
        <w:t xml:space="preserve">§ </w:t>
      </w:r>
      <w:r w:rsidRPr="005779C2">
        <w:rPr>
          <w:rFonts w:ascii="Times New Roman" w:hAnsi="Times New Roman"/>
          <w:b/>
          <w:szCs w:val="24"/>
          <w:lang w:val="en-US"/>
        </w:rPr>
        <w:t>1</w:t>
      </w:r>
      <w:r w:rsidRPr="005779C2">
        <w:rPr>
          <w:rFonts w:ascii="Times New Roman" w:hAnsi="Times New Roman"/>
          <w:b/>
          <w:szCs w:val="24"/>
        </w:rPr>
        <w:t xml:space="preserve">. </w:t>
      </w:r>
      <w:r w:rsidRPr="005779C2">
        <w:rPr>
          <w:rFonts w:ascii="Times New Roman" w:hAnsi="Times New Roman"/>
          <w:szCs w:val="24"/>
        </w:rPr>
        <w:t xml:space="preserve"> </w:t>
      </w:r>
      <w:r w:rsidR="00B223C3" w:rsidRPr="005779C2">
        <w:rPr>
          <w:rFonts w:ascii="Times New Roman" w:hAnsi="Times New Roman"/>
          <w:szCs w:val="24"/>
        </w:rPr>
        <w:t>В чл. 15</w:t>
      </w:r>
      <w:r w:rsidR="00162E51" w:rsidRPr="005779C2">
        <w:rPr>
          <w:rFonts w:ascii="Times New Roman" w:hAnsi="Times New Roman"/>
          <w:szCs w:val="24"/>
        </w:rPr>
        <w:t>а</w:t>
      </w:r>
      <w:r w:rsidR="00B223C3" w:rsidRPr="005779C2">
        <w:rPr>
          <w:rFonts w:ascii="Times New Roman" w:hAnsi="Times New Roman"/>
          <w:szCs w:val="24"/>
        </w:rPr>
        <w:t xml:space="preserve"> се създава ал. 3</w:t>
      </w:r>
      <w:r w:rsidR="00BB36CE" w:rsidRPr="005779C2">
        <w:rPr>
          <w:rFonts w:ascii="Times New Roman" w:hAnsi="Times New Roman"/>
          <w:szCs w:val="24"/>
        </w:rPr>
        <w:t>:</w:t>
      </w:r>
    </w:p>
    <w:p w14:paraId="608CC9D9" w14:textId="77777777" w:rsidR="00BB36CE" w:rsidRDefault="00B223C3" w:rsidP="00BB36CE">
      <w:pPr>
        <w:ind w:left="-284" w:right="72" w:firstLine="568"/>
        <w:jc w:val="both"/>
        <w:rPr>
          <w:rFonts w:ascii="Times New Roman" w:hAnsi="Times New Roman"/>
          <w:szCs w:val="24"/>
        </w:rPr>
      </w:pPr>
      <w:r w:rsidRPr="005779C2">
        <w:rPr>
          <w:rFonts w:ascii="Times New Roman" w:hAnsi="Times New Roman"/>
          <w:szCs w:val="24"/>
        </w:rPr>
        <w:t>„(3)</w:t>
      </w:r>
      <w:r w:rsidR="00BB36CE" w:rsidRPr="005779C2">
        <w:rPr>
          <w:rFonts w:ascii="Times New Roman" w:hAnsi="Times New Roman"/>
          <w:szCs w:val="24"/>
        </w:rPr>
        <w:t xml:space="preserve"> Национална компания „Железопътна инфраструктура“ е субект по чл. 7а от Регламент (ЕС) 1300/2014 </w:t>
      </w:r>
      <w:r w:rsidR="00453136" w:rsidRPr="005779C2">
        <w:rPr>
          <w:rFonts w:ascii="Times New Roman" w:hAnsi="Times New Roman"/>
          <w:szCs w:val="24"/>
        </w:rPr>
        <w:t xml:space="preserve">на Комисията от 18 ноември 2014 година </w:t>
      </w:r>
      <w:r w:rsidR="00BB36CE" w:rsidRPr="005779C2">
        <w:rPr>
          <w:rFonts w:ascii="Times New Roman" w:hAnsi="Times New Roman"/>
          <w:szCs w:val="24"/>
        </w:rPr>
        <w:t>относно техническите спецификации за оперативна съвместимост, свързани с достъпността на железопътната система на Съюза за лица с увреждания и лица с намалена подвижност</w:t>
      </w:r>
      <w:r w:rsidR="00685D02" w:rsidRPr="005779C2">
        <w:rPr>
          <w:rFonts w:ascii="Times New Roman" w:hAnsi="Times New Roman"/>
          <w:szCs w:val="24"/>
        </w:rPr>
        <w:t xml:space="preserve"> (ОВ, L 356 от 2014 г.)</w:t>
      </w:r>
      <w:r w:rsidR="00BB36CE" w:rsidRPr="005779C2">
        <w:rPr>
          <w:rFonts w:ascii="Times New Roman" w:hAnsi="Times New Roman"/>
          <w:szCs w:val="24"/>
        </w:rPr>
        <w:t xml:space="preserve">, отговорен за събирането, поддържането и обмена на данни за достъпността </w:t>
      </w:r>
      <w:r w:rsidR="005F54B7" w:rsidRPr="005779C2">
        <w:rPr>
          <w:rFonts w:ascii="Times New Roman" w:hAnsi="Times New Roman"/>
          <w:szCs w:val="24"/>
        </w:rPr>
        <w:t>и предаването на тези данни до базата данни за достъпността на европейските железопътни гари (</w:t>
      </w:r>
      <w:r w:rsidR="005F54B7" w:rsidRPr="005779C2">
        <w:rPr>
          <w:rFonts w:ascii="Times New Roman" w:hAnsi="Times New Roman"/>
          <w:szCs w:val="24"/>
          <w:lang w:val="en-GB"/>
        </w:rPr>
        <w:t>European Railway Stations Accessibility Database — ERSAD</w:t>
      </w:r>
      <w:r w:rsidR="005F54B7" w:rsidRPr="005779C2">
        <w:rPr>
          <w:rFonts w:ascii="Times New Roman" w:hAnsi="Times New Roman"/>
          <w:szCs w:val="24"/>
        </w:rPr>
        <w:t>), която се поддържа от Агенцията за железопътен транспорт на Европейския съюз</w:t>
      </w:r>
      <w:r w:rsidR="00BB36CE" w:rsidRPr="005779C2">
        <w:rPr>
          <w:rFonts w:ascii="Times New Roman" w:hAnsi="Times New Roman"/>
          <w:szCs w:val="24"/>
        </w:rPr>
        <w:t>.“</w:t>
      </w:r>
    </w:p>
    <w:p w14:paraId="14288026" w14:textId="77777777" w:rsidR="005779C2" w:rsidRPr="005779C2" w:rsidRDefault="005779C2" w:rsidP="00BB36CE">
      <w:pPr>
        <w:ind w:left="-284" w:right="72" w:firstLine="568"/>
        <w:jc w:val="both"/>
        <w:rPr>
          <w:rFonts w:ascii="Times New Roman" w:hAnsi="Times New Roman"/>
          <w:szCs w:val="24"/>
        </w:rPr>
      </w:pPr>
    </w:p>
    <w:p w14:paraId="70C8DE02" w14:textId="77777777" w:rsidR="005779C2" w:rsidRPr="005779C2" w:rsidRDefault="005D09F3" w:rsidP="005779C2">
      <w:pPr>
        <w:ind w:firstLine="360"/>
        <w:rPr>
          <w:rFonts w:ascii="Times New Roman" w:hAnsi="Times New Roman"/>
          <w:szCs w:val="24"/>
          <w:lang w:val="en-US"/>
        </w:rPr>
      </w:pPr>
      <w:r w:rsidRPr="005779C2">
        <w:rPr>
          <w:rFonts w:ascii="Times New Roman" w:hAnsi="Times New Roman"/>
          <w:b/>
          <w:szCs w:val="24"/>
        </w:rPr>
        <w:t xml:space="preserve">§ </w:t>
      </w:r>
      <w:r w:rsidRPr="005779C2">
        <w:rPr>
          <w:rFonts w:ascii="Times New Roman" w:hAnsi="Times New Roman"/>
          <w:b/>
          <w:szCs w:val="24"/>
          <w:lang w:val="en-US"/>
        </w:rPr>
        <w:t>2</w:t>
      </w:r>
      <w:r w:rsidRPr="005779C2">
        <w:rPr>
          <w:rFonts w:ascii="Times New Roman" w:hAnsi="Times New Roman"/>
          <w:b/>
          <w:szCs w:val="24"/>
        </w:rPr>
        <w:t>.</w:t>
      </w:r>
      <w:r w:rsidRPr="005779C2">
        <w:rPr>
          <w:rFonts w:ascii="Times New Roman" w:hAnsi="Times New Roman"/>
          <w:szCs w:val="24"/>
          <w:lang w:val="en-US"/>
        </w:rPr>
        <w:t xml:space="preserve"> </w:t>
      </w:r>
      <w:r w:rsidRPr="005779C2">
        <w:rPr>
          <w:rFonts w:ascii="Times New Roman" w:hAnsi="Times New Roman"/>
          <w:bCs/>
          <w:szCs w:val="24"/>
        </w:rPr>
        <w:t>В чл. 44з се правят следните изменения и допълнения:</w:t>
      </w:r>
    </w:p>
    <w:p w14:paraId="64F9F95F" w14:textId="77777777" w:rsidR="005779C2" w:rsidRPr="005779C2" w:rsidRDefault="005779C2" w:rsidP="00C9136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779C2">
        <w:rPr>
          <w:rFonts w:ascii="Times New Roman" w:hAnsi="Times New Roman"/>
          <w:bCs/>
          <w:sz w:val="24"/>
          <w:szCs w:val="24"/>
          <w:lang w:val="bg-BG"/>
        </w:rPr>
        <w:t>В</w:t>
      </w:r>
      <w:r w:rsidR="005D09F3" w:rsidRPr="005779C2">
        <w:rPr>
          <w:rFonts w:ascii="Times New Roman" w:hAnsi="Times New Roman"/>
          <w:bCs/>
          <w:sz w:val="24"/>
          <w:szCs w:val="24"/>
          <w:lang w:val="bg-BG"/>
        </w:rPr>
        <w:t xml:space="preserve"> ал. 2 се създава изречение второ:</w:t>
      </w:r>
    </w:p>
    <w:p w14:paraId="64E09B15" w14:textId="7C338AAB" w:rsidR="005779C2" w:rsidRPr="005779C2" w:rsidRDefault="005D09F3" w:rsidP="00C9136C">
      <w:pPr>
        <w:pStyle w:val="ListParagraph"/>
        <w:widowControl w:val="0"/>
        <w:autoSpaceDE w:val="0"/>
        <w:autoSpaceDN w:val="0"/>
        <w:adjustRightInd w:val="0"/>
        <w:ind w:left="-284" w:firstLine="71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779C2">
        <w:rPr>
          <w:rFonts w:ascii="Times New Roman" w:hAnsi="Times New Roman"/>
          <w:bCs/>
          <w:sz w:val="24"/>
          <w:szCs w:val="24"/>
          <w:lang w:val="bg-BG"/>
        </w:rPr>
        <w:t>„Искането или информация</w:t>
      </w:r>
      <w:r w:rsidR="007F54C1">
        <w:rPr>
          <w:rFonts w:ascii="Times New Roman" w:hAnsi="Times New Roman"/>
          <w:bCs/>
          <w:sz w:val="24"/>
          <w:szCs w:val="24"/>
          <w:lang w:val="bg-BG"/>
        </w:rPr>
        <w:t>та</w:t>
      </w:r>
      <w:r w:rsidRPr="005779C2">
        <w:rPr>
          <w:rFonts w:ascii="Times New Roman" w:hAnsi="Times New Roman"/>
          <w:bCs/>
          <w:sz w:val="24"/>
          <w:szCs w:val="24"/>
          <w:lang w:val="bg-BG"/>
        </w:rPr>
        <w:t xml:space="preserve"> за всички заявления, етапите на съответните процедури и резултатите от тях, а също и когато е приложимо — исканията и решенията на апелативния съвет — се подават чрез обслужването на едно гише, посочено в чл</w:t>
      </w:r>
      <w:r w:rsidR="007F54C1">
        <w:rPr>
          <w:rFonts w:ascii="Times New Roman" w:hAnsi="Times New Roman"/>
          <w:bCs/>
          <w:sz w:val="24"/>
          <w:szCs w:val="24"/>
          <w:lang w:val="bg-BG"/>
        </w:rPr>
        <w:t>.</w:t>
      </w:r>
      <w:r w:rsidRPr="005779C2">
        <w:rPr>
          <w:rFonts w:ascii="Times New Roman" w:hAnsi="Times New Roman"/>
          <w:bCs/>
          <w:sz w:val="24"/>
          <w:szCs w:val="24"/>
          <w:lang w:val="bg-BG"/>
        </w:rPr>
        <w:t xml:space="preserve"> 12 от Регламент (ЕС) 2016/796.“</w:t>
      </w:r>
    </w:p>
    <w:p w14:paraId="17AA7236" w14:textId="77777777" w:rsidR="005779C2" w:rsidRPr="005779C2" w:rsidRDefault="005779C2" w:rsidP="005779C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779C2">
        <w:rPr>
          <w:rFonts w:ascii="Times New Roman" w:hAnsi="Times New Roman"/>
          <w:bCs/>
          <w:sz w:val="24"/>
          <w:szCs w:val="24"/>
          <w:lang w:val="bg-BG"/>
        </w:rPr>
        <w:t>С</w:t>
      </w:r>
      <w:r w:rsidR="005D09F3" w:rsidRPr="005779C2">
        <w:rPr>
          <w:rFonts w:ascii="Times New Roman" w:hAnsi="Times New Roman"/>
          <w:bCs/>
          <w:sz w:val="24"/>
          <w:szCs w:val="24"/>
          <w:lang w:val="bg-BG"/>
        </w:rPr>
        <w:t>ъздава се нова ал. 5:</w:t>
      </w:r>
    </w:p>
    <w:p w14:paraId="00EC4595" w14:textId="605BCDB6" w:rsidR="005779C2" w:rsidRPr="005779C2" w:rsidRDefault="005D09F3" w:rsidP="00C9136C">
      <w:pPr>
        <w:pStyle w:val="ListParagraph"/>
        <w:widowControl w:val="0"/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779C2">
        <w:rPr>
          <w:rFonts w:ascii="Times New Roman" w:hAnsi="Times New Roman"/>
          <w:bCs/>
          <w:sz w:val="24"/>
          <w:szCs w:val="24"/>
          <w:lang w:val="bg-BG"/>
        </w:rPr>
        <w:t>„(5)</w:t>
      </w:r>
      <w:r w:rsidRPr="005779C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779C2">
        <w:rPr>
          <w:rFonts w:ascii="Times New Roman" w:hAnsi="Times New Roman"/>
          <w:bCs/>
          <w:sz w:val="24"/>
          <w:szCs w:val="24"/>
          <w:lang w:val="bg-BG"/>
        </w:rPr>
        <w:t>Изпълнителна агенция „Железопътна администрация“ може да издава становища във връзка с искането за одобряване по ал. 1, на вниманието на заявителя преди подаването на искането или на вниманието на АЖТЕС след подаване на искането.“</w:t>
      </w:r>
    </w:p>
    <w:p w14:paraId="03360EF1" w14:textId="77777777" w:rsidR="005779C2" w:rsidRPr="005779C2" w:rsidRDefault="005779C2" w:rsidP="005779C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779C2">
        <w:rPr>
          <w:rFonts w:ascii="Times New Roman" w:hAnsi="Times New Roman"/>
          <w:bCs/>
          <w:sz w:val="24"/>
          <w:szCs w:val="24"/>
          <w:lang w:val="bg-BG"/>
        </w:rPr>
        <w:t>С</w:t>
      </w:r>
      <w:r w:rsidR="005D09F3" w:rsidRPr="005779C2">
        <w:rPr>
          <w:rFonts w:ascii="Times New Roman" w:hAnsi="Times New Roman"/>
          <w:bCs/>
          <w:sz w:val="24"/>
          <w:szCs w:val="24"/>
          <w:lang w:val="bg-BG"/>
        </w:rPr>
        <w:t>ъздават се ал. 6 и 7:</w:t>
      </w:r>
    </w:p>
    <w:p w14:paraId="4BE7F4AA" w14:textId="51C920D1" w:rsidR="005779C2" w:rsidRPr="005779C2" w:rsidRDefault="005D09F3" w:rsidP="00C9136C">
      <w:pPr>
        <w:pStyle w:val="ListParagraph"/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779C2">
        <w:rPr>
          <w:rFonts w:ascii="Times New Roman" w:hAnsi="Times New Roman"/>
          <w:bCs/>
          <w:sz w:val="24"/>
          <w:szCs w:val="24"/>
          <w:lang w:val="bg-BG"/>
        </w:rPr>
        <w:t xml:space="preserve">„(6) Агенцията за железопътен транспорт на Европейския съюз информира заявителя за евентуални пропуски в рамките на два месеца от получаване на цялата необходима информация. Когато заявителят изрази съгласие с установените от АЖТЕС пропуски, той коригира проекта и подава ново искане за одобрение от АЖТЕС. Когато заявителят не </w:t>
      </w:r>
      <w:r w:rsidR="0000394C">
        <w:rPr>
          <w:rFonts w:ascii="Times New Roman" w:hAnsi="Times New Roman"/>
          <w:bCs/>
          <w:sz w:val="24"/>
          <w:szCs w:val="24"/>
          <w:lang w:val="bg-BG"/>
        </w:rPr>
        <w:t>счита, че са налице</w:t>
      </w:r>
      <w:r w:rsidRPr="005779C2">
        <w:rPr>
          <w:rFonts w:ascii="Times New Roman" w:hAnsi="Times New Roman"/>
          <w:bCs/>
          <w:sz w:val="24"/>
          <w:szCs w:val="24"/>
          <w:lang w:val="bg-BG"/>
        </w:rPr>
        <w:t xml:space="preserve"> установените от </w:t>
      </w:r>
      <w:r w:rsidR="0000394C">
        <w:rPr>
          <w:rFonts w:ascii="Times New Roman" w:hAnsi="Times New Roman"/>
          <w:bCs/>
          <w:sz w:val="24"/>
          <w:szCs w:val="24"/>
          <w:lang w:val="bg-BG"/>
        </w:rPr>
        <w:t>АЖТЕС</w:t>
      </w:r>
      <w:r w:rsidR="0000394C" w:rsidRPr="005779C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779C2">
        <w:rPr>
          <w:rFonts w:ascii="Times New Roman" w:hAnsi="Times New Roman"/>
          <w:bCs/>
          <w:sz w:val="24"/>
          <w:szCs w:val="24"/>
          <w:lang w:val="bg-BG"/>
        </w:rPr>
        <w:t>пропуски, се прилага процедурата по ал. 7.</w:t>
      </w:r>
      <w:r w:rsidR="004F7932" w:rsidRPr="005779C2">
        <w:rPr>
          <w:rFonts w:ascii="Times New Roman" w:hAnsi="Times New Roman"/>
          <w:bCs/>
          <w:sz w:val="24"/>
          <w:szCs w:val="24"/>
          <w:lang w:val="bg-BG"/>
        </w:rPr>
        <w:t xml:space="preserve"> В случа</w:t>
      </w:r>
      <w:r w:rsidR="0000394C">
        <w:rPr>
          <w:rFonts w:ascii="Times New Roman" w:hAnsi="Times New Roman"/>
          <w:bCs/>
          <w:sz w:val="24"/>
          <w:szCs w:val="24"/>
          <w:lang w:val="bg-BG"/>
        </w:rPr>
        <w:t>ите</w:t>
      </w:r>
      <w:r w:rsidR="004F7932" w:rsidRPr="005779C2">
        <w:rPr>
          <w:rFonts w:ascii="Times New Roman" w:hAnsi="Times New Roman"/>
          <w:bCs/>
          <w:sz w:val="24"/>
          <w:szCs w:val="24"/>
          <w:lang w:val="bg-BG"/>
        </w:rPr>
        <w:t xml:space="preserve"> по чл. 26, ал. 1, т. 1 заявителят не подава заявление за ново оценяване.</w:t>
      </w:r>
    </w:p>
    <w:p w14:paraId="1CA1FD2E" w14:textId="273DC397" w:rsidR="005779C2" w:rsidRPr="005779C2" w:rsidRDefault="005D09F3" w:rsidP="00C9136C">
      <w:pPr>
        <w:pStyle w:val="ListParagraph"/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779C2">
        <w:rPr>
          <w:rFonts w:ascii="Times New Roman" w:hAnsi="Times New Roman"/>
          <w:bCs/>
          <w:sz w:val="24"/>
          <w:szCs w:val="24"/>
          <w:lang w:val="bg-BG"/>
        </w:rPr>
        <w:t>(7) Заявителят може, в срок от един месец от получаване на решение за отказ от АЖТЕС</w:t>
      </w:r>
      <w:r w:rsidR="0000394C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779C2">
        <w:rPr>
          <w:rFonts w:ascii="Times New Roman" w:hAnsi="Times New Roman"/>
          <w:bCs/>
          <w:sz w:val="24"/>
          <w:szCs w:val="24"/>
          <w:lang w:val="bg-BG"/>
        </w:rPr>
        <w:t xml:space="preserve"> да отправи мотивирано искане АЖТЕС да преразгледа решението си. Агенцията за железопътен транспорт на Европейския съюз потвърждава или отменя своето решение </w:t>
      </w:r>
      <w:r w:rsidR="0000394C">
        <w:rPr>
          <w:rFonts w:ascii="Times New Roman" w:hAnsi="Times New Roman"/>
          <w:bCs/>
          <w:sz w:val="24"/>
          <w:szCs w:val="24"/>
          <w:lang w:val="bg-BG"/>
        </w:rPr>
        <w:t>до</w:t>
      </w:r>
      <w:r w:rsidRPr="005779C2">
        <w:rPr>
          <w:rFonts w:ascii="Times New Roman" w:hAnsi="Times New Roman"/>
          <w:bCs/>
          <w:sz w:val="24"/>
          <w:szCs w:val="24"/>
          <w:lang w:val="bg-BG"/>
        </w:rPr>
        <w:t xml:space="preserve"> два месеца от датата на получаване на искането. Ако </w:t>
      </w:r>
      <w:r w:rsidR="0000394C">
        <w:rPr>
          <w:rFonts w:ascii="Times New Roman" w:hAnsi="Times New Roman"/>
          <w:bCs/>
          <w:sz w:val="24"/>
          <w:szCs w:val="24"/>
          <w:lang w:val="bg-BG"/>
        </w:rPr>
        <w:t>АЖТЕС</w:t>
      </w:r>
      <w:r w:rsidR="0000394C" w:rsidRPr="005779C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779C2">
        <w:rPr>
          <w:rFonts w:ascii="Times New Roman" w:hAnsi="Times New Roman"/>
          <w:bCs/>
          <w:sz w:val="24"/>
          <w:szCs w:val="24"/>
          <w:lang w:val="bg-BG"/>
        </w:rPr>
        <w:t>потвърди първоначалното си решение</w:t>
      </w:r>
      <w:r w:rsidR="0000394C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779C2">
        <w:rPr>
          <w:rFonts w:ascii="Times New Roman" w:hAnsi="Times New Roman"/>
          <w:bCs/>
          <w:sz w:val="24"/>
          <w:szCs w:val="24"/>
          <w:lang w:val="bg-BG"/>
        </w:rPr>
        <w:t xml:space="preserve"> заявителят има право да обжалва пред </w:t>
      </w:r>
      <w:r w:rsidR="0000394C">
        <w:rPr>
          <w:rFonts w:ascii="Times New Roman" w:hAnsi="Times New Roman"/>
          <w:bCs/>
          <w:sz w:val="24"/>
          <w:szCs w:val="24"/>
          <w:lang w:val="bg-BG"/>
        </w:rPr>
        <w:t>а</w:t>
      </w:r>
      <w:r w:rsidRPr="005779C2">
        <w:rPr>
          <w:rFonts w:ascii="Times New Roman" w:hAnsi="Times New Roman"/>
          <w:bCs/>
          <w:sz w:val="24"/>
          <w:szCs w:val="24"/>
          <w:lang w:val="bg-BG"/>
        </w:rPr>
        <w:t>пелатив</w:t>
      </w:r>
      <w:r w:rsidR="0000394C">
        <w:rPr>
          <w:rFonts w:ascii="Times New Roman" w:hAnsi="Times New Roman"/>
          <w:bCs/>
          <w:sz w:val="24"/>
          <w:szCs w:val="24"/>
          <w:lang w:val="bg-BG"/>
        </w:rPr>
        <w:t>ен</w:t>
      </w:r>
      <w:r w:rsidRPr="005779C2">
        <w:rPr>
          <w:rFonts w:ascii="Times New Roman" w:hAnsi="Times New Roman"/>
          <w:bCs/>
          <w:sz w:val="24"/>
          <w:szCs w:val="24"/>
          <w:lang w:val="bg-BG"/>
        </w:rPr>
        <w:t xml:space="preserve"> съвет</w:t>
      </w:r>
      <w:r w:rsidR="0000394C">
        <w:rPr>
          <w:rFonts w:ascii="Times New Roman" w:hAnsi="Times New Roman"/>
          <w:bCs/>
          <w:sz w:val="24"/>
          <w:szCs w:val="24"/>
          <w:lang w:val="bg-BG"/>
        </w:rPr>
        <w:t xml:space="preserve"> п</w:t>
      </w:r>
      <w:r w:rsidRPr="005779C2">
        <w:rPr>
          <w:rFonts w:ascii="Times New Roman" w:hAnsi="Times New Roman"/>
          <w:bCs/>
          <w:sz w:val="24"/>
          <w:szCs w:val="24"/>
          <w:lang w:val="bg-BG"/>
        </w:rPr>
        <w:t>о чл</w:t>
      </w:r>
      <w:r w:rsidR="0000394C">
        <w:rPr>
          <w:rFonts w:ascii="Times New Roman" w:hAnsi="Times New Roman"/>
          <w:bCs/>
          <w:sz w:val="24"/>
          <w:szCs w:val="24"/>
          <w:lang w:val="bg-BG"/>
        </w:rPr>
        <w:t>.</w:t>
      </w:r>
      <w:r w:rsidRPr="005779C2">
        <w:rPr>
          <w:rFonts w:ascii="Times New Roman" w:hAnsi="Times New Roman"/>
          <w:bCs/>
          <w:sz w:val="24"/>
          <w:szCs w:val="24"/>
          <w:lang w:val="bg-BG"/>
        </w:rPr>
        <w:t xml:space="preserve"> 55 от Регламент (ЕС) 2016/796.“</w:t>
      </w:r>
    </w:p>
    <w:p w14:paraId="0D7A89A8" w14:textId="078531A1" w:rsidR="005D09F3" w:rsidRPr="005779C2" w:rsidRDefault="005779C2" w:rsidP="005779C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779C2">
        <w:rPr>
          <w:rFonts w:ascii="Times New Roman" w:hAnsi="Times New Roman"/>
          <w:bCs/>
          <w:sz w:val="24"/>
          <w:szCs w:val="24"/>
          <w:lang w:val="bg-BG"/>
        </w:rPr>
        <w:t>Д</w:t>
      </w:r>
      <w:r w:rsidR="005D09F3" w:rsidRPr="005779C2">
        <w:rPr>
          <w:rFonts w:ascii="Times New Roman" w:hAnsi="Times New Roman"/>
          <w:bCs/>
          <w:sz w:val="24"/>
          <w:szCs w:val="24"/>
          <w:lang w:val="bg-BG"/>
        </w:rPr>
        <w:t>осегашната ал. 5 става ал. 8</w:t>
      </w:r>
      <w:r w:rsidR="0000394C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30FFB17F" w14:textId="77777777" w:rsidR="005D09F3" w:rsidRDefault="005D09F3" w:rsidP="005D09F3">
      <w:pPr>
        <w:widowControl w:val="0"/>
        <w:tabs>
          <w:tab w:val="left" w:pos="1134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  <w:szCs w:val="24"/>
        </w:rPr>
      </w:pPr>
      <w:r w:rsidRPr="005779C2">
        <w:rPr>
          <w:rFonts w:ascii="Times New Roman" w:hAnsi="Times New Roman"/>
          <w:b/>
          <w:szCs w:val="24"/>
        </w:rPr>
        <w:t xml:space="preserve">§ </w:t>
      </w:r>
      <w:r w:rsidRPr="005779C2">
        <w:rPr>
          <w:rFonts w:ascii="Times New Roman" w:hAnsi="Times New Roman"/>
          <w:b/>
          <w:szCs w:val="24"/>
          <w:lang w:val="en-US"/>
        </w:rPr>
        <w:t>3</w:t>
      </w:r>
      <w:r w:rsidRPr="005779C2">
        <w:rPr>
          <w:rFonts w:ascii="Times New Roman" w:hAnsi="Times New Roman"/>
          <w:b/>
          <w:szCs w:val="24"/>
        </w:rPr>
        <w:t>.</w:t>
      </w:r>
      <w:r w:rsidRPr="005779C2">
        <w:rPr>
          <w:rFonts w:ascii="Times New Roman" w:hAnsi="Times New Roman"/>
          <w:szCs w:val="24"/>
          <w:lang w:val="en-US"/>
        </w:rPr>
        <w:t xml:space="preserve"> </w:t>
      </w:r>
      <w:r w:rsidRPr="005779C2">
        <w:rPr>
          <w:rFonts w:ascii="Times New Roman" w:hAnsi="Times New Roman"/>
          <w:szCs w:val="24"/>
        </w:rPr>
        <w:t>В чл. 54л, ал. 2 думите „чл. 54, ал. 1“ се заменят с „чл. 54и, ал. 1“.</w:t>
      </w:r>
    </w:p>
    <w:p w14:paraId="5C492934" w14:textId="77777777" w:rsidR="005779C2" w:rsidRPr="005779C2" w:rsidRDefault="005779C2" w:rsidP="005D09F3">
      <w:pPr>
        <w:widowControl w:val="0"/>
        <w:tabs>
          <w:tab w:val="left" w:pos="1134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  <w:szCs w:val="24"/>
        </w:rPr>
      </w:pPr>
    </w:p>
    <w:p w14:paraId="7DBEA872" w14:textId="77777777" w:rsidR="005D09F3" w:rsidRPr="005779C2" w:rsidRDefault="005D09F3" w:rsidP="005D09F3">
      <w:pPr>
        <w:widowControl w:val="0"/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  <w:bCs/>
          <w:szCs w:val="24"/>
        </w:rPr>
      </w:pPr>
      <w:r w:rsidRPr="005779C2">
        <w:rPr>
          <w:rFonts w:ascii="Times New Roman" w:hAnsi="Times New Roman"/>
          <w:b/>
          <w:szCs w:val="24"/>
        </w:rPr>
        <w:t xml:space="preserve">§ </w:t>
      </w:r>
      <w:r w:rsidRPr="005779C2">
        <w:rPr>
          <w:rFonts w:ascii="Times New Roman" w:hAnsi="Times New Roman"/>
          <w:b/>
          <w:szCs w:val="24"/>
          <w:lang w:val="en-US"/>
        </w:rPr>
        <w:t>4</w:t>
      </w:r>
      <w:r w:rsidRPr="005779C2">
        <w:rPr>
          <w:rFonts w:ascii="Times New Roman" w:hAnsi="Times New Roman"/>
          <w:b/>
          <w:szCs w:val="24"/>
        </w:rPr>
        <w:t>.</w:t>
      </w:r>
      <w:r w:rsidRPr="005779C2">
        <w:rPr>
          <w:rFonts w:ascii="Times New Roman" w:hAnsi="Times New Roman"/>
          <w:szCs w:val="24"/>
          <w:lang w:val="en-US"/>
        </w:rPr>
        <w:t xml:space="preserve"> </w:t>
      </w:r>
      <w:r w:rsidRPr="005779C2">
        <w:rPr>
          <w:rFonts w:ascii="Times New Roman" w:hAnsi="Times New Roman"/>
          <w:bCs/>
          <w:szCs w:val="24"/>
        </w:rPr>
        <w:t>В чл. 55, ал. 4 се правят следните изменения и допълнения:</w:t>
      </w:r>
    </w:p>
    <w:p w14:paraId="16512796" w14:textId="3AE7126E" w:rsidR="005779C2" w:rsidRPr="00C9136C" w:rsidRDefault="005779C2" w:rsidP="00C9136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9136C">
        <w:rPr>
          <w:rFonts w:ascii="Times New Roman" w:hAnsi="Times New Roman"/>
          <w:bCs/>
          <w:sz w:val="24"/>
          <w:szCs w:val="24"/>
          <w:lang w:val="bg-BG"/>
        </w:rPr>
        <w:t>В</w:t>
      </w:r>
      <w:r w:rsidR="005D09F3" w:rsidRPr="00C9136C">
        <w:rPr>
          <w:rFonts w:ascii="Times New Roman" w:hAnsi="Times New Roman"/>
          <w:bCs/>
          <w:sz w:val="24"/>
          <w:szCs w:val="24"/>
          <w:lang w:val="bg-BG"/>
        </w:rPr>
        <w:t xml:space="preserve"> т. 1 абревиатурата „ЗЖТ“ се заменя с „от ЗЖТ и да е търговец, учреден в </w:t>
      </w:r>
      <w:r w:rsidR="005D09F3" w:rsidRPr="00C9136C">
        <w:rPr>
          <w:rFonts w:ascii="Times New Roman" w:hAnsi="Times New Roman"/>
          <w:bCs/>
          <w:sz w:val="24"/>
          <w:szCs w:val="24"/>
          <w:lang w:val="bg-BG"/>
        </w:rPr>
        <w:lastRenderedPageBreak/>
        <w:t>Република България“</w:t>
      </w:r>
      <w:r w:rsidR="0000394C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426856DF" w14:textId="77777777" w:rsidR="005D09F3" w:rsidRPr="00C9136C" w:rsidRDefault="005779C2" w:rsidP="00C9136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9136C">
        <w:rPr>
          <w:rFonts w:ascii="Times New Roman" w:hAnsi="Times New Roman"/>
          <w:bCs/>
          <w:sz w:val="24"/>
          <w:szCs w:val="24"/>
          <w:lang w:val="bg-BG"/>
        </w:rPr>
        <w:t>В</w:t>
      </w:r>
      <w:r w:rsidR="005D09F3" w:rsidRPr="00C9136C">
        <w:rPr>
          <w:rFonts w:ascii="Times New Roman" w:hAnsi="Times New Roman"/>
          <w:bCs/>
          <w:sz w:val="24"/>
          <w:szCs w:val="24"/>
          <w:lang w:val="bg-BG"/>
        </w:rPr>
        <w:t xml:space="preserve"> т. 11 думите „чл. 56, ал. 2“ се заменят с „чл. 56, ал. 3“.</w:t>
      </w:r>
    </w:p>
    <w:p w14:paraId="37D97763" w14:textId="3D016085" w:rsidR="005D09F3" w:rsidRPr="005779C2" w:rsidRDefault="005D09F3" w:rsidP="005D09F3">
      <w:pPr>
        <w:widowControl w:val="0"/>
        <w:tabs>
          <w:tab w:val="left" w:pos="1170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  <w:bCs/>
          <w:szCs w:val="24"/>
        </w:rPr>
      </w:pPr>
      <w:r w:rsidRPr="005779C2">
        <w:rPr>
          <w:rFonts w:ascii="Times New Roman" w:hAnsi="Times New Roman"/>
          <w:b/>
          <w:szCs w:val="24"/>
        </w:rPr>
        <w:t xml:space="preserve">§ </w:t>
      </w:r>
      <w:r w:rsidRPr="005779C2">
        <w:rPr>
          <w:rFonts w:ascii="Times New Roman" w:hAnsi="Times New Roman"/>
          <w:b/>
          <w:szCs w:val="24"/>
          <w:lang w:val="en-US"/>
        </w:rPr>
        <w:t>5</w:t>
      </w:r>
      <w:r w:rsidRPr="005779C2">
        <w:rPr>
          <w:rFonts w:ascii="Times New Roman" w:hAnsi="Times New Roman"/>
          <w:b/>
          <w:szCs w:val="24"/>
        </w:rPr>
        <w:t>.</w:t>
      </w:r>
      <w:r w:rsidRPr="005779C2">
        <w:rPr>
          <w:rFonts w:ascii="Times New Roman" w:hAnsi="Times New Roman"/>
          <w:szCs w:val="24"/>
          <w:lang w:val="en-US"/>
        </w:rPr>
        <w:t xml:space="preserve"> </w:t>
      </w:r>
      <w:r w:rsidRPr="005779C2">
        <w:rPr>
          <w:rFonts w:ascii="Times New Roman" w:hAnsi="Times New Roman"/>
          <w:bCs/>
          <w:szCs w:val="24"/>
        </w:rPr>
        <w:t>В чл. 56, ал. 4 думите „ал. 2“ се заменят с „ал. 3“, цифрата „5“ се заменя със „6“, думите „ал. 4“ се заменят с „и ал. 4 от“</w:t>
      </w:r>
      <w:r w:rsidR="00D71AFC">
        <w:rPr>
          <w:rFonts w:ascii="Times New Roman" w:hAnsi="Times New Roman"/>
          <w:bCs/>
          <w:szCs w:val="24"/>
        </w:rPr>
        <w:t xml:space="preserve"> и се</w:t>
      </w:r>
      <w:r w:rsidRPr="005779C2">
        <w:rPr>
          <w:rFonts w:ascii="Times New Roman" w:hAnsi="Times New Roman"/>
          <w:bCs/>
          <w:szCs w:val="24"/>
        </w:rPr>
        <w:t xml:space="preserve"> </w:t>
      </w:r>
      <w:r w:rsidR="00D71AFC">
        <w:rPr>
          <w:rFonts w:ascii="Times New Roman" w:hAnsi="Times New Roman"/>
          <w:bCs/>
          <w:szCs w:val="24"/>
        </w:rPr>
        <w:t>с</w:t>
      </w:r>
      <w:r w:rsidRPr="005779C2">
        <w:rPr>
          <w:rFonts w:ascii="Times New Roman" w:hAnsi="Times New Roman"/>
          <w:bCs/>
          <w:szCs w:val="24"/>
        </w:rPr>
        <w:t>ъздава изречение второ:</w:t>
      </w:r>
    </w:p>
    <w:p w14:paraId="2CC5EAA8" w14:textId="77777777" w:rsidR="005D09F3" w:rsidRDefault="005D09F3" w:rsidP="00C9136C">
      <w:pPr>
        <w:widowControl w:val="0"/>
        <w:tabs>
          <w:tab w:val="left" w:pos="1170"/>
        </w:tabs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Cs w:val="24"/>
        </w:rPr>
      </w:pPr>
      <w:r w:rsidRPr="005779C2">
        <w:rPr>
          <w:rFonts w:ascii="Times New Roman" w:hAnsi="Times New Roman"/>
          <w:bCs/>
          <w:szCs w:val="24"/>
        </w:rPr>
        <w:t>„Лиц</w:t>
      </w:r>
      <w:r w:rsidR="00B00D88">
        <w:rPr>
          <w:rFonts w:ascii="Times New Roman" w:hAnsi="Times New Roman"/>
          <w:bCs/>
          <w:szCs w:val="24"/>
        </w:rPr>
        <w:t>ата</w:t>
      </w:r>
      <w:r w:rsidRPr="005779C2">
        <w:rPr>
          <w:rFonts w:ascii="Times New Roman" w:hAnsi="Times New Roman"/>
          <w:bCs/>
          <w:szCs w:val="24"/>
        </w:rPr>
        <w:t xml:space="preserve"> за оценяване на съответствието гарантират, че дейностите на </w:t>
      </w:r>
      <w:r w:rsidR="00B00D88">
        <w:rPr>
          <w:rFonts w:ascii="Times New Roman" w:hAnsi="Times New Roman"/>
          <w:bCs/>
          <w:szCs w:val="24"/>
        </w:rPr>
        <w:t>техните</w:t>
      </w:r>
      <w:r w:rsidRPr="005779C2">
        <w:rPr>
          <w:rFonts w:ascii="Times New Roman" w:hAnsi="Times New Roman"/>
          <w:bCs/>
          <w:szCs w:val="24"/>
        </w:rPr>
        <w:t xml:space="preserve"> дъщерни дружества или подизпълнители не засягат поверителността, обективността или безпристрастността на техните дейности по оценяване на съответствието.“</w:t>
      </w:r>
    </w:p>
    <w:p w14:paraId="3FC7F2C4" w14:textId="77777777" w:rsidR="005779C2" w:rsidRPr="005779C2" w:rsidRDefault="005779C2" w:rsidP="005D09F3">
      <w:pPr>
        <w:widowControl w:val="0"/>
        <w:tabs>
          <w:tab w:val="left" w:pos="1170"/>
        </w:tabs>
        <w:autoSpaceDE w:val="0"/>
        <w:autoSpaceDN w:val="0"/>
        <w:adjustRightInd w:val="0"/>
        <w:ind w:firstLine="840"/>
        <w:contextualSpacing/>
        <w:jc w:val="both"/>
        <w:rPr>
          <w:rFonts w:ascii="Times New Roman" w:hAnsi="Times New Roman"/>
          <w:bCs/>
          <w:szCs w:val="24"/>
        </w:rPr>
      </w:pPr>
    </w:p>
    <w:p w14:paraId="74B92AD5" w14:textId="77777777" w:rsidR="005D09F3" w:rsidRDefault="005D09F3" w:rsidP="005D09F3">
      <w:pPr>
        <w:widowControl w:val="0"/>
        <w:autoSpaceDE w:val="0"/>
        <w:autoSpaceDN w:val="0"/>
        <w:adjustRightInd w:val="0"/>
        <w:ind w:firstLine="450"/>
        <w:contextualSpacing/>
        <w:jc w:val="both"/>
        <w:rPr>
          <w:rFonts w:ascii="Times New Roman" w:hAnsi="Times New Roman"/>
          <w:bCs/>
          <w:szCs w:val="24"/>
        </w:rPr>
      </w:pPr>
      <w:r w:rsidRPr="005779C2">
        <w:rPr>
          <w:rFonts w:ascii="Times New Roman" w:hAnsi="Times New Roman"/>
          <w:b/>
          <w:szCs w:val="24"/>
        </w:rPr>
        <w:t xml:space="preserve">§ </w:t>
      </w:r>
      <w:r w:rsidRPr="005779C2">
        <w:rPr>
          <w:rFonts w:ascii="Times New Roman" w:hAnsi="Times New Roman"/>
          <w:b/>
          <w:szCs w:val="24"/>
          <w:lang w:val="en-US"/>
        </w:rPr>
        <w:t>6</w:t>
      </w:r>
      <w:r w:rsidRPr="005779C2">
        <w:rPr>
          <w:rFonts w:ascii="Times New Roman" w:hAnsi="Times New Roman"/>
          <w:b/>
          <w:szCs w:val="24"/>
        </w:rPr>
        <w:t>.</w:t>
      </w:r>
      <w:r w:rsidRPr="005779C2">
        <w:rPr>
          <w:rFonts w:ascii="Times New Roman" w:hAnsi="Times New Roman"/>
          <w:szCs w:val="24"/>
          <w:lang w:val="en-US"/>
        </w:rPr>
        <w:t xml:space="preserve"> </w:t>
      </w:r>
      <w:r w:rsidRPr="005779C2">
        <w:rPr>
          <w:rFonts w:ascii="Times New Roman" w:hAnsi="Times New Roman"/>
          <w:bCs/>
          <w:szCs w:val="24"/>
        </w:rPr>
        <w:t>В чл. 56в, ал. 4 думите „чл. 56, ал. 3“ се заменят с „чл. 56, ал. 4“.</w:t>
      </w:r>
    </w:p>
    <w:p w14:paraId="7EAD2137" w14:textId="77777777" w:rsidR="00C60CD4" w:rsidRPr="005779C2" w:rsidRDefault="00C60CD4" w:rsidP="005D09F3">
      <w:pPr>
        <w:widowControl w:val="0"/>
        <w:autoSpaceDE w:val="0"/>
        <w:autoSpaceDN w:val="0"/>
        <w:adjustRightInd w:val="0"/>
        <w:ind w:firstLine="450"/>
        <w:contextualSpacing/>
        <w:jc w:val="both"/>
        <w:rPr>
          <w:rFonts w:ascii="Times New Roman" w:hAnsi="Times New Roman"/>
          <w:bCs/>
          <w:szCs w:val="24"/>
        </w:rPr>
      </w:pPr>
    </w:p>
    <w:p w14:paraId="52E0344A" w14:textId="77777777" w:rsidR="005D09F3" w:rsidRPr="005779C2" w:rsidRDefault="005D09F3" w:rsidP="005D09F3">
      <w:pPr>
        <w:widowControl w:val="0"/>
        <w:tabs>
          <w:tab w:val="left" w:pos="1134"/>
        </w:tabs>
        <w:autoSpaceDE w:val="0"/>
        <w:autoSpaceDN w:val="0"/>
        <w:adjustRightInd w:val="0"/>
        <w:ind w:firstLine="450"/>
        <w:contextualSpacing/>
        <w:jc w:val="both"/>
        <w:rPr>
          <w:rFonts w:ascii="Times New Roman" w:hAnsi="Times New Roman"/>
          <w:bCs/>
          <w:szCs w:val="24"/>
        </w:rPr>
      </w:pPr>
      <w:r w:rsidRPr="005779C2">
        <w:rPr>
          <w:rFonts w:ascii="Times New Roman" w:hAnsi="Times New Roman"/>
          <w:b/>
          <w:szCs w:val="24"/>
        </w:rPr>
        <w:t xml:space="preserve">§ </w:t>
      </w:r>
      <w:r w:rsidRPr="005779C2">
        <w:rPr>
          <w:rFonts w:ascii="Times New Roman" w:hAnsi="Times New Roman"/>
          <w:b/>
          <w:szCs w:val="24"/>
          <w:lang w:val="en-US"/>
        </w:rPr>
        <w:t>7</w:t>
      </w:r>
      <w:r w:rsidRPr="005779C2">
        <w:rPr>
          <w:rFonts w:ascii="Times New Roman" w:hAnsi="Times New Roman"/>
          <w:b/>
          <w:szCs w:val="24"/>
        </w:rPr>
        <w:t>.</w:t>
      </w:r>
      <w:r w:rsidRPr="005779C2">
        <w:rPr>
          <w:rFonts w:ascii="Times New Roman" w:hAnsi="Times New Roman"/>
          <w:szCs w:val="24"/>
          <w:lang w:val="en-US"/>
        </w:rPr>
        <w:t xml:space="preserve"> </w:t>
      </w:r>
      <w:r w:rsidRPr="005779C2">
        <w:rPr>
          <w:rFonts w:ascii="Times New Roman" w:hAnsi="Times New Roman"/>
          <w:bCs/>
          <w:szCs w:val="24"/>
        </w:rPr>
        <w:t>В чл. 60б се правят следните изменения и допълнения:</w:t>
      </w:r>
    </w:p>
    <w:p w14:paraId="7E42D7B7" w14:textId="34B7D416" w:rsidR="005D09F3" w:rsidRPr="00C9136C" w:rsidRDefault="00C60CD4" w:rsidP="005F3B18">
      <w:pPr>
        <w:pStyle w:val="ListParagraph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9136C">
        <w:rPr>
          <w:rFonts w:ascii="Times New Roman" w:hAnsi="Times New Roman"/>
          <w:bCs/>
          <w:sz w:val="24"/>
          <w:szCs w:val="24"/>
          <w:lang w:val="bg-BG"/>
        </w:rPr>
        <w:t>В</w:t>
      </w:r>
      <w:r w:rsidR="005D09F3" w:rsidRPr="00C9136C">
        <w:rPr>
          <w:rFonts w:ascii="Times New Roman" w:hAnsi="Times New Roman"/>
          <w:bCs/>
          <w:sz w:val="24"/>
          <w:szCs w:val="24"/>
          <w:lang w:val="bg-BG"/>
        </w:rPr>
        <w:t xml:space="preserve"> ал. 2, т. 1 след думата </w:t>
      </w:r>
      <w:r w:rsidR="00D71AFC">
        <w:rPr>
          <w:rFonts w:ascii="Times New Roman" w:hAnsi="Times New Roman"/>
          <w:bCs/>
          <w:sz w:val="24"/>
          <w:szCs w:val="24"/>
          <w:lang w:val="bg-BG"/>
        </w:rPr>
        <w:t>„</w:t>
      </w:r>
      <w:r w:rsidR="005D09F3" w:rsidRPr="00C9136C">
        <w:rPr>
          <w:rFonts w:ascii="Times New Roman" w:hAnsi="Times New Roman"/>
          <w:bCs/>
          <w:sz w:val="24"/>
          <w:szCs w:val="24"/>
          <w:lang w:val="bg-BG"/>
        </w:rPr>
        <w:t xml:space="preserve">търговец“ се поставя запетая и се добавя </w:t>
      </w:r>
      <w:r w:rsidR="00D71AFC">
        <w:rPr>
          <w:rFonts w:ascii="Times New Roman" w:hAnsi="Times New Roman"/>
          <w:bCs/>
          <w:sz w:val="24"/>
          <w:szCs w:val="24"/>
          <w:lang w:val="bg-BG"/>
        </w:rPr>
        <w:t>„</w:t>
      </w:r>
      <w:r w:rsidR="005D09F3" w:rsidRPr="00C9136C">
        <w:rPr>
          <w:rFonts w:ascii="Times New Roman" w:hAnsi="Times New Roman"/>
          <w:bCs/>
          <w:sz w:val="24"/>
          <w:szCs w:val="24"/>
          <w:lang w:val="bg-BG"/>
        </w:rPr>
        <w:t>учреден в Република България“</w:t>
      </w:r>
      <w:r w:rsidR="00D71AFC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655A89B4" w14:textId="77777777" w:rsidR="00C60CD4" w:rsidRPr="00C9136C" w:rsidRDefault="00C60CD4" w:rsidP="005F3B1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9136C">
        <w:rPr>
          <w:rFonts w:ascii="Times New Roman" w:hAnsi="Times New Roman"/>
          <w:bCs/>
          <w:sz w:val="24"/>
          <w:szCs w:val="24"/>
          <w:lang w:val="bg-BG"/>
        </w:rPr>
        <w:t>С</w:t>
      </w:r>
      <w:r w:rsidR="005D09F3" w:rsidRPr="00C9136C">
        <w:rPr>
          <w:rFonts w:ascii="Times New Roman" w:hAnsi="Times New Roman"/>
          <w:bCs/>
          <w:sz w:val="24"/>
          <w:szCs w:val="24"/>
          <w:lang w:val="bg-BG"/>
        </w:rPr>
        <w:t>ъздава се нова ал. 3:</w:t>
      </w:r>
      <w:r w:rsidRPr="00C9136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14:paraId="5D61B2E7" w14:textId="77777777" w:rsidR="005D09F3" w:rsidRPr="00C9136C" w:rsidRDefault="005D09F3" w:rsidP="00C9136C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9136C">
        <w:rPr>
          <w:rFonts w:ascii="Times New Roman" w:hAnsi="Times New Roman"/>
          <w:bCs/>
          <w:sz w:val="24"/>
          <w:szCs w:val="24"/>
          <w:lang w:val="bg-BG"/>
        </w:rPr>
        <w:t>„(3) Изискванията към лицата за оценяване на съответствието (</w:t>
      </w:r>
      <w:proofErr w:type="spellStart"/>
      <w:r w:rsidRPr="00C9136C">
        <w:rPr>
          <w:rFonts w:ascii="Times New Roman" w:hAnsi="Times New Roman"/>
          <w:bCs/>
          <w:sz w:val="24"/>
          <w:szCs w:val="24"/>
          <w:lang w:val="bg-BG"/>
        </w:rPr>
        <w:t>нотифицирани</w:t>
      </w:r>
      <w:proofErr w:type="spellEnd"/>
      <w:r w:rsidRPr="00C9136C">
        <w:rPr>
          <w:rFonts w:ascii="Times New Roman" w:hAnsi="Times New Roman"/>
          <w:bCs/>
          <w:sz w:val="24"/>
          <w:szCs w:val="24"/>
          <w:lang w:val="bg-BG"/>
        </w:rPr>
        <w:t xml:space="preserve"> органи) съгласно Раздел I и Раздел </w:t>
      </w:r>
      <w:proofErr w:type="spellStart"/>
      <w:r w:rsidRPr="00C9136C">
        <w:rPr>
          <w:rFonts w:ascii="Times New Roman" w:hAnsi="Times New Roman"/>
          <w:bCs/>
          <w:sz w:val="24"/>
          <w:szCs w:val="24"/>
          <w:lang w:val="bg-BG"/>
        </w:rPr>
        <w:t>Iа</w:t>
      </w:r>
      <w:proofErr w:type="spellEnd"/>
      <w:r w:rsidRPr="00C9136C">
        <w:rPr>
          <w:rFonts w:ascii="Times New Roman" w:hAnsi="Times New Roman"/>
          <w:bCs/>
          <w:sz w:val="24"/>
          <w:szCs w:val="24"/>
          <w:lang w:val="bg-BG"/>
        </w:rPr>
        <w:t xml:space="preserve"> на настоящата глава се</w:t>
      </w:r>
      <w:r w:rsidR="00777ECA" w:rsidRPr="00C9136C">
        <w:rPr>
          <w:rFonts w:ascii="Times New Roman" w:hAnsi="Times New Roman"/>
          <w:bCs/>
          <w:sz w:val="24"/>
          <w:szCs w:val="24"/>
          <w:lang w:val="bg-BG"/>
        </w:rPr>
        <w:t xml:space="preserve"> прилагат и към лицата по ал. 1</w:t>
      </w:r>
      <w:r w:rsidRPr="00C9136C">
        <w:rPr>
          <w:rFonts w:ascii="Times New Roman" w:hAnsi="Times New Roman"/>
          <w:bCs/>
          <w:sz w:val="24"/>
          <w:szCs w:val="24"/>
          <w:lang w:val="bg-BG"/>
        </w:rPr>
        <w:t>. “</w:t>
      </w:r>
    </w:p>
    <w:p w14:paraId="08193312" w14:textId="77777777" w:rsidR="005D09F3" w:rsidRPr="00C9136C" w:rsidRDefault="00C60CD4" w:rsidP="005F3B18">
      <w:pPr>
        <w:pStyle w:val="ListParagraph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1134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9136C">
        <w:rPr>
          <w:rFonts w:ascii="Times New Roman" w:hAnsi="Times New Roman"/>
          <w:bCs/>
          <w:sz w:val="24"/>
          <w:szCs w:val="24"/>
          <w:lang w:val="bg-BG"/>
        </w:rPr>
        <w:t>Д</w:t>
      </w:r>
      <w:r w:rsidR="005D09F3" w:rsidRPr="00C9136C">
        <w:rPr>
          <w:rFonts w:ascii="Times New Roman" w:hAnsi="Times New Roman"/>
          <w:bCs/>
          <w:sz w:val="24"/>
          <w:szCs w:val="24"/>
          <w:lang w:val="bg-BG"/>
        </w:rPr>
        <w:t>осегашната ал. 3 става ал. 4.</w:t>
      </w:r>
    </w:p>
    <w:p w14:paraId="49C8E346" w14:textId="77777777" w:rsidR="00BB36CE" w:rsidRPr="005779C2" w:rsidRDefault="00BB36CE" w:rsidP="00BB36CE">
      <w:pPr>
        <w:ind w:hanging="284"/>
        <w:rPr>
          <w:rFonts w:ascii="Times New Roman" w:hAnsi="Times New Roman"/>
          <w:szCs w:val="24"/>
        </w:rPr>
      </w:pPr>
    </w:p>
    <w:p w14:paraId="3AC3D4F0" w14:textId="4CD2D0D9" w:rsidR="00A04FEA" w:rsidRPr="005779C2" w:rsidRDefault="00A04FEA" w:rsidP="00BB36CE">
      <w:pPr>
        <w:ind w:hanging="284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A04FEA" w:rsidRPr="0057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D6C7E"/>
    <w:multiLevelType w:val="hybridMultilevel"/>
    <w:tmpl w:val="4C70EDB0"/>
    <w:lvl w:ilvl="0" w:tplc="8ECCD35E">
      <w:start w:val="1"/>
      <w:numFmt w:val="decimal"/>
      <w:lvlText w:val="%1."/>
      <w:lvlJc w:val="left"/>
      <w:pPr>
        <w:ind w:left="1200" w:hanging="360"/>
      </w:p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6CC55DD"/>
    <w:multiLevelType w:val="hybridMultilevel"/>
    <w:tmpl w:val="68D8C0CC"/>
    <w:lvl w:ilvl="0" w:tplc="FFDA0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B7CA4"/>
    <w:multiLevelType w:val="hybridMultilevel"/>
    <w:tmpl w:val="0B3ECCE0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4DE931C6"/>
    <w:multiLevelType w:val="hybridMultilevel"/>
    <w:tmpl w:val="10226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A239D"/>
    <w:multiLevelType w:val="hybridMultilevel"/>
    <w:tmpl w:val="62EC76A8"/>
    <w:lvl w:ilvl="0" w:tplc="59B01A56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CE"/>
    <w:rsid w:val="0000394C"/>
    <w:rsid w:val="00076B5F"/>
    <w:rsid w:val="00162E51"/>
    <w:rsid w:val="001C1C6D"/>
    <w:rsid w:val="0032601D"/>
    <w:rsid w:val="00453136"/>
    <w:rsid w:val="00496EFB"/>
    <w:rsid w:val="004A00F7"/>
    <w:rsid w:val="004D18A0"/>
    <w:rsid w:val="004F7932"/>
    <w:rsid w:val="005779C2"/>
    <w:rsid w:val="00594063"/>
    <w:rsid w:val="005D09F3"/>
    <w:rsid w:val="005F3B18"/>
    <w:rsid w:val="005F54B7"/>
    <w:rsid w:val="00685D02"/>
    <w:rsid w:val="00777ECA"/>
    <w:rsid w:val="007F54C1"/>
    <w:rsid w:val="00813CCE"/>
    <w:rsid w:val="00984455"/>
    <w:rsid w:val="009B20A5"/>
    <w:rsid w:val="00A04FEA"/>
    <w:rsid w:val="00A93077"/>
    <w:rsid w:val="00AE0682"/>
    <w:rsid w:val="00B00D88"/>
    <w:rsid w:val="00B223C3"/>
    <w:rsid w:val="00BB36CE"/>
    <w:rsid w:val="00BD2872"/>
    <w:rsid w:val="00C60CD4"/>
    <w:rsid w:val="00C9136C"/>
    <w:rsid w:val="00CF41C4"/>
    <w:rsid w:val="00D71AFC"/>
    <w:rsid w:val="00E53509"/>
    <w:rsid w:val="00E663F7"/>
    <w:rsid w:val="00FA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0102"/>
  <w15:chartTrackingRefBased/>
  <w15:docId w15:val="{06055DE2-2BAA-4F5C-91B4-46EF7961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CE"/>
    <w:rPr>
      <w:rFonts w:ascii="Arial" w:hAnsi="Arial"/>
      <w:sz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4A00F7"/>
    <w:pPr>
      <w:keepNext/>
      <w:ind w:left="720"/>
      <w:outlineLvl w:val="0"/>
    </w:pPr>
    <w:rPr>
      <w:lang w:val="ru-RU" w:eastAsia="en-US"/>
    </w:rPr>
  </w:style>
  <w:style w:type="paragraph" w:styleId="Heading2">
    <w:name w:val="heading 2"/>
    <w:basedOn w:val="Normal"/>
    <w:next w:val="Normal"/>
    <w:link w:val="Heading2Char"/>
    <w:qFormat/>
    <w:rsid w:val="004A00F7"/>
    <w:pPr>
      <w:keepNext/>
      <w:ind w:left="2160" w:firstLine="720"/>
      <w:jc w:val="center"/>
      <w:outlineLvl w:val="1"/>
    </w:pPr>
    <w:rPr>
      <w:lang w:val="ru-RU" w:eastAsia="en-US"/>
    </w:rPr>
  </w:style>
  <w:style w:type="paragraph" w:styleId="Heading3">
    <w:name w:val="heading 3"/>
    <w:basedOn w:val="Normal"/>
    <w:next w:val="Normal"/>
    <w:link w:val="Heading3Char"/>
    <w:qFormat/>
    <w:rsid w:val="004A00F7"/>
    <w:pPr>
      <w:keepNext/>
      <w:jc w:val="center"/>
      <w:outlineLvl w:val="2"/>
    </w:pPr>
    <w:rPr>
      <w:b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A00F7"/>
    <w:pPr>
      <w:spacing w:before="240" w:after="60"/>
      <w:outlineLvl w:val="4"/>
    </w:pPr>
    <w:rPr>
      <w:rFonts w:ascii="HebarU" w:hAnsi="HebarU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00F7"/>
    <w:rPr>
      <w:rFonts w:ascii="Arial" w:hAnsi="Arial"/>
      <w:sz w:val="24"/>
      <w:lang w:val="ru-RU"/>
    </w:rPr>
  </w:style>
  <w:style w:type="character" w:customStyle="1" w:styleId="Heading2Char">
    <w:name w:val="Heading 2 Char"/>
    <w:basedOn w:val="DefaultParagraphFont"/>
    <w:link w:val="Heading2"/>
    <w:rsid w:val="004A00F7"/>
    <w:rPr>
      <w:rFonts w:ascii="Arial" w:hAnsi="Arial"/>
      <w:sz w:val="24"/>
      <w:lang w:val="ru-RU"/>
    </w:rPr>
  </w:style>
  <w:style w:type="character" w:customStyle="1" w:styleId="Heading3Char">
    <w:name w:val="Heading 3 Char"/>
    <w:basedOn w:val="DefaultParagraphFont"/>
    <w:link w:val="Heading3"/>
    <w:rsid w:val="004A00F7"/>
    <w:rPr>
      <w:rFonts w:ascii="Arial" w:hAnsi="Arial"/>
      <w:b/>
      <w:sz w:val="24"/>
    </w:rPr>
  </w:style>
  <w:style w:type="character" w:customStyle="1" w:styleId="Heading5Char">
    <w:name w:val="Heading 5 Char"/>
    <w:basedOn w:val="DefaultParagraphFont"/>
    <w:link w:val="Heading5"/>
    <w:rsid w:val="004A00F7"/>
    <w:rPr>
      <w:rFonts w:ascii="HebarU" w:hAnsi="HebarU"/>
      <w:b/>
      <w:bCs/>
      <w:i/>
      <w:iCs/>
      <w:sz w:val="26"/>
      <w:szCs w:val="26"/>
      <w:lang w:val="en-US"/>
    </w:rPr>
  </w:style>
  <w:style w:type="paragraph" w:styleId="Title">
    <w:name w:val="Title"/>
    <w:basedOn w:val="Normal"/>
    <w:link w:val="TitleChar"/>
    <w:qFormat/>
    <w:rsid w:val="004A00F7"/>
    <w:pPr>
      <w:spacing w:after="120"/>
      <w:jc w:val="center"/>
    </w:pPr>
    <w:rPr>
      <w:rFonts w:ascii="NewSaturionModernCyr" w:hAnsi="NewSaturionModernCyr"/>
      <w:b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4A00F7"/>
    <w:rPr>
      <w:rFonts w:ascii="NewSaturionModernCyr" w:hAnsi="NewSaturionModernCyr"/>
      <w:b/>
      <w:sz w:val="28"/>
    </w:rPr>
  </w:style>
  <w:style w:type="paragraph" w:styleId="ListParagraph">
    <w:name w:val="List Paragraph"/>
    <w:basedOn w:val="Normal"/>
    <w:qFormat/>
    <w:rsid w:val="004A00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5F"/>
    <w:rPr>
      <w:rFonts w:ascii="Segoe UI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496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EF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EFB"/>
    <w:rPr>
      <w:rFonts w:ascii="Arial" w:hAnsi="Arial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EFB"/>
    <w:rPr>
      <w:rFonts w:ascii="Arial" w:hAnsi="Arial"/>
      <w:b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Jordanov</dc:creator>
  <cp:keywords/>
  <dc:description/>
  <cp:lastModifiedBy>Zoia Cvetkova</cp:lastModifiedBy>
  <cp:revision>6</cp:revision>
  <dcterms:created xsi:type="dcterms:W3CDTF">2020-07-24T15:10:00Z</dcterms:created>
  <dcterms:modified xsi:type="dcterms:W3CDTF">2020-07-28T08:32:00Z</dcterms:modified>
</cp:coreProperties>
</file>