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50FC" w14:textId="1C9DF1A1" w:rsidR="00100874" w:rsidRPr="00100874" w:rsidRDefault="00FB3787" w:rsidP="00100874">
      <w:pPr>
        <w:spacing w:before="120" w:after="0" w:line="276" w:lineRule="auto"/>
        <w:jc w:val="center"/>
        <w:rPr>
          <w:rFonts w:cs="Times New Roman"/>
          <w:b/>
          <w:szCs w:val="24"/>
        </w:rPr>
      </w:pPr>
      <w:r>
        <w:rPr>
          <w:rFonts w:cs="Times New Roman"/>
          <w:b/>
          <w:szCs w:val="24"/>
        </w:rPr>
        <w:t>ОТЧЕТ</w:t>
      </w:r>
    </w:p>
    <w:p w14:paraId="51BB1B74" w14:textId="77777777" w:rsidR="00100874" w:rsidRDefault="00100874" w:rsidP="00100874">
      <w:pPr>
        <w:spacing w:before="120" w:after="0" w:line="276" w:lineRule="auto"/>
        <w:jc w:val="center"/>
        <w:rPr>
          <w:rFonts w:eastAsia="Times New Roman" w:cs="Times New Roman"/>
          <w:noProof/>
          <w:color w:val="1A1A1A"/>
          <w:szCs w:val="24"/>
          <w:lang w:eastAsia="bg-BG"/>
        </w:rPr>
      </w:pPr>
      <w:r w:rsidRPr="00100874">
        <w:rPr>
          <w:rFonts w:cs="Times New Roman"/>
          <w:b/>
          <w:szCs w:val="24"/>
        </w:rPr>
        <w:t>по изпълнението на Националната програма „Цифрова България 2025“</w:t>
      </w:r>
      <w:r w:rsidRPr="00100874">
        <w:rPr>
          <w:rFonts w:eastAsia="Times New Roman" w:cs="Times New Roman"/>
          <w:noProof/>
          <w:color w:val="1A1A1A"/>
          <w:szCs w:val="24"/>
          <w:lang w:eastAsia="bg-BG"/>
        </w:rPr>
        <w:t xml:space="preserve"> </w:t>
      </w:r>
    </w:p>
    <w:p w14:paraId="4AF11A6A" w14:textId="469D15D0" w:rsidR="00100874" w:rsidRDefault="00100874" w:rsidP="00100874">
      <w:pPr>
        <w:spacing w:before="120" w:after="0" w:line="276" w:lineRule="auto"/>
        <w:jc w:val="center"/>
        <w:rPr>
          <w:rFonts w:cs="Times New Roman"/>
          <w:b/>
          <w:szCs w:val="24"/>
        </w:rPr>
      </w:pPr>
      <w:r w:rsidRPr="00100874">
        <w:rPr>
          <w:rFonts w:eastAsia="Times New Roman" w:cs="Times New Roman"/>
          <w:b/>
          <w:noProof/>
          <w:color w:val="1A1A1A"/>
          <w:szCs w:val="24"/>
          <w:lang w:eastAsia="bg-BG"/>
        </w:rPr>
        <w:t>и пътната карта към нея</w:t>
      </w:r>
      <w:r w:rsidR="00430635">
        <w:rPr>
          <w:rFonts w:eastAsia="Times New Roman" w:cs="Times New Roman"/>
          <w:b/>
          <w:noProof/>
          <w:color w:val="1A1A1A"/>
          <w:szCs w:val="24"/>
          <w:lang w:eastAsia="bg-BG"/>
        </w:rPr>
        <w:t xml:space="preserve"> </w:t>
      </w:r>
      <w:r w:rsidRPr="00100874">
        <w:rPr>
          <w:rFonts w:cs="Times New Roman"/>
          <w:b/>
          <w:szCs w:val="24"/>
        </w:rPr>
        <w:t>към декември 202</w:t>
      </w:r>
      <w:r>
        <w:rPr>
          <w:rFonts w:cs="Times New Roman"/>
          <w:b/>
          <w:szCs w:val="24"/>
        </w:rPr>
        <w:t>1</w:t>
      </w:r>
      <w:r w:rsidRPr="00100874">
        <w:rPr>
          <w:rFonts w:cs="Times New Roman"/>
          <w:b/>
          <w:szCs w:val="24"/>
        </w:rPr>
        <w:t xml:space="preserve"> г.</w:t>
      </w:r>
    </w:p>
    <w:p w14:paraId="62F68B92" w14:textId="13DA8FF1" w:rsidR="00BD3D98" w:rsidRPr="00BD3D98" w:rsidRDefault="00BD3D98" w:rsidP="00BD3D98">
      <w:pPr>
        <w:widowControl w:val="0"/>
        <w:spacing w:before="120" w:after="0" w:line="276" w:lineRule="auto"/>
        <w:jc w:val="both"/>
        <w:rPr>
          <w:rFonts w:eastAsia="Times New Roman" w:cs="Times New Roman"/>
          <w:noProof/>
          <w:color w:val="1A1A1A"/>
          <w:szCs w:val="24"/>
          <w:lang w:eastAsia="bg-BG"/>
        </w:rPr>
      </w:pPr>
      <w:r w:rsidRPr="00BD3D98">
        <w:rPr>
          <w:rFonts w:eastAsia="Times New Roman" w:cs="Times New Roman"/>
          <w:noProof/>
          <w:color w:val="1A1A1A"/>
          <w:szCs w:val="24"/>
          <w:lang w:eastAsia="bg-BG"/>
        </w:rPr>
        <w:t>Настоящият отчет дава  информация за изпълнението на програмата и мерките към нея, както и статистически данни за 2021 г. от Националния статистически институт (НСИ) и други национални статистически изследвания, дадени в приложения.</w:t>
      </w:r>
      <w:r w:rsidR="00A309E2">
        <w:rPr>
          <w:rFonts w:eastAsia="Times New Roman" w:cs="Times New Roman"/>
          <w:noProof/>
          <w:color w:val="1A1A1A"/>
          <w:szCs w:val="24"/>
          <w:lang w:eastAsia="bg-BG"/>
        </w:rPr>
        <w:t xml:space="preserve"> Разглежда се накратко и потенциал</w:t>
      </w:r>
      <w:r w:rsidR="00AF76DA">
        <w:rPr>
          <w:rFonts w:eastAsia="Times New Roman" w:cs="Times New Roman"/>
          <w:noProof/>
          <w:color w:val="1A1A1A"/>
          <w:szCs w:val="24"/>
          <w:lang w:eastAsia="bg-BG"/>
        </w:rPr>
        <w:t xml:space="preserve">а на ИКТ сектора в България за икономически растеж, както и </w:t>
      </w:r>
      <w:r w:rsidR="001D2551">
        <w:rPr>
          <w:rFonts w:eastAsia="Times New Roman" w:cs="Times New Roman"/>
          <w:noProof/>
          <w:color w:val="1A1A1A"/>
          <w:szCs w:val="24"/>
          <w:lang w:eastAsia="bg-BG"/>
        </w:rPr>
        <w:t>рамк</w:t>
      </w:r>
      <w:r w:rsidR="00FE218C">
        <w:rPr>
          <w:rFonts w:eastAsia="Times New Roman" w:cs="Times New Roman"/>
          <w:noProof/>
          <w:color w:val="1A1A1A"/>
          <w:szCs w:val="24"/>
          <w:lang w:eastAsia="bg-BG"/>
        </w:rPr>
        <w:t>ата</w:t>
      </w:r>
      <w:r w:rsidR="001D2551">
        <w:rPr>
          <w:rFonts w:eastAsia="Times New Roman" w:cs="Times New Roman"/>
          <w:noProof/>
          <w:color w:val="1A1A1A"/>
          <w:szCs w:val="24"/>
          <w:lang w:eastAsia="bg-BG"/>
        </w:rPr>
        <w:t xml:space="preserve"> на новата европейска цифрова политика до 2030 г.</w:t>
      </w:r>
      <w:r w:rsidR="00AF76DA">
        <w:rPr>
          <w:rFonts w:eastAsia="Times New Roman" w:cs="Times New Roman"/>
          <w:noProof/>
          <w:color w:val="1A1A1A"/>
          <w:szCs w:val="24"/>
          <w:lang w:eastAsia="bg-BG"/>
        </w:rPr>
        <w:t xml:space="preserve"> </w:t>
      </w:r>
    </w:p>
    <w:p w14:paraId="34CD0484" w14:textId="74E19976" w:rsidR="00BB2AAD" w:rsidRDefault="00BD3D98" w:rsidP="003A5811">
      <w:pPr>
        <w:pStyle w:val="Heading1"/>
        <w:numPr>
          <w:ilvl w:val="0"/>
          <w:numId w:val="13"/>
        </w:numPr>
      </w:pPr>
      <w:bookmarkStart w:id="0" w:name="_Toc92275727"/>
      <w:r>
        <w:t>Справка и о</w:t>
      </w:r>
      <w:r w:rsidR="003A5811" w:rsidRPr="003A5811">
        <w:t xml:space="preserve">бобщени изводи </w:t>
      </w:r>
      <w:r w:rsidR="003A5811">
        <w:t>от</w:t>
      </w:r>
      <w:r w:rsidR="00BB2AAD" w:rsidRPr="00BB2AAD">
        <w:t xml:space="preserve"> изпълнението на Националната програма „Цифрова България 2025“</w:t>
      </w:r>
      <w:r w:rsidR="00BB2AAD" w:rsidRPr="00BB2AAD">
        <w:rPr>
          <w:rFonts w:eastAsia="Times New Roman"/>
          <w:noProof/>
          <w:color w:val="1A1A1A"/>
          <w:lang w:eastAsia="bg-BG"/>
        </w:rPr>
        <w:t xml:space="preserve"> и</w:t>
      </w:r>
      <w:r w:rsidR="00AE1156">
        <w:rPr>
          <w:rFonts w:eastAsia="Times New Roman"/>
          <w:noProof/>
          <w:color w:val="1A1A1A"/>
          <w:lang w:eastAsia="bg-BG"/>
        </w:rPr>
        <w:t xml:space="preserve"> </w:t>
      </w:r>
      <w:r w:rsidR="00BB2AAD" w:rsidRPr="00BB2AAD">
        <w:rPr>
          <w:rFonts w:eastAsia="Times New Roman"/>
          <w:noProof/>
          <w:color w:val="1A1A1A"/>
          <w:lang w:eastAsia="bg-BG"/>
        </w:rPr>
        <w:t>пътната карта към нея</w:t>
      </w:r>
      <w:r w:rsidR="00150387">
        <w:t xml:space="preserve"> </w:t>
      </w:r>
      <w:r w:rsidR="00BB2AAD" w:rsidRPr="00BB2AAD">
        <w:t>към декември 2021 г.</w:t>
      </w:r>
      <w:bookmarkEnd w:id="0"/>
    </w:p>
    <w:p w14:paraId="09585854" w14:textId="152B707A" w:rsidR="00DC5483" w:rsidRPr="00DC5483" w:rsidRDefault="0086791C" w:rsidP="00DC5483">
      <w:r>
        <w:rPr>
          <w:noProof/>
          <w:lang w:eastAsia="bg-BG"/>
        </w:rPr>
        <w:drawing>
          <wp:anchor distT="0" distB="0" distL="114300" distR="114300" simplePos="0" relativeHeight="251661312" behindDoc="0" locked="0" layoutInCell="1" allowOverlap="1" wp14:anchorId="076FB8EA" wp14:editId="7064BDA1">
            <wp:simplePos x="0" y="0"/>
            <wp:positionH relativeFrom="column">
              <wp:posOffset>-53340</wp:posOffset>
            </wp:positionH>
            <wp:positionV relativeFrom="paragraph">
              <wp:posOffset>240665</wp:posOffset>
            </wp:positionV>
            <wp:extent cx="5890260" cy="2857473"/>
            <wp:effectExtent l="0" t="0" r="15240" b="63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4EB3A25" w14:textId="46E5EAEA" w:rsidR="004A2778" w:rsidRDefault="004A2778" w:rsidP="004A2778">
      <w:pPr>
        <w:spacing w:before="120" w:after="0" w:line="276" w:lineRule="auto"/>
        <w:jc w:val="both"/>
        <w:rPr>
          <w:rFonts w:cs="Times New Roman"/>
          <w:szCs w:val="24"/>
        </w:rPr>
      </w:pPr>
    </w:p>
    <w:p w14:paraId="2F228E49" w14:textId="519F1937" w:rsidR="004A2778" w:rsidRDefault="004A2778" w:rsidP="004A2778">
      <w:pPr>
        <w:spacing w:before="120" w:after="0" w:line="276" w:lineRule="auto"/>
        <w:jc w:val="both"/>
        <w:rPr>
          <w:rFonts w:cs="Times New Roman"/>
          <w:szCs w:val="24"/>
        </w:rPr>
      </w:pPr>
    </w:p>
    <w:p w14:paraId="5BB94F20" w14:textId="77777777" w:rsidR="004A2778" w:rsidRDefault="004A2778" w:rsidP="004A2778">
      <w:pPr>
        <w:spacing w:before="120" w:after="0" w:line="276" w:lineRule="auto"/>
        <w:jc w:val="both"/>
        <w:rPr>
          <w:rFonts w:cs="Times New Roman"/>
          <w:szCs w:val="24"/>
        </w:rPr>
      </w:pPr>
    </w:p>
    <w:p w14:paraId="6F1D58D6" w14:textId="77777777" w:rsidR="004A2778" w:rsidRDefault="004A2778" w:rsidP="004A2778">
      <w:pPr>
        <w:spacing w:before="120" w:after="0" w:line="276" w:lineRule="auto"/>
        <w:jc w:val="both"/>
        <w:rPr>
          <w:rFonts w:cs="Times New Roman"/>
          <w:szCs w:val="24"/>
        </w:rPr>
      </w:pPr>
    </w:p>
    <w:p w14:paraId="53E5FE41" w14:textId="77777777" w:rsidR="004A2778" w:rsidRDefault="004A2778" w:rsidP="004A2778">
      <w:pPr>
        <w:spacing w:before="120" w:after="0" w:line="276" w:lineRule="auto"/>
        <w:jc w:val="both"/>
        <w:rPr>
          <w:rFonts w:cs="Times New Roman"/>
          <w:szCs w:val="24"/>
        </w:rPr>
      </w:pPr>
    </w:p>
    <w:p w14:paraId="3957EED6" w14:textId="77777777" w:rsidR="004A2778" w:rsidRDefault="004A2778" w:rsidP="004A2778">
      <w:pPr>
        <w:spacing w:before="120" w:after="0" w:line="276" w:lineRule="auto"/>
        <w:jc w:val="both"/>
        <w:rPr>
          <w:rFonts w:cs="Times New Roman"/>
          <w:szCs w:val="24"/>
        </w:rPr>
      </w:pPr>
    </w:p>
    <w:p w14:paraId="7D725ECE" w14:textId="77777777" w:rsidR="004A2778" w:rsidRDefault="004A2778" w:rsidP="004A2778">
      <w:pPr>
        <w:spacing w:before="120" w:after="0" w:line="276" w:lineRule="auto"/>
        <w:jc w:val="both"/>
        <w:rPr>
          <w:rFonts w:cs="Times New Roman"/>
          <w:szCs w:val="24"/>
        </w:rPr>
      </w:pPr>
    </w:p>
    <w:p w14:paraId="27AC0796" w14:textId="77777777" w:rsidR="004A2778" w:rsidRDefault="004A2778" w:rsidP="004A2778">
      <w:pPr>
        <w:spacing w:before="120" w:after="0" w:line="276" w:lineRule="auto"/>
        <w:jc w:val="both"/>
        <w:rPr>
          <w:rFonts w:cs="Times New Roman"/>
          <w:szCs w:val="24"/>
        </w:rPr>
      </w:pPr>
    </w:p>
    <w:p w14:paraId="6005A343" w14:textId="7403B629" w:rsidR="00F41A40" w:rsidRDefault="00F41A40" w:rsidP="004A2778">
      <w:pPr>
        <w:spacing w:before="120" w:after="0" w:line="276" w:lineRule="auto"/>
        <w:jc w:val="both"/>
        <w:rPr>
          <w:rFonts w:cs="Times New Roman"/>
          <w:sz w:val="20"/>
          <w:szCs w:val="20"/>
        </w:rPr>
      </w:pPr>
    </w:p>
    <w:p w14:paraId="73D5BB65" w14:textId="77777777" w:rsidR="0086791C" w:rsidRDefault="0086791C" w:rsidP="0086791C">
      <w:pPr>
        <w:spacing w:before="120" w:after="0" w:line="276" w:lineRule="auto"/>
        <w:jc w:val="both"/>
        <w:rPr>
          <w:rFonts w:cs="Times New Roman"/>
          <w:sz w:val="20"/>
          <w:szCs w:val="20"/>
        </w:rPr>
      </w:pPr>
    </w:p>
    <w:p w14:paraId="0292A4A6" w14:textId="77777777" w:rsidR="0086791C" w:rsidRDefault="0086791C" w:rsidP="0086791C">
      <w:pPr>
        <w:spacing w:before="120" w:after="0" w:line="276" w:lineRule="auto"/>
        <w:jc w:val="both"/>
        <w:rPr>
          <w:rFonts w:cs="Times New Roman"/>
          <w:sz w:val="20"/>
          <w:szCs w:val="20"/>
        </w:rPr>
      </w:pPr>
    </w:p>
    <w:p w14:paraId="2ED04E86" w14:textId="77777777" w:rsidR="0086791C" w:rsidRDefault="0086791C" w:rsidP="0086791C">
      <w:pPr>
        <w:spacing w:before="120" w:after="0" w:line="276" w:lineRule="auto"/>
        <w:jc w:val="both"/>
        <w:rPr>
          <w:rFonts w:cs="Times New Roman"/>
          <w:sz w:val="20"/>
          <w:szCs w:val="20"/>
        </w:rPr>
      </w:pPr>
    </w:p>
    <w:p w14:paraId="366E7A47" w14:textId="34ADBB01" w:rsidR="005F5296" w:rsidRPr="0075043E" w:rsidRDefault="0075043E" w:rsidP="005F5296">
      <w:pPr>
        <w:spacing w:before="120" w:after="0" w:line="276" w:lineRule="auto"/>
        <w:jc w:val="both"/>
        <w:rPr>
          <w:rFonts w:eastAsia="Times New Roman" w:cs="Times New Roman"/>
          <w:noProof/>
          <w:color w:val="1A1A1A"/>
          <w:szCs w:val="24"/>
          <w:lang w:eastAsia="bg-BG"/>
        </w:rPr>
      </w:pPr>
      <w:r w:rsidRPr="0075043E">
        <w:rPr>
          <w:rFonts w:eastAsia="Times New Roman" w:cs="Times New Roman"/>
          <w:noProof/>
          <w:color w:val="1A1A1A"/>
          <w:szCs w:val="24"/>
          <w:lang w:eastAsia="bg-BG"/>
        </w:rPr>
        <w:t>Изпълнението на мерките от Пътната карта към Националната програма „Цифрова България 2025“</w:t>
      </w:r>
      <w:r>
        <w:rPr>
          <w:rFonts w:eastAsia="Times New Roman" w:cs="Times New Roman"/>
          <w:noProof/>
          <w:color w:val="1A1A1A"/>
          <w:szCs w:val="24"/>
          <w:lang w:eastAsia="bg-BG"/>
        </w:rPr>
        <w:t xml:space="preserve"> се отчита с натрупване</w:t>
      </w:r>
      <w:r w:rsidR="00882D23">
        <w:rPr>
          <w:rFonts w:eastAsia="Times New Roman" w:cs="Times New Roman"/>
          <w:noProof/>
          <w:color w:val="1A1A1A"/>
          <w:szCs w:val="24"/>
          <w:lang w:eastAsia="bg-BG"/>
        </w:rPr>
        <w:t xml:space="preserve">. Някои от изпълнените мерки към декември 2021 г. може да са </w:t>
      </w:r>
      <w:r w:rsidR="00722C9D">
        <w:rPr>
          <w:rFonts w:eastAsia="Times New Roman" w:cs="Times New Roman"/>
          <w:noProof/>
          <w:color w:val="1A1A1A"/>
          <w:szCs w:val="24"/>
          <w:lang w:eastAsia="bg-BG"/>
        </w:rPr>
        <w:t>имали</w:t>
      </w:r>
      <w:r w:rsidR="00882D23">
        <w:rPr>
          <w:rFonts w:eastAsia="Times New Roman" w:cs="Times New Roman"/>
          <w:noProof/>
          <w:color w:val="1A1A1A"/>
          <w:szCs w:val="24"/>
          <w:lang w:eastAsia="bg-BG"/>
        </w:rPr>
        <w:t xml:space="preserve"> </w:t>
      </w:r>
      <w:r w:rsidR="00722C9D">
        <w:rPr>
          <w:rFonts w:eastAsia="Times New Roman" w:cs="Times New Roman"/>
          <w:noProof/>
          <w:color w:val="1A1A1A"/>
          <w:szCs w:val="24"/>
          <w:lang w:eastAsia="bg-BG"/>
        </w:rPr>
        <w:t>отложени срокове във времето.</w:t>
      </w:r>
      <w:r w:rsidR="005F5296">
        <w:rPr>
          <w:rFonts w:eastAsia="Times New Roman" w:cs="Times New Roman"/>
          <w:noProof/>
          <w:color w:val="1A1A1A"/>
          <w:szCs w:val="24"/>
          <w:lang w:eastAsia="bg-BG"/>
        </w:rPr>
        <w:t xml:space="preserve"> </w:t>
      </w:r>
      <w:r w:rsidR="005F5296" w:rsidRPr="0075043E">
        <w:rPr>
          <w:rFonts w:eastAsia="Times New Roman" w:cs="Times New Roman"/>
          <w:noProof/>
          <w:color w:val="1A1A1A"/>
          <w:szCs w:val="24"/>
          <w:lang w:eastAsia="bg-BG"/>
        </w:rPr>
        <w:t xml:space="preserve">Новите </w:t>
      </w:r>
      <w:r w:rsidR="00555DF4">
        <w:rPr>
          <w:rFonts w:eastAsia="Times New Roman" w:cs="Times New Roman"/>
          <w:noProof/>
          <w:color w:val="1A1A1A"/>
          <w:szCs w:val="24"/>
          <w:lang w:eastAsia="bg-BG"/>
        </w:rPr>
        <w:t xml:space="preserve">мерки </w:t>
      </w:r>
      <w:r w:rsidR="005F5296" w:rsidRPr="0075043E">
        <w:rPr>
          <w:rFonts w:eastAsia="Times New Roman" w:cs="Times New Roman"/>
          <w:noProof/>
          <w:color w:val="1A1A1A"/>
          <w:szCs w:val="24"/>
          <w:lang w:eastAsia="bg-BG"/>
        </w:rPr>
        <w:t xml:space="preserve">може да са </w:t>
      </w:r>
      <w:r w:rsidR="00555DF4">
        <w:rPr>
          <w:rFonts w:eastAsia="Times New Roman" w:cs="Times New Roman"/>
          <w:noProof/>
          <w:color w:val="1A1A1A"/>
          <w:szCs w:val="24"/>
          <w:lang w:eastAsia="bg-BG"/>
        </w:rPr>
        <w:t xml:space="preserve">вече </w:t>
      </w:r>
      <w:r w:rsidR="005F5296" w:rsidRPr="0075043E">
        <w:rPr>
          <w:rFonts w:eastAsia="Times New Roman" w:cs="Times New Roman"/>
          <w:noProof/>
          <w:color w:val="1A1A1A"/>
          <w:szCs w:val="24"/>
          <w:lang w:eastAsia="bg-BG"/>
        </w:rPr>
        <w:t>в процес на изпълнение</w:t>
      </w:r>
      <w:r w:rsidR="00555DF4">
        <w:rPr>
          <w:rFonts w:eastAsia="Times New Roman" w:cs="Times New Roman"/>
          <w:noProof/>
          <w:color w:val="1A1A1A"/>
          <w:szCs w:val="24"/>
          <w:lang w:eastAsia="bg-BG"/>
        </w:rPr>
        <w:t>.</w:t>
      </w:r>
    </w:p>
    <w:p w14:paraId="553F6694" w14:textId="0933E013" w:rsidR="00BB2AAD" w:rsidRPr="00BB2AAD" w:rsidRDefault="003A5811" w:rsidP="00100874">
      <w:pPr>
        <w:widowControl w:val="0"/>
        <w:spacing w:before="120" w:after="0" w:line="276" w:lineRule="auto"/>
        <w:jc w:val="both"/>
        <w:rPr>
          <w:rFonts w:eastAsia="Times New Roman" w:cs="Times New Roman"/>
          <w:noProof/>
          <w:color w:val="1A1A1A"/>
          <w:szCs w:val="24"/>
          <w:lang w:eastAsia="bg-BG"/>
        </w:rPr>
      </w:pPr>
      <w:r w:rsidRPr="003A5811">
        <w:rPr>
          <w:rFonts w:eastAsia="Times New Roman" w:cs="Times New Roman"/>
          <w:b/>
          <w:noProof/>
          <w:color w:val="1A1A1A"/>
          <w:szCs w:val="24"/>
          <w:lang w:eastAsia="bg-BG"/>
        </w:rPr>
        <w:t>О</w:t>
      </w:r>
      <w:r w:rsidR="00BB2AAD" w:rsidRPr="003A5811">
        <w:rPr>
          <w:rFonts w:eastAsia="Times New Roman" w:cs="Times New Roman"/>
          <w:b/>
          <w:noProof/>
          <w:color w:val="1A1A1A"/>
          <w:szCs w:val="24"/>
          <w:lang w:eastAsia="bg-BG"/>
        </w:rPr>
        <w:t>бобщени</w:t>
      </w:r>
      <w:r w:rsidR="00BB2AAD" w:rsidRPr="00BB2AAD">
        <w:rPr>
          <w:rFonts w:eastAsia="Times New Roman" w:cs="Times New Roman"/>
          <w:noProof/>
          <w:color w:val="1A1A1A"/>
          <w:szCs w:val="24"/>
          <w:lang w:eastAsia="bg-BG"/>
        </w:rPr>
        <w:t xml:space="preserve"> </w:t>
      </w:r>
      <w:r w:rsidR="00BB2AAD" w:rsidRPr="00BB2AAD">
        <w:rPr>
          <w:rFonts w:eastAsia="Times New Roman" w:cs="Times New Roman"/>
          <w:b/>
          <w:noProof/>
          <w:color w:val="1A1A1A"/>
          <w:szCs w:val="24"/>
          <w:lang w:eastAsia="bg-BG"/>
        </w:rPr>
        <w:t>изводи</w:t>
      </w:r>
      <w:r w:rsidR="00FB7A72">
        <w:rPr>
          <w:rFonts w:eastAsia="Times New Roman" w:cs="Times New Roman"/>
          <w:b/>
          <w:noProof/>
          <w:color w:val="1A1A1A"/>
          <w:szCs w:val="24"/>
          <w:lang w:eastAsia="bg-BG"/>
        </w:rPr>
        <w:t xml:space="preserve"> и важни статистически </w:t>
      </w:r>
      <w:r w:rsidR="0006360A">
        <w:rPr>
          <w:rFonts w:eastAsia="Times New Roman" w:cs="Times New Roman"/>
          <w:b/>
          <w:noProof/>
          <w:color w:val="1A1A1A"/>
          <w:szCs w:val="24"/>
          <w:lang w:eastAsia="bg-BG"/>
        </w:rPr>
        <w:t>маркери</w:t>
      </w:r>
      <w:r w:rsidR="00BB2AAD" w:rsidRPr="00BB2AAD">
        <w:rPr>
          <w:rFonts w:eastAsia="Times New Roman" w:cs="Times New Roman"/>
          <w:noProof/>
          <w:color w:val="1A1A1A"/>
          <w:szCs w:val="24"/>
          <w:lang w:eastAsia="bg-BG"/>
        </w:rPr>
        <w:t>:</w:t>
      </w:r>
    </w:p>
    <w:p w14:paraId="7C4F1C0C" w14:textId="2692EBE5" w:rsidR="00BB2AAD" w:rsidRPr="00601943" w:rsidRDefault="00373001"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eastAsia="Times New Roman" w:cs="Times New Roman"/>
          <w:noProof/>
          <w:color w:val="1A1A1A"/>
          <w:szCs w:val="24"/>
          <w:lang w:eastAsia="bg-BG"/>
        </w:rPr>
        <w:t xml:space="preserve">Най-много мерки са изпълнени в приоритет 3: Повишаване на цифровите компетентности и умения и приоритет 4: Осигуряване на ефективни и висококачествени публични електронни услуги за бизнеса, гражданите и държавното управление </w:t>
      </w:r>
    </w:p>
    <w:p w14:paraId="01F3E1DD" w14:textId="4383C9EC" w:rsidR="00BB2AAD" w:rsidRPr="00601943" w:rsidRDefault="00BB2AAD"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eastAsia="Times New Roman" w:cs="Times New Roman"/>
          <w:noProof/>
          <w:color w:val="1A1A1A"/>
          <w:szCs w:val="24"/>
          <w:lang w:eastAsia="bg-BG"/>
        </w:rPr>
        <w:t xml:space="preserve">Отпадането </w:t>
      </w:r>
      <w:r w:rsidR="005F5E5B" w:rsidRPr="00601943">
        <w:rPr>
          <w:rFonts w:eastAsia="Times New Roman" w:cs="Times New Roman"/>
          <w:noProof/>
          <w:color w:val="1A1A1A"/>
          <w:szCs w:val="24"/>
          <w:lang w:eastAsia="bg-BG"/>
        </w:rPr>
        <w:t xml:space="preserve">на мерки </w:t>
      </w:r>
      <w:r w:rsidRPr="00601943">
        <w:rPr>
          <w:rFonts w:eastAsia="Times New Roman" w:cs="Times New Roman"/>
          <w:noProof/>
          <w:color w:val="1A1A1A"/>
          <w:szCs w:val="24"/>
          <w:lang w:eastAsia="bg-BG"/>
        </w:rPr>
        <w:t>или удължаването на срока на няко</w:t>
      </w:r>
      <w:bookmarkStart w:id="1" w:name="_GoBack"/>
      <w:bookmarkEnd w:id="1"/>
      <w:r w:rsidRPr="00601943">
        <w:rPr>
          <w:rFonts w:eastAsia="Times New Roman" w:cs="Times New Roman"/>
          <w:noProof/>
          <w:color w:val="1A1A1A"/>
          <w:szCs w:val="24"/>
          <w:lang w:eastAsia="bg-BG"/>
        </w:rPr>
        <w:t>и от мерките се дължи на липса на финансиране, структурни промени, актуализация на стратегически документи, епидемиологична обстановка или административни причини</w:t>
      </w:r>
    </w:p>
    <w:p w14:paraId="042C852D" w14:textId="75D81780" w:rsidR="00BB2AAD" w:rsidRPr="00601943" w:rsidRDefault="00BB2AAD"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eastAsia="Times New Roman" w:cs="Times New Roman"/>
          <w:noProof/>
          <w:color w:val="1A1A1A"/>
          <w:szCs w:val="24"/>
          <w:lang w:eastAsia="bg-BG"/>
        </w:rPr>
        <w:t xml:space="preserve">Процентът на хората, които никога не са използвали интернет </w:t>
      </w:r>
      <w:r w:rsidR="009004B9" w:rsidRPr="00601943">
        <w:rPr>
          <w:rFonts w:eastAsia="Times New Roman" w:cs="Times New Roman"/>
          <w:noProof/>
          <w:color w:val="1A1A1A"/>
          <w:szCs w:val="24"/>
          <w:lang w:eastAsia="bg-BG"/>
        </w:rPr>
        <w:t xml:space="preserve">у нас все още е  висок – 17% </w:t>
      </w:r>
      <w:r w:rsidR="004B480E" w:rsidRPr="00601943">
        <w:rPr>
          <w:rFonts w:eastAsia="Times New Roman" w:cs="Times New Roman"/>
          <w:noProof/>
          <w:color w:val="1A1A1A"/>
          <w:szCs w:val="24"/>
          <w:lang w:eastAsia="bg-BG"/>
        </w:rPr>
        <w:t xml:space="preserve">при </w:t>
      </w:r>
      <w:r w:rsidRPr="00601943">
        <w:rPr>
          <w:rFonts w:eastAsia="Times New Roman" w:cs="Times New Roman"/>
          <w:noProof/>
          <w:color w:val="1A1A1A"/>
          <w:szCs w:val="24"/>
          <w:lang w:eastAsia="bg-BG"/>
        </w:rPr>
        <w:t>20,9 %</w:t>
      </w:r>
      <w:r w:rsidR="004B480E" w:rsidRPr="00601943">
        <w:rPr>
          <w:rFonts w:eastAsia="Times New Roman" w:cs="Times New Roman"/>
          <w:noProof/>
          <w:color w:val="1A1A1A"/>
          <w:szCs w:val="24"/>
          <w:lang w:eastAsia="bg-BG"/>
        </w:rPr>
        <w:t xml:space="preserve"> за </w:t>
      </w:r>
      <w:r w:rsidR="00E2431F">
        <w:rPr>
          <w:rFonts w:eastAsia="Times New Roman" w:cs="Times New Roman"/>
          <w:noProof/>
          <w:color w:val="1A1A1A"/>
          <w:szCs w:val="24"/>
          <w:lang w:eastAsia="bg-BG"/>
        </w:rPr>
        <w:t>2020 година</w:t>
      </w:r>
      <w:r w:rsidRPr="00601943">
        <w:rPr>
          <w:rFonts w:eastAsia="Times New Roman" w:cs="Times New Roman"/>
          <w:noProof/>
          <w:color w:val="1A1A1A"/>
          <w:szCs w:val="24"/>
          <w:lang w:eastAsia="bg-BG"/>
        </w:rPr>
        <w:t xml:space="preserve">, въпреки че </w:t>
      </w:r>
      <w:r w:rsidRPr="00601943">
        <w:rPr>
          <w:rFonts w:cs="Times New Roman"/>
          <w:szCs w:val="24"/>
        </w:rPr>
        <w:t xml:space="preserve"> 83.5% от домакинствата в България </w:t>
      </w:r>
      <w:r w:rsidRPr="00601943">
        <w:rPr>
          <w:rFonts w:cs="Times New Roman"/>
          <w:szCs w:val="24"/>
        </w:rPr>
        <w:lastRenderedPageBreak/>
        <w:t>имат достъп до интернет в домовете си през 2021</w:t>
      </w:r>
      <w:r w:rsidR="009004B9" w:rsidRPr="00601943">
        <w:rPr>
          <w:rFonts w:cs="Times New Roman"/>
          <w:szCs w:val="24"/>
        </w:rPr>
        <w:t xml:space="preserve"> </w:t>
      </w:r>
      <w:r w:rsidRPr="00601943">
        <w:rPr>
          <w:rFonts w:cs="Times New Roman"/>
          <w:szCs w:val="24"/>
        </w:rPr>
        <w:t>г.</w:t>
      </w:r>
      <w:r w:rsidR="009004B9" w:rsidRPr="00601943">
        <w:rPr>
          <w:rFonts w:cs="Times New Roman"/>
          <w:szCs w:val="24"/>
        </w:rPr>
        <w:t>,</w:t>
      </w:r>
      <w:r w:rsidRPr="00601943">
        <w:rPr>
          <w:rFonts w:cs="Times New Roman"/>
          <w:szCs w:val="24"/>
        </w:rPr>
        <w:t xml:space="preserve"> което е с 4.6 процентни пункта повече в </w:t>
      </w:r>
      <w:r w:rsidR="009004B9" w:rsidRPr="00601943">
        <w:rPr>
          <w:rFonts w:cs="Times New Roman"/>
          <w:szCs w:val="24"/>
        </w:rPr>
        <w:t>сравнение с предходната година</w:t>
      </w:r>
    </w:p>
    <w:p w14:paraId="3AFDB112" w14:textId="7BB6BC1C" w:rsidR="00BB2AAD" w:rsidRPr="00601943" w:rsidRDefault="00BB2AAD"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eastAsia="Times New Roman" w:cs="Times New Roman"/>
          <w:noProof/>
          <w:color w:val="1A1A1A"/>
          <w:szCs w:val="24"/>
          <w:lang w:eastAsia="bg-BG"/>
        </w:rPr>
        <w:t>Сравнително висок процент (96.</w:t>
      </w:r>
      <w:r w:rsidR="00063097" w:rsidRPr="00601943">
        <w:rPr>
          <w:rFonts w:eastAsia="Times New Roman" w:cs="Times New Roman"/>
          <w:noProof/>
          <w:color w:val="1A1A1A"/>
          <w:szCs w:val="24"/>
          <w:lang w:eastAsia="bg-BG"/>
        </w:rPr>
        <w:t>7</w:t>
      </w:r>
      <w:r w:rsidRPr="00601943">
        <w:rPr>
          <w:rFonts w:eastAsia="Times New Roman" w:cs="Times New Roman"/>
          <w:noProof/>
          <w:color w:val="1A1A1A"/>
          <w:szCs w:val="24"/>
          <w:lang w:eastAsia="bg-BG"/>
        </w:rPr>
        <w:t>%) от домакинствата с деца ползват интернет</w:t>
      </w:r>
    </w:p>
    <w:p w14:paraId="317EBFF8" w14:textId="77777777" w:rsidR="00BB2AAD" w:rsidRPr="00601943" w:rsidRDefault="00BB2AAD"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eastAsia="Times New Roman" w:cs="Times New Roman"/>
          <w:noProof/>
          <w:color w:val="1A1A1A"/>
          <w:szCs w:val="24"/>
          <w:lang w:eastAsia="bg-BG"/>
        </w:rPr>
        <w:t xml:space="preserve">Рязко се е увеличило ежедневното ползване на интернет от всички възрастови групи </w:t>
      </w:r>
    </w:p>
    <w:p w14:paraId="66975FBD" w14:textId="77777777" w:rsidR="00BB2AAD" w:rsidRPr="00601943" w:rsidRDefault="00BB2AAD"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eastAsia="Times New Roman" w:cs="Times New Roman"/>
          <w:noProof/>
          <w:color w:val="1A1A1A"/>
          <w:szCs w:val="24"/>
          <w:lang w:eastAsia="bg-BG"/>
        </w:rPr>
        <w:t>Значително увеличение имат и продажбите на стоки и услуги по интернет от страна на предприятията</w:t>
      </w:r>
    </w:p>
    <w:p w14:paraId="5840BCE9" w14:textId="24A8A993" w:rsidR="00BB2AAD" w:rsidRPr="00601943" w:rsidRDefault="00BB2AAD"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eastAsia="Times New Roman" w:cs="Times New Roman"/>
          <w:noProof/>
          <w:color w:val="1A1A1A"/>
          <w:szCs w:val="24"/>
          <w:lang w:eastAsia="bg-BG"/>
        </w:rPr>
        <w:t>Все още е малък процентът на хората, които използват интернет за взаимодействие с органите на държавната и местната власт (26.</w:t>
      </w:r>
      <w:r w:rsidR="00727064" w:rsidRPr="00601943">
        <w:rPr>
          <w:rFonts w:eastAsia="Times New Roman" w:cs="Times New Roman"/>
          <w:noProof/>
          <w:color w:val="1A1A1A"/>
          <w:szCs w:val="24"/>
          <w:lang w:eastAsia="bg-BG"/>
        </w:rPr>
        <w:t>6</w:t>
      </w:r>
      <w:r w:rsidRPr="00601943">
        <w:rPr>
          <w:rFonts w:eastAsia="Times New Roman" w:cs="Times New Roman"/>
          <w:noProof/>
          <w:color w:val="1A1A1A"/>
          <w:szCs w:val="24"/>
          <w:lang w:eastAsia="bg-BG"/>
        </w:rPr>
        <w:t>%)</w:t>
      </w:r>
    </w:p>
    <w:p w14:paraId="6E0BAA9A" w14:textId="2F5CBC5C" w:rsidR="008F35D1" w:rsidRPr="00601943" w:rsidRDefault="008F35D1"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cs="Times New Roman"/>
          <w:szCs w:val="24"/>
        </w:rPr>
        <w:t>Предприятията все още срещат трудности при намирането на квалифициран персонал, за  да осъществя</w:t>
      </w:r>
      <w:r w:rsidR="00E2250B" w:rsidRPr="00601943">
        <w:rPr>
          <w:rFonts w:cs="Times New Roman"/>
          <w:szCs w:val="24"/>
        </w:rPr>
        <w:t>ват иновации и да се разрастват</w:t>
      </w:r>
    </w:p>
    <w:p w14:paraId="234F1164" w14:textId="28E3ED99" w:rsidR="008F35D1" w:rsidRPr="00601943" w:rsidRDefault="008F35D1"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cs="Times New Roman"/>
          <w:szCs w:val="24"/>
        </w:rPr>
        <w:t>Използването на изкустве</w:t>
      </w:r>
      <w:r w:rsidR="00E2250B" w:rsidRPr="00601943">
        <w:rPr>
          <w:rFonts w:cs="Times New Roman"/>
          <w:szCs w:val="24"/>
        </w:rPr>
        <w:t>н интелект е по-</w:t>
      </w:r>
      <w:r w:rsidRPr="00601943">
        <w:rPr>
          <w:rFonts w:cs="Times New Roman"/>
          <w:szCs w:val="24"/>
        </w:rPr>
        <w:t>широко р</w:t>
      </w:r>
      <w:r w:rsidR="00E2250B" w:rsidRPr="00601943">
        <w:rPr>
          <w:rFonts w:cs="Times New Roman"/>
          <w:szCs w:val="24"/>
        </w:rPr>
        <w:t>азпространено от средното за ЕС</w:t>
      </w:r>
    </w:p>
    <w:p w14:paraId="3F83141C" w14:textId="5D1E75EC" w:rsidR="00233F01" w:rsidRPr="00601943" w:rsidRDefault="00233F01" w:rsidP="00601943">
      <w:pPr>
        <w:pStyle w:val="ListParagraph"/>
        <w:numPr>
          <w:ilvl w:val="0"/>
          <w:numId w:val="17"/>
        </w:numPr>
        <w:shd w:val="clear" w:color="auto" w:fill="FFFFFF"/>
        <w:spacing w:before="120" w:after="0" w:line="276" w:lineRule="auto"/>
        <w:jc w:val="both"/>
        <w:rPr>
          <w:rFonts w:eastAsia="Times New Roman" w:cs="Times New Roman"/>
          <w:noProof/>
          <w:color w:val="1A1A1A"/>
          <w:szCs w:val="24"/>
          <w:lang w:eastAsia="bg-BG"/>
        </w:rPr>
      </w:pPr>
      <w:r w:rsidRPr="00601943">
        <w:rPr>
          <w:rFonts w:cs="Times New Roman"/>
          <w:szCs w:val="24"/>
        </w:rPr>
        <w:t>България достига едва 59 % при цялостното разпространение на широколентовия достъп до интернет сред домакинствата с абонамент (средна стойност за ЕС: 77 %), като също така изостава при разпространението на фиксиран широколентов достъп до интернет със скорост поне 100 Mbp</w:t>
      </w:r>
      <w:r w:rsidR="00E2250B" w:rsidRPr="00601943">
        <w:rPr>
          <w:rFonts w:cs="Times New Roman"/>
          <w:szCs w:val="24"/>
        </w:rPr>
        <w:t>s (15 %, при средно 34 % за ЕС)</w:t>
      </w:r>
      <w:r w:rsidR="00E43D0A" w:rsidRPr="00601943">
        <w:rPr>
          <w:rFonts w:cs="Times New Roman"/>
          <w:szCs w:val="24"/>
        </w:rPr>
        <w:t>.</w:t>
      </w:r>
    </w:p>
    <w:p w14:paraId="6DEBE2CD" w14:textId="7D98BBE8" w:rsidR="00BB2AAD" w:rsidRPr="00373001" w:rsidRDefault="00BB2AAD" w:rsidP="00E43D0A">
      <w:pPr>
        <w:shd w:val="clear" w:color="auto" w:fill="FFFFFF"/>
        <w:spacing w:before="120" w:after="0" w:line="276" w:lineRule="auto"/>
        <w:ind w:left="720"/>
        <w:contextualSpacing/>
        <w:jc w:val="both"/>
        <w:rPr>
          <w:rFonts w:eastAsia="Times New Roman" w:cs="Times New Roman"/>
          <w:b/>
          <w:bCs/>
          <w:noProof/>
          <w:color w:val="1A1A1A"/>
          <w:szCs w:val="24"/>
          <w:lang w:eastAsia="bg-BG"/>
        </w:rPr>
      </w:pPr>
    </w:p>
    <w:p w14:paraId="0404F14A" w14:textId="710D1D7B" w:rsidR="00B211D5" w:rsidRDefault="00B211D5" w:rsidP="000368D0">
      <w:pPr>
        <w:pStyle w:val="Heading1"/>
        <w:numPr>
          <w:ilvl w:val="0"/>
          <w:numId w:val="13"/>
        </w:numPr>
        <w:spacing w:before="120" w:line="276" w:lineRule="auto"/>
        <w:jc w:val="both"/>
        <w:rPr>
          <w:rFonts w:cs="Times New Roman"/>
          <w:szCs w:val="24"/>
        </w:rPr>
      </w:pPr>
      <w:bookmarkStart w:id="2" w:name="_Toc92275728"/>
      <w:r w:rsidRPr="005F024F">
        <w:rPr>
          <w:noProof/>
          <w:lang w:bidi="bg-BG"/>
        </w:rPr>
        <w:t xml:space="preserve">Мониторинг </w:t>
      </w:r>
      <w:r w:rsidR="005F024F">
        <w:rPr>
          <w:noProof/>
          <w:lang w:bidi="bg-BG"/>
        </w:rPr>
        <w:t xml:space="preserve">- </w:t>
      </w:r>
      <w:r w:rsidRPr="005F024F">
        <w:rPr>
          <w:rFonts w:cs="Times New Roman"/>
          <w:szCs w:val="24"/>
        </w:rPr>
        <w:t>Индекс за навлизането на цифровите технологии в икономиката и обществото (DESI)</w:t>
      </w:r>
      <w:bookmarkEnd w:id="2"/>
    </w:p>
    <w:p w14:paraId="1F30EB60" w14:textId="62CEB2FF" w:rsidR="004E2765" w:rsidRPr="004E2765" w:rsidRDefault="004E2765" w:rsidP="004E2765">
      <w:r>
        <w:t xml:space="preserve">           </w:t>
      </w:r>
      <w:hyperlink r:id="rId9" w:history="1">
        <w:r w:rsidRPr="00EB0D45">
          <w:rPr>
            <w:rStyle w:val="Hyperlink"/>
          </w:rPr>
          <w:t>https://ec.europa.eu/commission/presscorner/detail/bg/QANDA_21_5483</w:t>
        </w:r>
      </w:hyperlink>
    </w:p>
    <w:p w14:paraId="19DA25FA" w14:textId="0DB4693B" w:rsidR="003B65BE" w:rsidRDefault="00B211D5" w:rsidP="00100874">
      <w:pPr>
        <w:spacing w:before="120" w:after="0" w:line="276" w:lineRule="auto"/>
        <w:jc w:val="both"/>
        <w:rPr>
          <w:rFonts w:cs="Times New Roman"/>
          <w:szCs w:val="24"/>
        </w:rPr>
      </w:pPr>
      <w:r w:rsidRPr="00E60B31">
        <w:rPr>
          <w:rFonts w:cs="Times New Roman"/>
          <w:szCs w:val="24"/>
        </w:rPr>
        <w:t xml:space="preserve">Европейската комисия </w:t>
      </w:r>
      <w:r w:rsidR="00DA20E0">
        <w:rPr>
          <w:rFonts w:cs="Times New Roman"/>
          <w:szCs w:val="24"/>
        </w:rPr>
        <w:t xml:space="preserve">(ЕК) </w:t>
      </w:r>
      <w:r w:rsidRPr="00E60B31">
        <w:rPr>
          <w:rFonts w:cs="Times New Roman"/>
          <w:szCs w:val="24"/>
        </w:rPr>
        <w:t>следи напредъка на държавите членки в областта на цифровите</w:t>
      </w:r>
      <w:r w:rsidR="00E60B31">
        <w:rPr>
          <w:rFonts w:cs="Times New Roman"/>
          <w:szCs w:val="24"/>
        </w:rPr>
        <w:t xml:space="preserve"> </w:t>
      </w:r>
      <w:r w:rsidRPr="00E60B31">
        <w:rPr>
          <w:rFonts w:cs="Times New Roman"/>
          <w:szCs w:val="24"/>
        </w:rPr>
        <w:t>технологии и публикува годишни доклади за индекса за навлизането на цифровите</w:t>
      </w:r>
      <w:r w:rsidR="00E60B31">
        <w:rPr>
          <w:rFonts w:cs="Times New Roman"/>
          <w:szCs w:val="24"/>
        </w:rPr>
        <w:t xml:space="preserve"> </w:t>
      </w:r>
      <w:r w:rsidRPr="00E60B31">
        <w:rPr>
          <w:rFonts w:cs="Times New Roman"/>
          <w:szCs w:val="24"/>
        </w:rPr>
        <w:t>технологии в икономиката и обществото (DESI) от 2014 г. насам. Всяка година в докладите</w:t>
      </w:r>
      <w:r w:rsidR="00E60B31">
        <w:rPr>
          <w:rFonts w:cs="Times New Roman"/>
          <w:szCs w:val="24"/>
        </w:rPr>
        <w:t xml:space="preserve"> </w:t>
      </w:r>
      <w:r w:rsidRPr="00E60B31">
        <w:rPr>
          <w:rFonts w:cs="Times New Roman"/>
          <w:szCs w:val="24"/>
        </w:rPr>
        <w:t>относно DESI се включват профили на отделните държави, които помагат на държавите</w:t>
      </w:r>
      <w:r w:rsidR="00E60B31">
        <w:rPr>
          <w:rFonts w:cs="Times New Roman"/>
          <w:szCs w:val="24"/>
        </w:rPr>
        <w:t xml:space="preserve"> </w:t>
      </w:r>
      <w:r w:rsidRPr="00E60B31">
        <w:rPr>
          <w:rFonts w:cs="Times New Roman"/>
          <w:szCs w:val="24"/>
        </w:rPr>
        <w:t>членки да идентифицират области, в които са необходими приоритетни действия, и</w:t>
      </w:r>
      <w:r w:rsidR="00E60B31">
        <w:rPr>
          <w:rFonts w:cs="Times New Roman"/>
          <w:szCs w:val="24"/>
        </w:rPr>
        <w:t xml:space="preserve"> </w:t>
      </w:r>
      <w:r w:rsidRPr="00E60B31">
        <w:rPr>
          <w:rFonts w:cs="Times New Roman"/>
          <w:szCs w:val="24"/>
        </w:rPr>
        <w:t>тематични глави, в които се предоставя анализ на равнище ЕС в ключови области на</w:t>
      </w:r>
      <w:r w:rsidR="00E60B31">
        <w:rPr>
          <w:rFonts w:cs="Times New Roman"/>
          <w:szCs w:val="24"/>
        </w:rPr>
        <w:t xml:space="preserve"> </w:t>
      </w:r>
      <w:r w:rsidRPr="00E60B31">
        <w:rPr>
          <w:rFonts w:cs="Times New Roman"/>
          <w:szCs w:val="24"/>
        </w:rPr>
        <w:t>цифровата политика.</w:t>
      </w:r>
      <w:r w:rsidR="00D11F9F">
        <w:rPr>
          <w:rFonts w:cs="Times New Roman"/>
          <w:szCs w:val="24"/>
        </w:rPr>
        <w:t xml:space="preserve"> </w:t>
      </w:r>
    </w:p>
    <w:p w14:paraId="6751D260" w14:textId="6E24FAD3" w:rsidR="004A2778" w:rsidRDefault="00B211D5" w:rsidP="00100874">
      <w:pPr>
        <w:spacing w:before="120" w:after="0" w:line="276" w:lineRule="auto"/>
        <w:jc w:val="both"/>
        <w:rPr>
          <w:rFonts w:cs="Times New Roman"/>
          <w:szCs w:val="24"/>
        </w:rPr>
      </w:pPr>
      <w:r w:rsidRPr="00E60B31">
        <w:rPr>
          <w:rFonts w:cs="Times New Roman"/>
          <w:szCs w:val="24"/>
        </w:rPr>
        <w:t xml:space="preserve">През 2021 г. </w:t>
      </w:r>
      <w:r w:rsidR="00F4183A">
        <w:rPr>
          <w:rFonts w:cs="Times New Roman"/>
          <w:szCs w:val="24"/>
        </w:rPr>
        <w:t>ЕК</w:t>
      </w:r>
      <w:r w:rsidRPr="00E60B31">
        <w:rPr>
          <w:rFonts w:cs="Times New Roman"/>
          <w:szCs w:val="24"/>
        </w:rPr>
        <w:t xml:space="preserve"> извърши корекции в DESI, за да бъдат отразени двете основни</w:t>
      </w:r>
      <w:r w:rsidR="00E60B31">
        <w:rPr>
          <w:rFonts w:cs="Times New Roman"/>
          <w:szCs w:val="24"/>
        </w:rPr>
        <w:t xml:space="preserve"> </w:t>
      </w:r>
      <w:r w:rsidRPr="00E60B31">
        <w:rPr>
          <w:rFonts w:cs="Times New Roman"/>
          <w:szCs w:val="24"/>
        </w:rPr>
        <w:t>политически инициативи, които ще окажат въздействие върху цифровата трансформация</w:t>
      </w:r>
      <w:r w:rsidR="00E60B31">
        <w:rPr>
          <w:rFonts w:cs="Times New Roman"/>
          <w:szCs w:val="24"/>
        </w:rPr>
        <w:t xml:space="preserve"> </w:t>
      </w:r>
      <w:r w:rsidR="003B65BE">
        <w:rPr>
          <w:rFonts w:cs="Times New Roman"/>
          <w:szCs w:val="24"/>
        </w:rPr>
        <w:t xml:space="preserve">в ЕС през следващите години - </w:t>
      </w:r>
      <w:r w:rsidRPr="00E60B31">
        <w:rPr>
          <w:rFonts w:cs="Times New Roman"/>
          <w:szCs w:val="24"/>
        </w:rPr>
        <w:t>Механизма за възстановяване и устойчивост и Цифровия</w:t>
      </w:r>
      <w:r w:rsidR="00E60B31">
        <w:rPr>
          <w:rFonts w:cs="Times New Roman"/>
          <w:szCs w:val="24"/>
        </w:rPr>
        <w:t xml:space="preserve"> </w:t>
      </w:r>
      <w:r w:rsidRPr="00E60B31">
        <w:rPr>
          <w:rFonts w:cs="Times New Roman"/>
          <w:szCs w:val="24"/>
        </w:rPr>
        <w:t>компас на цифровото десетилетие.</w:t>
      </w:r>
      <w:r w:rsidR="00E60B31">
        <w:rPr>
          <w:rFonts w:cs="Times New Roman"/>
          <w:szCs w:val="24"/>
        </w:rPr>
        <w:t xml:space="preserve"> </w:t>
      </w:r>
      <w:r w:rsidRPr="00E60B31">
        <w:rPr>
          <w:rFonts w:cs="Times New Roman"/>
          <w:szCs w:val="24"/>
        </w:rPr>
        <w:t>За да приведе DESI в съответствие с четирите основни точки и с целите по Цифровия</w:t>
      </w:r>
      <w:r w:rsidR="00E60B31">
        <w:rPr>
          <w:rFonts w:cs="Times New Roman"/>
          <w:szCs w:val="24"/>
        </w:rPr>
        <w:t xml:space="preserve"> </w:t>
      </w:r>
      <w:r w:rsidRPr="00E60B31">
        <w:rPr>
          <w:rFonts w:cs="Times New Roman"/>
          <w:szCs w:val="24"/>
        </w:rPr>
        <w:t>компас, да подобри метод</w:t>
      </w:r>
      <w:r w:rsidR="008F35D1">
        <w:rPr>
          <w:rFonts w:cs="Times New Roman"/>
          <w:szCs w:val="24"/>
        </w:rPr>
        <w:t>иката</w:t>
      </w:r>
      <w:r w:rsidRPr="00E60B31">
        <w:rPr>
          <w:rFonts w:cs="Times New Roman"/>
          <w:szCs w:val="24"/>
        </w:rPr>
        <w:t xml:space="preserve"> и да вземе предвид най-новите технологични</w:t>
      </w:r>
      <w:r w:rsidR="00E60B31">
        <w:rPr>
          <w:rFonts w:cs="Times New Roman"/>
          <w:szCs w:val="24"/>
        </w:rPr>
        <w:t xml:space="preserve"> </w:t>
      </w:r>
      <w:r w:rsidRPr="00E60B31">
        <w:rPr>
          <w:rFonts w:cs="Times New Roman"/>
          <w:szCs w:val="24"/>
        </w:rPr>
        <w:t xml:space="preserve">постижения и промени в политиките, </w:t>
      </w:r>
      <w:r w:rsidR="00F4183A">
        <w:rPr>
          <w:rFonts w:cs="Times New Roman"/>
          <w:szCs w:val="24"/>
        </w:rPr>
        <w:t>ЕК</w:t>
      </w:r>
      <w:r w:rsidRPr="00E60B31">
        <w:rPr>
          <w:rFonts w:cs="Times New Roman"/>
          <w:szCs w:val="24"/>
        </w:rPr>
        <w:t xml:space="preserve"> направи редица промени в изданието на</w:t>
      </w:r>
      <w:r w:rsidR="00E60B31">
        <w:rPr>
          <w:rFonts w:cs="Times New Roman"/>
          <w:szCs w:val="24"/>
        </w:rPr>
        <w:t xml:space="preserve"> </w:t>
      </w:r>
      <w:r w:rsidRPr="00E60B31">
        <w:rPr>
          <w:rFonts w:cs="Times New Roman"/>
          <w:szCs w:val="24"/>
        </w:rPr>
        <w:t>DESI за 2021 г. Показателите сега са структурирани около четирите основни области в</w:t>
      </w:r>
      <w:r w:rsidR="00E60B31">
        <w:rPr>
          <w:rFonts w:cs="Times New Roman"/>
          <w:szCs w:val="24"/>
        </w:rPr>
        <w:t xml:space="preserve"> </w:t>
      </w:r>
      <w:r w:rsidRPr="00E60B31">
        <w:rPr>
          <w:rFonts w:cs="Times New Roman"/>
          <w:szCs w:val="24"/>
        </w:rPr>
        <w:t>Цифровия компас, заменяйки предишната структура от пет измерения. С 11 от</w:t>
      </w:r>
      <w:r w:rsidR="00E60B31">
        <w:rPr>
          <w:rFonts w:cs="Times New Roman"/>
          <w:szCs w:val="24"/>
        </w:rPr>
        <w:t xml:space="preserve"> </w:t>
      </w:r>
      <w:r w:rsidRPr="00E60B31">
        <w:rPr>
          <w:rFonts w:cs="Times New Roman"/>
          <w:szCs w:val="24"/>
        </w:rPr>
        <w:t>показателите на DESI за 2021 г. се измерват цели, заложени в Цифровия компас. В бъдеще</w:t>
      </w:r>
      <w:r w:rsidR="00E60B31">
        <w:rPr>
          <w:rFonts w:cs="Times New Roman"/>
          <w:szCs w:val="24"/>
        </w:rPr>
        <w:t xml:space="preserve"> </w:t>
      </w:r>
      <w:r w:rsidRPr="00E60B31">
        <w:rPr>
          <w:rFonts w:cs="Times New Roman"/>
          <w:szCs w:val="24"/>
        </w:rPr>
        <w:t>DESI ще се синхронизира още по-тясно с Цифровия компас, за да се гарантира, че в докладите</w:t>
      </w:r>
      <w:r w:rsidR="00E60B31">
        <w:rPr>
          <w:rFonts w:cs="Times New Roman"/>
          <w:szCs w:val="24"/>
        </w:rPr>
        <w:t xml:space="preserve"> </w:t>
      </w:r>
      <w:r w:rsidRPr="00E60B31">
        <w:rPr>
          <w:rFonts w:cs="Times New Roman"/>
          <w:szCs w:val="24"/>
        </w:rPr>
        <w:t>се обсъждат всички цели.</w:t>
      </w:r>
      <w:r w:rsidR="00E60B31">
        <w:rPr>
          <w:rFonts w:cs="Times New Roman"/>
          <w:szCs w:val="24"/>
        </w:rPr>
        <w:t xml:space="preserve"> </w:t>
      </w:r>
    </w:p>
    <w:p w14:paraId="4CA94C6B" w14:textId="79D7CFF5" w:rsidR="00B87191" w:rsidRDefault="00B211D5" w:rsidP="00100874">
      <w:pPr>
        <w:spacing w:before="120" w:after="0" w:line="276" w:lineRule="auto"/>
        <w:jc w:val="both"/>
        <w:rPr>
          <w:rFonts w:cs="Times New Roman"/>
          <w:szCs w:val="24"/>
        </w:rPr>
      </w:pPr>
      <w:r w:rsidRPr="00E60B31">
        <w:rPr>
          <w:rFonts w:cs="Times New Roman"/>
          <w:szCs w:val="24"/>
        </w:rPr>
        <w:t>DESI вече включва показател за измерване на равнището на подкрепа, което</w:t>
      </w:r>
      <w:r w:rsidR="00E60B31">
        <w:rPr>
          <w:rFonts w:cs="Times New Roman"/>
          <w:szCs w:val="24"/>
        </w:rPr>
        <w:t xml:space="preserve"> </w:t>
      </w:r>
      <w:r w:rsidRPr="00E60B31">
        <w:rPr>
          <w:rFonts w:cs="Times New Roman"/>
          <w:szCs w:val="24"/>
        </w:rPr>
        <w:t>възприетите информационни и комуникационни технологии са осигурили на дружествата</w:t>
      </w:r>
      <w:r w:rsidR="00E60B31">
        <w:rPr>
          <w:rFonts w:cs="Times New Roman"/>
          <w:szCs w:val="24"/>
        </w:rPr>
        <w:t xml:space="preserve"> </w:t>
      </w:r>
      <w:r w:rsidRPr="00E60B31">
        <w:rPr>
          <w:rFonts w:cs="Times New Roman"/>
          <w:szCs w:val="24"/>
        </w:rPr>
        <w:t>при предприемането на по-екологосъобразни мерки (ИКТ за екологична устойчивост), както</w:t>
      </w:r>
      <w:r w:rsidR="00E60B31">
        <w:rPr>
          <w:rFonts w:cs="Times New Roman"/>
          <w:szCs w:val="24"/>
        </w:rPr>
        <w:t xml:space="preserve"> </w:t>
      </w:r>
      <w:r w:rsidRPr="00E60B31">
        <w:rPr>
          <w:rFonts w:cs="Times New Roman"/>
          <w:szCs w:val="24"/>
        </w:rPr>
        <w:t>и възприемането на гигабитови услуги в допълнение към процента на дружествата,</w:t>
      </w:r>
      <w:r w:rsidR="00E60B31">
        <w:rPr>
          <w:rFonts w:cs="Times New Roman"/>
          <w:szCs w:val="24"/>
        </w:rPr>
        <w:t xml:space="preserve"> </w:t>
      </w:r>
      <w:r w:rsidRPr="00E60B31">
        <w:rPr>
          <w:rFonts w:cs="Times New Roman"/>
          <w:szCs w:val="24"/>
        </w:rPr>
        <w:t>предлагащи обучение по ИКТ и използващи електронно фактуриране.</w:t>
      </w:r>
      <w:r w:rsidR="00E60B31">
        <w:rPr>
          <w:rFonts w:cs="Times New Roman"/>
          <w:szCs w:val="24"/>
        </w:rPr>
        <w:t xml:space="preserve"> </w:t>
      </w:r>
      <w:r w:rsidRPr="00E60B31">
        <w:rPr>
          <w:rFonts w:cs="Times New Roman"/>
          <w:szCs w:val="24"/>
        </w:rPr>
        <w:t xml:space="preserve">Резултатите и </w:t>
      </w:r>
      <w:r w:rsidRPr="00E60B31">
        <w:rPr>
          <w:rFonts w:cs="Times New Roman"/>
          <w:szCs w:val="24"/>
        </w:rPr>
        <w:lastRenderedPageBreak/>
        <w:t>класирането съобразно DESI за предходни години бяха преизчислени за всички</w:t>
      </w:r>
      <w:r w:rsidR="00E60B31">
        <w:rPr>
          <w:rFonts w:cs="Times New Roman"/>
          <w:szCs w:val="24"/>
        </w:rPr>
        <w:t xml:space="preserve"> </w:t>
      </w:r>
      <w:r w:rsidRPr="00E60B31">
        <w:rPr>
          <w:rFonts w:cs="Times New Roman"/>
          <w:szCs w:val="24"/>
        </w:rPr>
        <w:t>държави, за да се отразят промените в избора на показатели и корекциите, извършени в</w:t>
      </w:r>
      <w:r w:rsidR="00E60B31">
        <w:rPr>
          <w:rFonts w:cs="Times New Roman"/>
          <w:szCs w:val="24"/>
        </w:rPr>
        <w:t xml:space="preserve"> </w:t>
      </w:r>
      <w:r w:rsidR="00080801">
        <w:rPr>
          <w:rFonts w:cs="Times New Roman"/>
          <w:szCs w:val="24"/>
        </w:rPr>
        <w:t>основните данни</w:t>
      </w:r>
      <w:r w:rsidR="007C1E62">
        <w:rPr>
          <w:rFonts w:cs="Times New Roman"/>
          <w:szCs w:val="24"/>
        </w:rPr>
        <w:t xml:space="preserve">. </w:t>
      </w:r>
    </w:p>
    <w:p w14:paraId="058B0D55" w14:textId="77777777" w:rsidR="007C1E62" w:rsidRPr="00E60B31" w:rsidRDefault="007C1E62" w:rsidP="00100874">
      <w:pPr>
        <w:spacing w:before="120" w:after="0" w:line="276" w:lineRule="auto"/>
        <w:jc w:val="both"/>
        <w:rPr>
          <w:rFonts w:cs="Times New Roman"/>
          <w:szCs w:val="24"/>
        </w:rPr>
      </w:pPr>
    </w:p>
    <w:tbl>
      <w:tblPr>
        <w:tblStyle w:val="TableGrid"/>
        <w:tblW w:w="0" w:type="auto"/>
        <w:tblLook w:val="04A0" w:firstRow="1" w:lastRow="0" w:firstColumn="1" w:lastColumn="0" w:noHBand="0" w:noVBand="1"/>
      </w:tblPr>
      <w:tblGrid>
        <w:gridCol w:w="2265"/>
        <w:gridCol w:w="2265"/>
        <w:gridCol w:w="2266"/>
        <w:gridCol w:w="2266"/>
      </w:tblGrid>
      <w:tr w:rsidR="00AE483D" w14:paraId="4A7FD0EF" w14:textId="77777777" w:rsidTr="002E00F1">
        <w:tc>
          <w:tcPr>
            <w:tcW w:w="2265" w:type="dxa"/>
          </w:tcPr>
          <w:p w14:paraId="15E588FA" w14:textId="77777777" w:rsidR="00AE483D" w:rsidRPr="00AE483D" w:rsidRDefault="00AE483D" w:rsidP="00100874">
            <w:pPr>
              <w:spacing w:before="120" w:line="276" w:lineRule="auto"/>
              <w:jc w:val="both"/>
              <w:rPr>
                <w:rFonts w:cs="Times New Roman"/>
                <w:b/>
                <w:szCs w:val="24"/>
              </w:rPr>
            </w:pPr>
            <w:r w:rsidRPr="00E60B31">
              <w:rPr>
                <w:rFonts w:cs="Times New Roman"/>
                <w:szCs w:val="24"/>
              </w:rPr>
              <w:t xml:space="preserve">      </w:t>
            </w:r>
            <w:r w:rsidRPr="00AE483D">
              <w:rPr>
                <w:rFonts w:cs="Times New Roman"/>
                <w:b/>
                <w:szCs w:val="24"/>
              </w:rPr>
              <w:t xml:space="preserve">индекс                     </w:t>
            </w:r>
          </w:p>
        </w:tc>
        <w:tc>
          <w:tcPr>
            <w:tcW w:w="4531" w:type="dxa"/>
            <w:gridSpan w:val="2"/>
          </w:tcPr>
          <w:p w14:paraId="21C4AC13" w14:textId="77777777" w:rsidR="00AE483D" w:rsidRPr="00AE483D" w:rsidRDefault="00AE483D" w:rsidP="00100874">
            <w:pPr>
              <w:spacing w:before="120" w:line="276" w:lineRule="auto"/>
              <w:jc w:val="both"/>
              <w:rPr>
                <w:rFonts w:cs="Times New Roman"/>
                <w:b/>
                <w:szCs w:val="24"/>
              </w:rPr>
            </w:pPr>
            <w:r w:rsidRPr="00AE483D">
              <w:rPr>
                <w:rFonts w:cs="Times New Roman"/>
                <w:b/>
                <w:szCs w:val="24"/>
              </w:rPr>
              <w:t xml:space="preserve">                          България</w:t>
            </w:r>
          </w:p>
        </w:tc>
        <w:tc>
          <w:tcPr>
            <w:tcW w:w="2266" w:type="dxa"/>
          </w:tcPr>
          <w:p w14:paraId="110A12CC" w14:textId="77777777" w:rsidR="00AE483D" w:rsidRPr="00AE483D" w:rsidRDefault="00AE483D" w:rsidP="00100874">
            <w:pPr>
              <w:spacing w:before="120" w:line="276" w:lineRule="auto"/>
              <w:jc w:val="both"/>
              <w:rPr>
                <w:rFonts w:cs="Times New Roman"/>
                <w:b/>
                <w:szCs w:val="24"/>
              </w:rPr>
            </w:pPr>
            <w:r w:rsidRPr="00AE483D">
              <w:rPr>
                <w:rFonts w:cs="Times New Roman"/>
                <w:b/>
                <w:szCs w:val="24"/>
              </w:rPr>
              <w:t>ЕС</w:t>
            </w:r>
          </w:p>
        </w:tc>
      </w:tr>
      <w:tr w:rsidR="00E60B31" w14:paraId="7745FF30" w14:textId="77777777" w:rsidTr="00E60B31">
        <w:tc>
          <w:tcPr>
            <w:tcW w:w="2265" w:type="dxa"/>
          </w:tcPr>
          <w:p w14:paraId="247F3CD7" w14:textId="77777777" w:rsidR="00E60B31" w:rsidRDefault="00AE483D" w:rsidP="00100874">
            <w:pPr>
              <w:spacing w:before="120" w:line="276" w:lineRule="auto"/>
              <w:jc w:val="both"/>
              <w:rPr>
                <w:rFonts w:cs="Times New Roman"/>
                <w:szCs w:val="24"/>
              </w:rPr>
            </w:pPr>
            <w:r w:rsidRPr="00AE483D">
              <w:rPr>
                <w:rFonts w:cs="Times New Roman"/>
                <w:szCs w:val="24"/>
              </w:rPr>
              <w:t xml:space="preserve">                           DESI</w:t>
            </w:r>
          </w:p>
        </w:tc>
        <w:tc>
          <w:tcPr>
            <w:tcW w:w="2265" w:type="dxa"/>
          </w:tcPr>
          <w:p w14:paraId="404DB9AE" w14:textId="77777777" w:rsidR="00E60B31" w:rsidRDefault="00AE483D" w:rsidP="00100874">
            <w:pPr>
              <w:spacing w:before="120" w:line="276" w:lineRule="auto"/>
              <w:jc w:val="both"/>
              <w:rPr>
                <w:rFonts w:cs="Times New Roman"/>
                <w:szCs w:val="24"/>
              </w:rPr>
            </w:pPr>
            <w:r>
              <w:rPr>
                <w:rFonts w:cs="Times New Roman"/>
                <w:szCs w:val="24"/>
              </w:rPr>
              <w:t>място</w:t>
            </w:r>
          </w:p>
        </w:tc>
        <w:tc>
          <w:tcPr>
            <w:tcW w:w="2266" w:type="dxa"/>
          </w:tcPr>
          <w:p w14:paraId="00D91D2F" w14:textId="77777777" w:rsidR="00E60B31" w:rsidRDefault="00AE483D" w:rsidP="00100874">
            <w:pPr>
              <w:spacing w:before="120" w:line="276" w:lineRule="auto"/>
              <w:jc w:val="both"/>
              <w:rPr>
                <w:rFonts w:cs="Times New Roman"/>
                <w:szCs w:val="24"/>
              </w:rPr>
            </w:pPr>
            <w:r>
              <w:rPr>
                <w:rFonts w:cs="Times New Roman"/>
                <w:szCs w:val="24"/>
              </w:rPr>
              <w:t>резултат</w:t>
            </w:r>
          </w:p>
        </w:tc>
        <w:tc>
          <w:tcPr>
            <w:tcW w:w="2266" w:type="dxa"/>
          </w:tcPr>
          <w:p w14:paraId="244146CD" w14:textId="77777777" w:rsidR="00E60B31" w:rsidRDefault="00AE483D" w:rsidP="00100874">
            <w:pPr>
              <w:spacing w:before="120" w:line="276" w:lineRule="auto"/>
              <w:jc w:val="both"/>
              <w:rPr>
                <w:rFonts w:cs="Times New Roman"/>
                <w:szCs w:val="24"/>
              </w:rPr>
            </w:pPr>
            <w:r>
              <w:rPr>
                <w:rFonts w:cs="Times New Roman"/>
                <w:szCs w:val="24"/>
              </w:rPr>
              <w:t>резултат</w:t>
            </w:r>
          </w:p>
        </w:tc>
      </w:tr>
      <w:tr w:rsidR="00E60B31" w14:paraId="382ABA61" w14:textId="77777777" w:rsidTr="00E60B31">
        <w:tc>
          <w:tcPr>
            <w:tcW w:w="2265" w:type="dxa"/>
          </w:tcPr>
          <w:p w14:paraId="535BBC2D" w14:textId="77777777" w:rsidR="00E60B31" w:rsidRDefault="00AE483D" w:rsidP="00100874">
            <w:pPr>
              <w:spacing w:before="120" w:line="276" w:lineRule="auto"/>
              <w:jc w:val="both"/>
              <w:rPr>
                <w:rFonts w:cs="Times New Roman"/>
                <w:szCs w:val="24"/>
              </w:rPr>
            </w:pPr>
            <w:r w:rsidRPr="00AE483D">
              <w:rPr>
                <w:rFonts w:cs="Times New Roman"/>
                <w:szCs w:val="24"/>
              </w:rPr>
              <w:t>DESI</w:t>
            </w:r>
            <w:r>
              <w:rPr>
                <w:rFonts w:cs="Times New Roman"/>
                <w:szCs w:val="24"/>
              </w:rPr>
              <w:t xml:space="preserve"> 2021</w:t>
            </w:r>
          </w:p>
        </w:tc>
        <w:tc>
          <w:tcPr>
            <w:tcW w:w="2265" w:type="dxa"/>
          </w:tcPr>
          <w:p w14:paraId="014EE397" w14:textId="77777777" w:rsidR="00E60B31" w:rsidRDefault="00AE483D" w:rsidP="00100874">
            <w:pPr>
              <w:spacing w:before="120" w:line="276" w:lineRule="auto"/>
              <w:jc w:val="both"/>
              <w:rPr>
                <w:rFonts w:cs="Times New Roman"/>
                <w:szCs w:val="24"/>
              </w:rPr>
            </w:pPr>
            <w:r>
              <w:rPr>
                <w:rFonts w:cs="Times New Roman"/>
                <w:szCs w:val="24"/>
              </w:rPr>
              <w:t>26</w:t>
            </w:r>
          </w:p>
        </w:tc>
        <w:tc>
          <w:tcPr>
            <w:tcW w:w="2266" w:type="dxa"/>
          </w:tcPr>
          <w:p w14:paraId="4A7DD825" w14:textId="77777777" w:rsidR="00E60B31" w:rsidRDefault="00AE483D" w:rsidP="00100874">
            <w:pPr>
              <w:spacing w:before="120" w:line="276" w:lineRule="auto"/>
              <w:jc w:val="both"/>
              <w:rPr>
                <w:rFonts w:cs="Times New Roman"/>
                <w:szCs w:val="24"/>
              </w:rPr>
            </w:pPr>
            <w:r>
              <w:rPr>
                <w:rFonts w:cs="Times New Roman"/>
                <w:szCs w:val="24"/>
              </w:rPr>
              <w:t>36,8</w:t>
            </w:r>
          </w:p>
        </w:tc>
        <w:tc>
          <w:tcPr>
            <w:tcW w:w="2266" w:type="dxa"/>
          </w:tcPr>
          <w:p w14:paraId="58D9D770" w14:textId="77777777" w:rsidR="00E60B31" w:rsidRDefault="00AE483D" w:rsidP="00100874">
            <w:pPr>
              <w:spacing w:before="120" w:line="276" w:lineRule="auto"/>
              <w:jc w:val="both"/>
              <w:rPr>
                <w:rFonts w:cs="Times New Roman"/>
                <w:szCs w:val="24"/>
              </w:rPr>
            </w:pPr>
            <w:r>
              <w:rPr>
                <w:rFonts w:cs="Times New Roman"/>
                <w:szCs w:val="24"/>
              </w:rPr>
              <w:t>50,7</w:t>
            </w:r>
          </w:p>
        </w:tc>
      </w:tr>
      <w:tr w:rsidR="00E60B31" w14:paraId="781D54A7" w14:textId="77777777" w:rsidTr="00E60B31">
        <w:tc>
          <w:tcPr>
            <w:tcW w:w="2265" w:type="dxa"/>
          </w:tcPr>
          <w:p w14:paraId="5A3CFB25" w14:textId="77777777" w:rsidR="00E60B31" w:rsidRPr="00AE483D" w:rsidRDefault="00AE483D" w:rsidP="00100874">
            <w:pPr>
              <w:spacing w:before="120" w:line="276" w:lineRule="auto"/>
              <w:jc w:val="both"/>
              <w:rPr>
                <w:rFonts w:cs="Times New Roman"/>
                <w:szCs w:val="24"/>
              </w:rPr>
            </w:pPr>
            <w:r w:rsidRPr="00E60B31">
              <w:rPr>
                <w:rFonts w:cs="Times New Roman"/>
                <w:szCs w:val="24"/>
                <w:lang w:val="en-US"/>
              </w:rPr>
              <w:t>DESI</w:t>
            </w:r>
            <w:r>
              <w:rPr>
                <w:rFonts w:cs="Times New Roman"/>
                <w:szCs w:val="24"/>
              </w:rPr>
              <w:t xml:space="preserve"> 2020</w:t>
            </w:r>
          </w:p>
        </w:tc>
        <w:tc>
          <w:tcPr>
            <w:tcW w:w="2265" w:type="dxa"/>
          </w:tcPr>
          <w:p w14:paraId="707BA776" w14:textId="77777777" w:rsidR="00E60B31" w:rsidRDefault="00AE483D" w:rsidP="00100874">
            <w:pPr>
              <w:spacing w:before="120" w:line="276" w:lineRule="auto"/>
              <w:jc w:val="both"/>
              <w:rPr>
                <w:rFonts w:cs="Times New Roman"/>
                <w:szCs w:val="24"/>
              </w:rPr>
            </w:pPr>
            <w:r>
              <w:rPr>
                <w:rFonts w:cs="Times New Roman"/>
                <w:szCs w:val="24"/>
              </w:rPr>
              <w:t>28</w:t>
            </w:r>
          </w:p>
        </w:tc>
        <w:tc>
          <w:tcPr>
            <w:tcW w:w="2266" w:type="dxa"/>
          </w:tcPr>
          <w:p w14:paraId="52D43EB8" w14:textId="77777777" w:rsidR="00E60B31" w:rsidRDefault="00AE483D" w:rsidP="00100874">
            <w:pPr>
              <w:spacing w:before="120" w:line="276" w:lineRule="auto"/>
              <w:jc w:val="both"/>
              <w:rPr>
                <w:rFonts w:cs="Times New Roman"/>
                <w:szCs w:val="24"/>
              </w:rPr>
            </w:pPr>
            <w:r>
              <w:rPr>
                <w:rFonts w:cs="Times New Roman"/>
                <w:szCs w:val="24"/>
              </w:rPr>
              <w:t>36,4</w:t>
            </w:r>
          </w:p>
        </w:tc>
        <w:tc>
          <w:tcPr>
            <w:tcW w:w="2266" w:type="dxa"/>
          </w:tcPr>
          <w:p w14:paraId="33770591" w14:textId="77777777" w:rsidR="00E60B31" w:rsidRDefault="00AE483D" w:rsidP="00100874">
            <w:pPr>
              <w:spacing w:before="120" w:line="276" w:lineRule="auto"/>
              <w:jc w:val="both"/>
              <w:rPr>
                <w:rFonts w:cs="Times New Roman"/>
                <w:szCs w:val="24"/>
              </w:rPr>
            </w:pPr>
            <w:r>
              <w:rPr>
                <w:rFonts w:cs="Times New Roman"/>
                <w:szCs w:val="24"/>
              </w:rPr>
              <w:t>52,6</w:t>
            </w:r>
          </w:p>
        </w:tc>
      </w:tr>
      <w:tr w:rsidR="00E60B31" w14:paraId="0C436277" w14:textId="77777777" w:rsidTr="00E60B31">
        <w:tc>
          <w:tcPr>
            <w:tcW w:w="2265" w:type="dxa"/>
          </w:tcPr>
          <w:p w14:paraId="184587BA" w14:textId="77777777" w:rsidR="00E60B31" w:rsidRPr="00AE483D" w:rsidRDefault="00AE483D" w:rsidP="00100874">
            <w:pPr>
              <w:spacing w:before="120" w:line="276" w:lineRule="auto"/>
              <w:jc w:val="both"/>
              <w:rPr>
                <w:rFonts w:cs="Times New Roman"/>
                <w:szCs w:val="24"/>
              </w:rPr>
            </w:pPr>
            <w:r w:rsidRPr="00E60B31">
              <w:rPr>
                <w:rFonts w:cs="Times New Roman"/>
                <w:szCs w:val="24"/>
                <w:lang w:val="en-US"/>
              </w:rPr>
              <w:t>DESI</w:t>
            </w:r>
            <w:r>
              <w:rPr>
                <w:rFonts w:cs="Times New Roman"/>
                <w:szCs w:val="24"/>
              </w:rPr>
              <w:t xml:space="preserve"> 2019</w:t>
            </w:r>
          </w:p>
        </w:tc>
        <w:tc>
          <w:tcPr>
            <w:tcW w:w="2265" w:type="dxa"/>
          </w:tcPr>
          <w:p w14:paraId="3E74A431" w14:textId="77777777" w:rsidR="00E60B31" w:rsidRDefault="00AE483D" w:rsidP="00100874">
            <w:pPr>
              <w:spacing w:before="120" w:line="276" w:lineRule="auto"/>
              <w:jc w:val="both"/>
              <w:rPr>
                <w:rFonts w:cs="Times New Roman"/>
                <w:szCs w:val="24"/>
              </w:rPr>
            </w:pPr>
            <w:r>
              <w:rPr>
                <w:rFonts w:cs="Times New Roman"/>
                <w:szCs w:val="24"/>
              </w:rPr>
              <w:t>28</w:t>
            </w:r>
          </w:p>
        </w:tc>
        <w:tc>
          <w:tcPr>
            <w:tcW w:w="2266" w:type="dxa"/>
          </w:tcPr>
          <w:p w14:paraId="1BCBB96E" w14:textId="77777777" w:rsidR="00E60B31" w:rsidRDefault="00AE483D" w:rsidP="00100874">
            <w:pPr>
              <w:spacing w:before="120" w:line="276" w:lineRule="auto"/>
              <w:jc w:val="both"/>
              <w:rPr>
                <w:rFonts w:cs="Times New Roman"/>
                <w:szCs w:val="24"/>
              </w:rPr>
            </w:pPr>
            <w:r>
              <w:rPr>
                <w:rFonts w:cs="Times New Roman"/>
                <w:szCs w:val="24"/>
              </w:rPr>
              <w:t>33,8</w:t>
            </w:r>
          </w:p>
        </w:tc>
        <w:tc>
          <w:tcPr>
            <w:tcW w:w="2266" w:type="dxa"/>
          </w:tcPr>
          <w:p w14:paraId="71956B54" w14:textId="77777777" w:rsidR="00E60B31" w:rsidRDefault="00AE483D" w:rsidP="00100874">
            <w:pPr>
              <w:spacing w:before="120" w:line="276" w:lineRule="auto"/>
              <w:jc w:val="both"/>
              <w:rPr>
                <w:rFonts w:cs="Times New Roman"/>
                <w:szCs w:val="24"/>
              </w:rPr>
            </w:pPr>
            <w:r>
              <w:rPr>
                <w:rFonts w:cs="Times New Roman"/>
                <w:szCs w:val="24"/>
              </w:rPr>
              <w:t>49,4</w:t>
            </w:r>
          </w:p>
        </w:tc>
      </w:tr>
      <w:tr w:rsidR="00E60B31" w14:paraId="5BEE7413" w14:textId="77777777" w:rsidTr="00E60B31">
        <w:tc>
          <w:tcPr>
            <w:tcW w:w="2265" w:type="dxa"/>
          </w:tcPr>
          <w:p w14:paraId="102526E8" w14:textId="77777777" w:rsidR="00E60B31" w:rsidRPr="00AE483D" w:rsidRDefault="00AE483D" w:rsidP="00100874">
            <w:pPr>
              <w:spacing w:before="120" w:line="276" w:lineRule="auto"/>
              <w:jc w:val="both"/>
              <w:rPr>
                <w:rFonts w:cs="Times New Roman"/>
                <w:szCs w:val="24"/>
              </w:rPr>
            </w:pPr>
            <w:r w:rsidRPr="00E60B31">
              <w:rPr>
                <w:rFonts w:cs="Times New Roman"/>
                <w:szCs w:val="24"/>
                <w:lang w:val="en-US"/>
              </w:rPr>
              <w:t>DESI</w:t>
            </w:r>
            <w:r>
              <w:rPr>
                <w:rFonts w:cs="Times New Roman"/>
                <w:szCs w:val="24"/>
              </w:rPr>
              <w:t xml:space="preserve"> 2018</w:t>
            </w:r>
          </w:p>
        </w:tc>
        <w:tc>
          <w:tcPr>
            <w:tcW w:w="2265" w:type="dxa"/>
          </w:tcPr>
          <w:p w14:paraId="7C52442E" w14:textId="77777777" w:rsidR="00E60B31" w:rsidRDefault="00AE483D" w:rsidP="00100874">
            <w:pPr>
              <w:spacing w:before="120" w:line="276" w:lineRule="auto"/>
              <w:jc w:val="both"/>
              <w:rPr>
                <w:rFonts w:cs="Times New Roman"/>
                <w:szCs w:val="24"/>
              </w:rPr>
            </w:pPr>
            <w:r>
              <w:rPr>
                <w:rFonts w:cs="Times New Roman"/>
                <w:szCs w:val="24"/>
              </w:rPr>
              <w:t>27</w:t>
            </w:r>
          </w:p>
        </w:tc>
        <w:tc>
          <w:tcPr>
            <w:tcW w:w="2266" w:type="dxa"/>
          </w:tcPr>
          <w:p w14:paraId="7B0E97DC" w14:textId="77777777" w:rsidR="00E60B31" w:rsidRDefault="00AE483D" w:rsidP="00100874">
            <w:pPr>
              <w:spacing w:before="120" w:line="276" w:lineRule="auto"/>
              <w:jc w:val="both"/>
              <w:rPr>
                <w:rFonts w:cs="Times New Roman"/>
                <w:szCs w:val="24"/>
              </w:rPr>
            </w:pPr>
            <w:r>
              <w:rPr>
                <w:rFonts w:cs="Times New Roman"/>
                <w:szCs w:val="24"/>
              </w:rPr>
              <w:t>33,5</w:t>
            </w:r>
          </w:p>
        </w:tc>
        <w:tc>
          <w:tcPr>
            <w:tcW w:w="2266" w:type="dxa"/>
          </w:tcPr>
          <w:p w14:paraId="79E4DC90" w14:textId="77777777" w:rsidR="00E60B31" w:rsidRDefault="00AE483D" w:rsidP="00100874">
            <w:pPr>
              <w:spacing w:before="120" w:line="276" w:lineRule="auto"/>
              <w:jc w:val="both"/>
              <w:rPr>
                <w:rFonts w:cs="Times New Roman"/>
                <w:szCs w:val="24"/>
              </w:rPr>
            </w:pPr>
            <w:r>
              <w:rPr>
                <w:rFonts w:cs="Times New Roman"/>
                <w:szCs w:val="24"/>
              </w:rPr>
              <w:t>46,5</w:t>
            </w:r>
          </w:p>
        </w:tc>
      </w:tr>
    </w:tbl>
    <w:p w14:paraId="65E7EF2A" w14:textId="77777777" w:rsidR="00E60B31" w:rsidRPr="00E60B31" w:rsidRDefault="00E60B31" w:rsidP="00100874">
      <w:pPr>
        <w:spacing w:before="120" w:after="0" w:line="276" w:lineRule="auto"/>
        <w:jc w:val="both"/>
        <w:rPr>
          <w:rFonts w:cs="Times New Roman"/>
          <w:szCs w:val="24"/>
        </w:rPr>
      </w:pPr>
    </w:p>
    <w:p w14:paraId="0DCF1E8A" w14:textId="77777777" w:rsidR="005372D0" w:rsidRPr="00E60B31" w:rsidRDefault="005372D0" w:rsidP="00100874">
      <w:pPr>
        <w:spacing w:before="120" w:after="0" w:line="276" w:lineRule="auto"/>
        <w:jc w:val="both"/>
        <w:rPr>
          <w:rFonts w:cs="Times New Roman"/>
          <w:szCs w:val="24"/>
        </w:rPr>
      </w:pPr>
      <w:r w:rsidRPr="00E60B31">
        <w:rPr>
          <w:rFonts w:cs="Times New Roman"/>
          <w:noProof/>
          <w:szCs w:val="24"/>
          <w:lang w:eastAsia="bg-BG"/>
        </w:rPr>
        <w:drawing>
          <wp:inline distT="0" distB="0" distL="0" distR="0" wp14:anchorId="51FC719D" wp14:editId="5C9F6315">
            <wp:extent cx="5760720" cy="2686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686646"/>
                    </a:xfrm>
                    <a:prstGeom prst="rect">
                      <a:avLst/>
                    </a:prstGeom>
                    <a:noFill/>
                    <a:ln>
                      <a:noFill/>
                    </a:ln>
                  </pic:spPr>
                </pic:pic>
              </a:graphicData>
            </a:graphic>
          </wp:inline>
        </w:drawing>
      </w:r>
    </w:p>
    <w:p w14:paraId="0D40FF6B" w14:textId="5A5E0C04" w:rsidR="00C70461" w:rsidRPr="00E60B31" w:rsidRDefault="005372D0" w:rsidP="00100874">
      <w:pPr>
        <w:spacing w:before="120" w:after="0" w:line="276" w:lineRule="auto"/>
        <w:jc w:val="both"/>
        <w:rPr>
          <w:rFonts w:cs="Times New Roman"/>
          <w:szCs w:val="24"/>
        </w:rPr>
      </w:pPr>
      <w:r w:rsidRPr="004A2778">
        <w:rPr>
          <w:rFonts w:cs="Times New Roman"/>
          <w:b/>
          <w:szCs w:val="24"/>
        </w:rPr>
        <w:t>България се нарежда на 26-о място (заедно с Гърция) сред 27-те държави — членки на ЕС в</w:t>
      </w:r>
      <w:r w:rsidR="00553A1B" w:rsidRPr="004A2778">
        <w:rPr>
          <w:rFonts w:cs="Times New Roman"/>
          <w:b/>
          <w:szCs w:val="24"/>
        </w:rPr>
        <w:t xml:space="preserve"> </w:t>
      </w:r>
      <w:r w:rsidRPr="004A2778">
        <w:rPr>
          <w:rFonts w:cs="Times New Roman"/>
          <w:b/>
          <w:szCs w:val="24"/>
        </w:rPr>
        <w:t>класирането съобразно Индекса на Европейската комисия за навлизането на цифровите</w:t>
      </w:r>
      <w:r w:rsidR="00553A1B" w:rsidRPr="004A2778">
        <w:rPr>
          <w:rFonts w:cs="Times New Roman"/>
          <w:b/>
          <w:szCs w:val="24"/>
        </w:rPr>
        <w:t xml:space="preserve"> </w:t>
      </w:r>
      <w:r w:rsidRPr="004A2778">
        <w:rPr>
          <w:rFonts w:cs="Times New Roman"/>
          <w:b/>
          <w:szCs w:val="24"/>
        </w:rPr>
        <w:t>технологии в икономиката и обществото (DESI) за 2021 г.</w:t>
      </w:r>
      <w:r w:rsidR="00237E63">
        <w:rPr>
          <w:rFonts w:cs="Times New Roman"/>
          <w:szCs w:val="24"/>
        </w:rPr>
        <w:t xml:space="preserve"> </w:t>
      </w:r>
      <w:r w:rsidRPr="00E60B31">
        <w:rPr>
          <w:rFonts w:cs="Times New Roman"/>
          <w:szCs w:val="24"/>
        </w:rPr>
        <w:t>По отношение на човешкия капитал равнището на България все още е сред най-ниските в ЕС.</w:t>
      </w:r>
      <w:r w:rsidR="00237E63">
        <w:rPr>
          <w:rFonts w:cs="Times New Roman"/>
          <w:szCs w:val="24"/>
        </w:rPr>
        <w:t xml:space="preserve"> </w:t>
      </w:r>
      <w:r w:rsidRPr="00E60B31">
        <w:rPr>
          <w:rFonts w:cs="Times New Roman"/>
          <w:szCs w:val="24"/>
        </w:rPr>
        <w:t>Лицата, които притежават поне основни цифрови умения, възлизат на 29 % от населението на</w:t>
      </w:r>
      <w:r w:rsidR="00047C2E" w:rsidRPr="00E60B31">
        <w:rPr>
          <w:rFonts w:cs="Times New Roman"/>
          <w:szCs w:val="24"/>
        </w:rPr>
        <w:t xml:space="preserve"> </w:t>
      </w:r>
      <w:r w:rsidRPr="00E60B31">
        <w:rPr>
          <w:rFonts w:cs="Times New Roman"/>
          <w:szCs w:val="24"/>
        </w:rPr>
        <w:t xml:space="preserve">България на възраст от 16 до 74 години в сравнение със средно 56 % за ЕС. </w:t>
      </w:r>
      <w:bookmarkStart w:id="3" w:name="_Hlk92098728"/>
      <w:r w:rsidRPr="00E60B31">
        <w:rPr>
          <w:rFonts w:cs="Times New Roman"/>
          <w:szCs w:val="24"/>
        </w:rPr>
        <w:t>Предприятията все</w:t>
      </w:r>
      <w:r w:rsidR="00237E63">
        <w:rPr>
          <w:rFonts w:cs="Times New Roman"/>
          <w:szCs w:val="24"/>
        </w:rPr>
        <w:t xml:space="preserve"> </w:t>
      </w:r>
      <w:r w:rsidRPr="00E60B31">
        <w:rPr>
          <w:rFonts w:cs="Times New Roman"/>
          <w:szCs w:val="24"/>
        </w:rPr>
        <w:t xml:space="preserve">още срещат трудности при намирането на квалифициран персонал, за </w:t>
      </w:r>
      <w:r w:rsidR="00047C2E" w:rsidRPr="00E60B31">
        <w:rPr>
          <w:rFonts w:cs="Times New Roman"/>
          <w:szCs w:val="24"/>
        </w:rPr>
        <w:t xml:space="preserve"> </w:t>
      </w:r>
      <w:r w:rsidRPr="00E60B31">
        <w:rPr>
          <w:rFonts w:cs="Times New Roman"/>
          <w:szCs w:val="24"/>
        </w:rPr>
        <w:t>да осъществяват</w:t>
      </w:r>
      <w:r w:rsidR="00047C2E" w:rsidRPr="00E60B31">
        <w:rPr>
          <w:rFonts w:cs="Times New Roman"/>
          <w:szCs w:val="24"/>
        </w:rPr>
        <w:t xml:space="preserve"> </w:t>
      </w:r>
      <w:r w:rsidRPr="00E60B31">
        <w:rPr>
          <w:rFonts w:cs="Times New Roman"/>
          <w:szCs w:val="24"/>
        </w:rPr>
        <w:t>иновации и да се разрастват.</w:t>
      </w:r>
      <w:r w:rsidR="00047C2E" w:rsidRPr="00E60B31">
        <w:rPr>
          <w:rFonts w:cs="Times New Roman"/>
          <w:szCs w:val="24"/>
        </w:rPr>
        <w:t xml:space="preserve"> </w:t>
      </w:r>
      <w:bookmarkEnd w:id="3"/>
      <w:r w:rsidRPr="00E60B31">
        <w:rPr>
          <w:rFonts w:cs="Times New Roman"/>
          <w:szCs w:val="24"/>
        </w:rPr>
        <w:t>Що се отнася до свързаността, България достига едва 59 % при цялостното разпространение на</w:t>
      </w:r>
      <w:r w:rsidR="00237E63">
        <w:rPr>
          <w:rFonts w:cs="Times New Roman"/>
          <w:szCs w:val="24"/>
        </w:rPr>
        <w:t xml:space="preserve"> </w:t>
      </w:r>
      <w:r w:rsidRPr="00E60B31">
        <w:rPr>
          <w:rFonts w:cs="Times New Roman"/>
          <w:szCs w:val="24"/>
        </w:rPr>
        <w:t>широколентовия достъп до интернет сред домакинствата с абонамент (средна стойност за ЕС:</w:t>
      </w:r>
      <w:r w:rsidR="00047C2E" w:rsidRPr="00E60B31">
        <w:rPr>
          <w:rFonts w:cs="Times New Roman"/>
          <w:szCs w:val="24"/>
        </w:rPr>
        <w:t xml:space="preserve"> </w:t>
      </w:r>
      <w:r w:rsidRPr="00E60B31">
        <w:rPr>
          <w:rFonts w:cs="Times New Roman"/>
          <w:szCs w:val="24"/>
        </w:rPr>
        <w:t>77 %), като също така изостава при разпространението на фиксиран широколентов достъп до</w:t>
      </w:r>
      <w:r w:rsidR="00047C2E" w:rsidRPr="00E60B31">
        <w:rPr>
          <w:rFonts w:cs="Times New Roman"/>
          <w:szCs w:val="24"/>
        </w:rPr>
        <w:t xml:space="preserve"> </w:t>
      </w:r>
      <w:r w:rsidRPr="00E60B31">
        <w:rPr>
          <w:rFonts w:cs="Times New Roman"/>
          <w:szCs w:val="24"/>
        </w:rPr>
        <w:t>интернет със скорост поне 100 Mbps (15 %, при средно 34 % за ЕС). При мобилния широколентов</w:t>
      </w:r>
      <w:r w:rsidR="00047C2E" w:rsidRPr="00E60B31">
        <w:rPr>
          <w:rFonts w:cs="Times New Roman"/>
          <w:szCs w:val="24"/>
        </w:rPr>
        <w:t xml:space="preserve"> </w:t>
      </w:r>
      <w:r w:rsidRPr="00E60B31">
        <w:rPr>
          <w:rFonts w:cs="Times New Roman"/>
          <w:szCs w:val="24"/>
        </w:rPr>
        <w:t>достъп има висока степен на покритие с 4G мрежи, но покритието с 5G мрежи е 0 % за 2020 г. в</w:t>
      </w:r>
      <w:r w:rsidR="00047C2E" w:rsidRPr="00E60B31">
        <w:rPr>
          <w:rFonts w:cs="Times New Roman"/>
          <w:szCs w:val="24"/>
        </w:rPr>
        <w:t xml:space="preserve"> </w:t>
      </w:r>
      <w:r w:rsidRPr="00E60B31">
        <w:rPr>
          <w:rFonts w:cs="Times New Roman"/>
          <w:szCs w:val="24"/>
        </w:rPr>
        <w:t>сравнение със средно 14 % за ЕС. Разпространението на мобилен широколентов достъп до</w:t>
      </w:r>
      <w:r w:rsidR="00047C2E" w:rsidRPr="00E60B31">
        <w:rPr>
          <w:rFonts w:cs="Times New Roman"/>
          <w:szCs w:val="24"/>
        </w:rPr>
        <w:t xml:space="preserve"> </w:t>
      </w:r>
      <w:r w:rsidRPr="00E60B31">
        <w:rPr>
          <w:rFonts w:cs="Times New Roman"/>
          <w:szCs w:val="24"/>
        </w:rPr>
        <w:t xml:space="preserve">интернет все още е ниско — 63 % (при средно 71 % за ЕС). Наскоро </w:t>
      </w:r>
      <w:r w:rsidRPr="00E60B31">
        <w:rPr>
          <w:rFonts w:cs="Times New Roman"/>
          <w:szCs w:val="24"/>
        </w:rPr>
        <w:lastRenderedPageBreak/>
        <w:t>приключилият търг за</w:t>
      </w:r>
      <w:r w:rsidR="00047C2E" w:rsidRPr="00E60B31">
        <w:rPr>
          <w:rFonts w:cs="Times New Roman"/>
          <w:szCs w:val="24"/>
        </w:rPr>
        <w:t xml:space="preserve"> </w:t>
      </w:r>
      <w:r w:rsidRPr="00E60B31">
        <w:rPr>
          <w:rFonts w:cs="Times New Roman"/>
          <w:szCs w:val="24"/>
        </w:rPr>
        <w:t>5G мрежи е важна стъпка към постигане на своевременно внедряване на 5G, въпреки че все</w:t>
      </w:r>
      <w:r w:rsidR="00047C2E" w:rsidRPr="00E60B31">
        <w:rPr>
          <w:rFonts w:cs="Times New Roman"/>
          <w:szCs w:val="24"/>
        </w:rPr>
        <w:t xml:space="preserve"> </w:t>
      </w:r>
      <w:r w:rsidRPr="00E60B31">
        <w:rPr>
          <w:rFonts w:cs="Times New Roman"/>
          <w:szCs w:val="24"/>
        </w:rPr>
        <w:t>още липсва достатъчен радиочестотен спектър в определени обхвати. В резултат от търга беше</w:t>
      </w:r>
      <w:r w:rsidR="00047C2E" w:rsidRPr="00E60B31">
        <w:rPr>
          <w:rFonts w:cs="Times New Roman"/>
          <w:szCs w:val="24"/>
        </w:rPr>
        <w:t xml:space="preserve"> </w:t>
      </w:r>
      <w:r w:rsidRPr="00E60B31">
        <w:rPr>
          <w:rFonts w:cs="Times New Roman"/>
          <w:szCs w:val="24"/>
        </w:rPr>
        <w:t>постигнато значително подобрение в сравне</w:t>
      </w:r>
      <w:r w:rsidR="00B53A35">
        <w:rPr>
          <w:rFonts w:cs="Times New Roman"/>
          <w:szCs w:val="24"/>
        </w:rPr>
        <w:t>ние с 2020 г.: г</w:t>
      </w:r>
      <w:r w:rsidRPr="00E60B31">
        <w:rPr>
          <w:rFonts w:cs="Times New Roman"/>
          <w:szCs w:val="24"/>
        </w:rPr>
        <w:t>отовността за навлизане на 5G сега е</w:t>
      </w:r>
      <w:r w:rsidR="00047C2E" w:rsidRPr="00E60B31">
        <w:rPr>
          <w:rFonts w:cs="Times New Roman"/>
          <w:szCs w:val="24"/>
        </w:rPr>
        <w:t xml:space="preserve"> </w:t>
      </w:r>
      <w:r w:rsidRPr="00E60B31">
        <w:rPr>
          <w:rFonts w:cs="Times New Roman"/>
          <w:szCs w:val="24"/>
        </w:rPr>
        <w:t>20,55 % при средно 39 % за ЕС.</w:t>
      </w:r>
      <w:r w:rsidR="00047C2E" w:rsidRPr="00E60B31">
        <w:rPr>
          <w:rFonts w:cs="Times New Roman"/>
          <w:szCs w:val="24"/>
        </w:rPr>
        <w:t xml:space="preserve"> </w:t>
      </w:r>
      <w:r w:rsidRPr="00E60B31">
        <w:rPr>
          <w:rFonts w:cs="Times New Roman"/>
          <w:szCs w:val="24"/>
        </w:rPr>
        <w:t>По отношение на интегрирането на цифровите технологии от страна на предприятията в</w:t>
      </w:r>
      <w:r w:rsidR="00047C2E" w:rsidRPr="00E60B31">
        <w:rPr>
          <w:rFonts w:cs="Times New Roman"/>
          <w:szCs w:val="24"/>
        </w:rPr>
        <w:t xml:space="preserve"> </w:t>
      </w:r>
      <w:r w:rsidRPr="00E60B31">
        <w:rPr>
          <w:rFonts w:cs="Times New Roman"/>
          <w:szCs w:val="24"/>
        </w:rPr>
        <w:t>България картината е смесена. Държавата инвестира в научни изследвания и цифрова</w:t>
      </w:r>
      <w:r w:rsidR="00047C2E" w:rsidRPr="00E60B31">
        <w:rPr>
          <w:rFonts w:cs="Times New Roman"/>
          <w:szCs w:val="24"/>
        </w:rPr>
        <w:t xml:space="preserve"> </w:t>
      </w:r>
      <w:r w:rsidRPr="00E60B31">
        <w:rPr>
          <w:rFonts w:cs="Times New Roman"/>
          <w:szCs w:val="24"/>
        </w:rPr>
        <w:t>инфраструктура, но тяхното въздействие би се увеличило, ако повече предприятия бъдат</w:t>
      </w:r>
      <w:r w:rsidR="00047C2E" w:rsidRPr="00E60B31">
        <w:rPr>
          <w:rFonts w:cs="Times New Roman"/>
          <w:szCs w:val="24"/>
        </w:rPr>
        <w:t xml:space="preserve"> </w:t>
      </w:r>
      <w:r w:rsidRPr="00E60B31">
        <w:rPr>
          <w:rFonts w:cs="Times New Roman"/>
          <w:szCs w:val="24"/>
        </w:rPr>
        <w:t>насърчавани да ги използват. Освен това, интензивното информиране за това как новата</w:t>
      </w:r>
      <w:r w:rsidR="00047C2E" w:rsidRPr="00E60B31">
        <w:rPr>
          <w:rFonts w:cs="Times New Roman"/>
          <w:szCs w:val="24"/>
        </w:rPr>
        <w:t xml:space="preserve"> </w:t>
      </w:r>
      <w:r w:rsidRPr="00E60B31">
        <w:rPr>
          <w:rFonts w:cs="Times New Roman"/>
          <w:szCs w:val="24"/>
        </w:rPr>
        <w:t>инфраструктура може да помогне на МСП да се цифровизират и да повишат равнището на</w:t>
      </w:r>
      <w:r w:rsidR="00047C2E" w:rsidRPr="00E60B31">
        <w:rPr>
          <w:rFonts w:cs="Times New Roman"/>
          <w:szCs w:val="24"/>
        </w:rPr>
        <w:t xml:space="preserve"> </w:t>
      </w:r>
      <w:r w:rsidRPr="00E60B31">
        <w:rPr>
          <w:rFonts w:cs="Times New Roman"/>
          <w:szCs w:val="24"/>
        </w:rPr>
        <w:t xml:space="preserve">уменията си може да има положително въздействие. </w:t>
      </w:r>
      <w:r w:rsidRPr="00F54397">
        <w:rPr>
          <w:rFonts w:cs="Times New Roman"/>
          <w:b/>
          <w:szCs w:val="24"/>
        </w:rPr>
        <w:t>Използването на изкуствен интелект е по-широко разпространено от средното за ЕС</w:t>
      </w:r>
      <w:r w:rsidRPr="00E60B31">
        <w:rPr>
          <w:rFonts w:cs="Times New Roman"/>
          <w:szCs w:val="24"/>
        </w:rPr>
        <w:t>. От друга страна повечето МСП все още не извършват</w:t>
      </w:r>
      <w:r w:rsidR="00047C2E" w:rsidRPr="00E60B31">
        <w:rPr>
          <w:rFonts w:cs="Times New Roman"/>
          <w:szCs w:val="24"/>
        </w:rPr>
        <w:t xml:space="preserve"> </w:t>
      </w:r>
      <w:r w:rsidRPr="00E60B31">
        <w:rPr>
          <w:rFonts w:cs="Times New Roman"/>
          <w:szCs w:val="24"/>
        </w:rPr>
        <w:t>електронна търговия: 8 % от българските МСП извършват продажби онлайн, 3 % от МСП</w:t>
      </w:r>
      <w:r w:rsidR="00047C2E" w:rsidRPr="00E60B31">
        <w:rPr>
          <w:rFonts w:cs="Times New Roman"/>
          <w:szCs w:val="24"/>
        </w:rPr>
        <w:t xml:space="preserve"> </w:t>
      </w:r>
      <w:r w:rsidRPr="00E60B31">
        <w:rPr>
          <w:rFonts w:cs="Times New Roman"/>
          <w:szCs w:val="24"/>
        </w:rPr>
        <w:t>реализират трансгранични продажби, а 8 % от оборота е от онлайн сегмента (тези стойности са</w:t>
      </w:r>
      <w:r w:rsidR="00047C2E" w:rsidRPr="00E60B31">
        <w:rPr>
          <w:rFonts w:cs="Times New Roman"/>
          <w:szCs w:val="24"/>
        </w:rPr>
        <w:t xml:space="preserve"> </w:t>
      </w:r>
      <w:r w:rsidRPr="00E60B31">
        <w:rPr>
          <w:rFonts w:cs="Times New Roman"/>
          <w:szCs w:val="24"/>
        </w:rPr>
        <w:t>приблизително наполовина на съответните средни стойности за ЕС).</w:t>
      </w:r>
      <w:r w:rsidR="00F54397">
        <w:rPr>
          <w:rFonts w:cs="Times New Roman"/>
          <w:szCs w:val="24"/>
        </w:rPr>
        <w:t xml:space="preserve"> </w:t>
      </w:r>
      <w:r w:rsidRPr="00E60B31">
        <w:rPr>
          <w:rFonts w:cs="Times New Roman"/>
          <w:szCs w:val="24"/>
        </w:rPr>
        <w:t xml:space="preserve">По отношение на </w:t>
      </w:r>
      <w:r w:rsidR="00047C2E" w:rsidRPr="00E60B31">
        <w:rPr>
          <w:rFonts w:cs="Times New Roman"/>
          <w:szCs w:val="24"/>
        </w:rPr>
        <w:t xml:space="preserve"> </w:t>
      </w:r>
      <w:r w:rsidRPr="00E60B31">
        <w:rPr>
          <w:rFonts w:cs="Times New Roman"/>
          <w:szCs w:val="24"/>
        </w:rPr>
        <w:t>цифровата публична администрация остарялата правна уредба продължава</w:t>
      </w:r>
      <w:r w:rsidR="00047C2E" w:rsidRPr="00E60B31">
        <w:rPr>
          <w:rFonts w:cs="Times New Roman"/>
          <w:szCs w:val="24"/>
        </w:rPr>
        <w:t xml:space="preserve"> </w:t>
      </w:r>
      <w:r w:rsidRPr="00E60B31">
        <w:rPr>
          <w:rFonts w:cs="Times New Roman"/>
          <w:szCs w:val="24"/>
        </w:rPr>
        <w:t>да е основна пречка. Потребителите на услуги на електронното управление съставляват едва</w:t>
      </w:r>
      <w:r w:rsidR="00047C2E" w:rsidRPr="00E60B31">
        <w:rPr>
          <w:rFonts w:cs="Times New Roman"/>
          <w:szCs w:val="24"/>
        </w:rPr>
        <w:t xml:space="preserve"> </w:t>
      </w:r>
      <w:r w:rsidRPr="00E60B31">
        <w:rPr>
          <w:rFonts w:cs="Times New Roman"/>
          <w:szCs w:val="24"/>
        </w:rPr>
        <w:t>36 % от потребителите на интернет (средно за ЕС: 64 %), а цифровите обществени услуги за</w:t>
      </w:r>
      <w:r w:rsidR="00047C2E" w:rsidRPr="00E60B31">
        <w:rPr>
          <w:rFonts w:cs="Times New Roman"/>
          <w:szCs w:val="24"/>
        </w:rPr>
        <w:t xml:space="preserve"> </w:t>
      </w:r>
      <w:r w:rsidRPr="00E60B31">
        <w:rPr>
          <w:rFonts w:cs="Times New Roman"/>
          <w:szCs w:val="24"/>
        </w:rPr>
        <w:t>гражданите са с резултат 57 от 100 (средно за ЕС: 75). Независимо от това цифровите обществени</w:t>
      </w:r>
      <w:r w:rsidR="00047C2E" w:rsidRPr="00E60B31">
        <w:rPr>
          <w:rFonts w:cs="Times New Roman"/>
          <w:szCs w:val="24"/>
        </w:rPr>
        <w:t xml:space="preserve"> </w:t>
      </w:r>
      <w:r w:rsidRPr="00E60B31">
        <w:rPr>
          <w:rFonts w:cs="Times New Roman"/>
          <w:szCs w:val="24"/>
        </w:rPr>
        <w:t>услуги за предприятията и използването на отворени данни от публичните администрации са</w:t>
      </w:r>
      <w:r w:rsidR="00047C2E" w:rsidRPr="00E60B31">
        <w:rPr>
          <w:rFonts w:cs="Times New Roman"/>
          <w:szCs w:val="24"/>
        </w:rPr>
        <w:t xml:space="preserve"> </w:t>
      </w:r>
      <w:r w:rsidRPr="00E60B31">
        <w:rPr>
          <w:rFonts w:cs="Times New Roman"/>
          <w:szCs w:val="24"/>
        </w:rPr>
        <w:t>малко над средното за ЕС. Националната стратегия в тази област и дейността на Държавна</w:t>
      </w:r>
      <w:r w:rsidR="00047C2E" w:rsidRPr="00E60B31">
        <w:rPr>
          <w:rFonts w:cs="Times New Roman"/>
          <w:szCs w:val="24"/>
        </w:rPr>
        <w:t xml:space="preserve"> </w:t>
      </w:r>
      <w:r w:rsidRPr="00E60B31">
        <w:rPr>
          <w:rFonts w:cs="Times New Roman"/>
          <w:szCs w:val="24"/>
        </w:rPr>
        <w:t>агенция „Електронно управление“ доведоха до обещаващи подобрения. Бяха предприети</w:t>
      </w:r>
      <w:r w:rsidR="00047C2E" w:rsidRPr="00E60B31">
        <w:rPr>
          <w:rFonts w:cs="Times New Roman"/>
          <w:szCs w:val="24"/>
        </w:rPr>
        <w:t xml:space="preserve"> </w:t>
      </w:r>
      <w:r w:rsidRPr="00E60B31">
        <w:rPr>
          <w:rFonts w:cs="Times New Roman"/>
          <w:szCs w:val="24"/>
        </w:rPr>
        <w:t>редица действия за работа с хората, с цел да се насърчи използването на услугите на</w:t>
      </w:r>
      <w:r w:rsidR="00047C2E" w:rsidRPr="00E60B31">
        <w:rPr>
          <w:rFonts w:cs="Times New Roman"/>
          <w:szCs w:val="24"/>
        </w:rPr>
        <w:t xml:space="preserve"> </w:t>
      </w:r>
      <w:r w:rsidRPr="00E60B31">
        <w:rPr>
          <w:rFonts w:cs="Times New Roman"/>
          <w:szCs w:val="24"/>
        </w:rPr>
        <w:t>електронното управление (с подкрепата на фондовете на ЕС). Все още има забавяния в</w:t>
      </w:r>
      <w:r w:rsidR="00047C2E" w:rsidRPr="00E60B31">
        <w:rPr>
          <w:rFonts w:cs="Times New Roman"/>
          <w:szCs w:val="24"/>
        </w:rPr>
        <w:t xml:space="preserve"> </w:t>
      </w:r>
      <w:r w:rsidRPr="00E60B31">
        <w:rPr>
          <w:rFonts w:cs="Times New Roman"/>
          <w:szCs w:val="24"/>
        </w:rPr>
        <w:t>прилагането на електронна идентификация и електронния подпис, въпреки че се предлагат и</w:t>
      </w:r>
      <w:r w:rsidR="00047C2E" w:rsidRPr="00E60B31">
        <w:rPr>
          <w:rFonts w:cs="Times New Roman"/>
          <w:szCs w:val="24"/>
        </w:rPr>
        <w:t xml:space="preserve"> </w:t>
      </w:r>
      <w:r w:rsidRPr="00E60B31">
        <w:rPr>
          <w:rFonts w:cs="Times New Roman"/>
          <w:szCs w:val="24"/>
        </w:rPr>
        <w:t>други начини за идентификация. Беше дадено предимство на системите за подпомагане на</w:t>
      </w:r>
      <w:r w:rsidR="00047C2E" w:rsidRPr="00E60B31">
        <w:rPr>
          <w:rFonts w:cs="Times New Roman"/>
          <w:szCs w:val="24"/>
        </w:rPr>
        <w:t xml:space="preserve"> </w:t>
      </w:r>
      <w:r w:rsidRPr="00E60B31">
        <w:rPr>
          <w:rFonts w:cs="Times New Roman"/>
          <w:szCs w:val="24"/>
        </w:rPr>
        <w:t>решенията в областта на електронното здравеопазване, за да се подкрепят процесите на</w:t>
      </w:r>
      <w:r w:rsidR="00047C2E" w:rsidRPr="00E60B31">
        <w:rPr>
          <w:rFonts w:cs="Times New Roman"/>
          <w:szCs w:val="24"/>
        </w:rPr>
        <w:t xml:space="preserve"> </w:t>
      </w:r>
      <w:r w:rsidRPr="00E60B31">
        <w:rPr>
          <w:rFonts w:cs="Times New Roman"/>
          <w:szCs w:val="24"/>
        </w:rPr>
        <w:t>администриране в здравеопазването и кампанията за ваксинация срещу COVID-19.</w:t>
      </w:r>
    </w:p>
    <w:p w14:paraId="1193541C" w14:textId="77777777" w:rsidR="00C70461" w:rsidRPr="00E60B31" w:rsidRDefault="00C70461" w:rsidP="003A2C53">
      <w:pPr>
        <w:spacing w:before="120" w:after="0" w:line="276" w:lineRule="auto"/>
        <w:jc w:val="center"/>
        <w:rPr>
          <w:rFonts w:cs="Times New Roman"/>
          <w:szCs w:val="24"/>
        </w:rPr>
      </w:pPr>
      <w:r w:rsidRPr="00E60B31">
        <w:rPr>
          <w:rFonts w:cs="Times New Roman"/>
          <w:noProof/>
          <w:szCs w:val="24"/>
          <w:lang w:eastAsia="bg-BG"/>
        </w:rPr>
        <w:drawing>
          <wp:inline distT="0" distB="0" distL="0" distR="0" wp14:anchorId="69A90EAB" wp14:editId="15A4A17F">
            <wp:extent cx="4488180" cy="230876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5130" cy="2332915"/>
                    </a:xfrm>
                    <a:prstGeom prst="rect">
                      <a:avLst/>
                    </a:prstGeom>
                    <a:noFill/>
                    <a:ln>
                      <a:noFill/>
                    </a:ln>
                  </pic:spPr>
                </pic:pic>
              </a:graphicData>
            </a:graphic>
          </wp:inline>
        </w:drawing>
      </w:r>
    </w:p>
    <w:p w14:paraId="5C0E7E67" w14:textId="77777777" w:rsidR="00C70461" w:rsidRPr="00E60B31" w:rsidRDefault="00C70461" w:rsidP="00100874">
      <w:pPr>
        <w:spacing w:before="120" w:after="0" w:line="276" w:lineRule="auto"/>
        <w:jc w:val="both"/>
        <w:rPr>
          <w:rFonts w:cs="Times New Roman"/>
          <w:szCs w:val="24"/>
        </w:rPr>
      </w:pPr>
    </w:p>
    <w:p w14:paraId="33141328" w14:textId="6A815196" w:rsidR="00C70461" w:rsidRDefault="00C70461" w:rsidP="003A2C53">
      <w:pPr>
        <w:spacing w:before="120" w:after="0" w:line="276" w:lineRule="auto"/>
        <w:jc w:val="center"/>
        <w:rPr>
          <w:rFonts w:cs="Times New Roman"/>
          <w:szCs w:val="24"/>
        </w:rPr>
      </w:pPr>
      <w:r w:rsidRPr="00E60B31">
        <w:rPr>
          <w:rFonts w:cs="Times New Roman"/>
          <w:noProof/>
          <w:szCs w:val="24"/>
          <w:lang w:eastAsia="bg-BG"/>
        </w:rPr>
        <w:lastRenderedPageBreak/>
        <w:drawing>
          <wp:inline distT="0" distB="0" distL="0" distR="0" wp14:anchorId="67D443C6" wp14:editId="33615867">
            <wp:extent cx="3350995" cy="2164080"/>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0928" cy="2170495"/>
                    </a:xfrm>
                    <a:prstGeom prst="rect">
                      <a:avLst/>
                    </a:prstGeom>
                    <a:noFill/>
                    <a:ln>
                      <a:noFill/>
                    </a:ln>
                  </pic:spPr>
                </pic:pic>
              </a:graphicData>
            </a:graphic>
          </wp:inline>
        </w:drawing>
      </w:r>
    </w:p>
    <w:p w14:paraId="7E0025DF" w14:textId="6AFAB02D" w:rsidR="00523F74" w:rsidRPr="00523F74" w:rsidRDefault="00523F74" w:rsidP="00AF76DA">
      <w:pPr>
        <w:pStyle w:val="Heading1"/>
        <w:numPr>
          <w:ilvl w:val="0"/>
          <w:numId w:val="13"/>
        </w:numPr>
        <w:rPr>
          <w:rFonts w:eastAsia="Calibri"/>
        </w:rPr>
      </w:pPr>
      <w:bookmarkStart w:id="4" w:name="_Toc92275729"/>
      <w:r w:rsidRPr="00523F74">
        <w:rPr>
          <w:rFonts w:eastAsia="Calibri"/>
        </w:rPr>
        <w:t>ИКТ като ключов фактор за икономически растеж</w:t>
      </w:r>
    </w:p>
    <w:bookmarkEnd w:id="4"/>
    <w:p w14:paraId="43EE3E50" w14:textId="5C17EAAC" w:rsidR="00397DE9" w:rsidRPr="00397DE9" w:rsidRDefault="00397DE9" w:rsidP="00362380">
      <w:pPr>
        <w:pBdr>
          <w:top w:val="single" w:sz="4" w:space="1" w:color="auto"/>
          <w:left w:val="single" w:sz="4" w:space="4" w:color="auto"/>
          <w:bottom w:val="single" w:sz="4" w:space="1" w:color="auto"/>
          <w:right w:val="single" w:sz="4" w:space="4" w:color="auto"/>
        </w:pBdr>
        <w:suppressAutoHyphens/>
        <w:autoSpaceDN w:val="0"/>
        <w:spacing w:before="120" w:after="0" w:line="276" w:lineRule="auto"/>
        <w:jc w:val="both"/>
        <w:textAlignment w:val="baseline"/>
        <w:rPr>
          <w:rFonts w:eastAsia="Calibri" w:cs="Times New Roman"/>
          <w:szCs w:val="24"/>
        </w:rPr>
      </w:pPr>
      <w:r w:rsidRPr="00397DE9">
        <w:rPr>
          <w:rFonts w:eastAsia="Calibri" w:cs="Times New Roman"/>
          <w:szCs w:val="24"/>
        </w:rPr>
        <w:t>В България има 80% експортно ориентиран зрял софтуерен сектор, който прави 10% от БВП с над 100К работници и служители през 2021г. и повече от 13000 ИКТ компании.</w:t>
      </w:r>
    </w:p>
    <w:p w14:paraId="25D953D6" w14:textId="77777777" w:rsidR="00397DE9" w:rsidRPr="00397DE9" w:rsidRDefault="00397DE9" w:rsidP="00362380">
      <w:pPr>
        <w:pBdr>
          <w:top w:val="single" w:sz="4" w:space="1" w:color="auto"/>
          <w:left w:val="single" w:sz="4" w:space="4" w:color="auto"/>
          <w:bottom w:val="single" w:sz="4" w:space="1" w:color="auto"/>
          <w:right w:val="single" w:sz="4" w:space="4" w:color="auto"/>
        </w:pBdr>
        <w:suppressAutoHyphens/>
        <w:autoSpaceDN w:val="0"/>
        <w:spacing w:before="120" w:after="0" w:line="276" w:lineRule="auto"/>
        <w:jc w:val="both"/>
        <w:textAlignment w:val="baseline"/>
        <w:rPr>
          <w:rFonts w:eastAsia="Calibri" w:cs="Times New Roman"/>
          <w:szCs w:val="24"/>
        </w:rPr>
      </w:pPr>
      <w:r w:rsidRPr="00397DE9">
        <w:rPr>
          <w:rFonts w:eastAsia="Calibri" w:cs="Times New Roman"/>
          <w:szCs w:val="24"/>
        </w:rPr>
        <w:t>България вече е регионален център за ИКТ, водеща база за научноизследователска и развойна дейност на софтуерни и ИТ компании , и българските компании стават световни играчи с глобална научноизследователска и развойна дейност и бързо растящо стратегическо присъствие.</w:t>
      </w:r>
    </w:p>
    <w:p w14:paraId="1D720B3E" w14:textId="77777777" w:rsidR="00397DE9" w:rsidRPr="00397DE9" w:rsidRDefault="00397DE9" w:rsidP="00362380">
      <w:pPr>
        <w:pBdr>
          <w:top w:val="single" w:sz="4" w:space="1" w:color="auto"/>
          <w:left w:val="single" w:sz="4" w:space="4" w:color="auto"/>
          <w:bottom w:val="single" w:sz="4" w:space="1" w:color="auto"/>
          <w:right w:val="single" w:sz="4" w:space="4" w:color="auto"/>
        </w:pBdr>
        <w:suppressAutoHyphens/>
        <w:autoSpaceDN w:val="0"/>
        <w:spacing w:before="120" w:after="0" w:line="276" w:lineRule="auto"/>
        <w:jc w:val="both"/>
        <w:textAlignment w:val="baseline"/>
        <w:rPr>
          <w:rFonts w:eastAsia="Calibri" w:cs="Times New Roman"/>
          <w:szCs w:val="24"/>
        </w:rPr>
      </w:pPr>
      <w:r w:rsidRPr="00397DE9">
        <w:rPr>
          <w:rFonts w:eastAsia="Calibri" w:cs="Times New Roman"/>
          <w:szCs w:val="24"/>
        </w:rPr>
        <w:t>Конкурентни предимства на България, за да инвестират в нея  глобалните ИКТ лидери и държави са талантите, екипите, работата, стратегическото местоположение и политическата стабилност, традициите в сектора на ИКТ и жизнеспособната екосистема, разработената мрежа и инфраструктурата,  конкурентните  разходи за правене на бизнес.</w:t>
      </w:r>
    </w:p>
    <w:p w14:paraId="3B25FC7A" w14:textId="35ADF192" w:rsidR="00397DE9" w:rsidRPr="00397DE9" w:rsidRDefault="00397DE9" w:rsidP="00362380">
      <w:pPr>
        <w:pBdr>
          <w:top w:val="single" w:sz="4" w:space="1" w:color="auto"/>
          <w:left w:val="single" w:sz="4" w:space="4" w:color="auto"/>
          <w:bottom w:val="single" w:sz="4" w:space="1" w:color="auto"/>
          <w:right w:val="single" w:sz="4" w:space="4" w:color="auto"/>
        </w:pBdr>
        <w:suppressAutoHyphens/>
        <w:autoSpaceDN w:val="0"/>
        <w:spacing w:before="120" w:after="0" w:line="276" w:lineRule="auto"/>
        <w:jc w:val="both"/>
        <w:textAlignment w:val="baseline"/>
        <w:rPr>
          <w:rFonts w:eastAsia="Calibri" w:cs="Times New Roman"/>
          <w:szCs w:val="24"/>
        </w:rPr>
      </w:pPr>
      <w:r w:rsidRPr="00397DE9">
        <w:rPr>
          <w:rFonts w:eastAsia="Calibri" w:cs="Times New Roman"/>
          <w:szCs w:val="24"/>
        </w:rPr>
        <w:t xml:space="preserve">Чуждестранният инвеститор може да намери в България пълен набор от услуги – анализ, проектиране, архитектура, внедряване, </w:t>
      </w:r>
      <w:r w:rsidR="005E42A9">
        <w:rPr>
          <w:rFonts w:eastAsia="Calibri" w:cs="Times New Roman"/>
          <w:szCs w:val="24"/>
        </w:rPr>
        <w:t>контрол</w:t>
      </w:r>
      <w:r w:rsidRPr="00397DE9">
        <w:rPr>
          <w:rFonts w:eastAsia="Calibri" w:cs="Times New Roman"/>
          <w:szCs w:val="24"/>
        </w:rPr>
        <w:t>, поддръжка и обслужване, класически и цифров маркетинг, консултации, продажби с фокус върху специално качество и добавена стойност на базата на специфични познания в областта.</w:t>
      </w:r>
    </w:p>
    <w:p w14:paraId="3B539B94" w14:textId="742AB9B3" w:rsidR="00397DE9" w:rsidRPr="00397DE9" w:rsidRDefault="00397DE9" w:rsidP="00362380">
      <w:pPr>
        <w:pBdr>
          <w:top w:val="single" w:sz="4" w:space="1" w:color="auto"/>
          <w:left w:val="single" w:sz="4" w:space="4" w:color="auto"/>
          <w:bottom w:val="single" w:sz="4" w:space="1" w:color="auto"/>
          <w:right w:val="single" w:sz="4" w:space="4" w:color="auto"/>
        </w:pBdr>
        <w:suppressAutoHyphens/>
        <w:autoSpaceDN w:val="0"/>
        <w:spacing w:before="120" w:after="0" w:line="276" w:lineRule="auto"/>
        <w:jc w:val="both"/>
        <w:textAlignment w:val="baseline"/>
        <w:rPr>
          <w:rFonts w:eastAsia="Calibri" w:cs="Times New Roman"/>
          <w:szCs w:val="24"/>
        </w:rPr>
      </w:pPr>
      <w:r w:rsidRPr="00397DE9">
        <w:rPr>
          <w:rFonts w:eastAsia="Calibri" w:cs="Times New Roman"/>
          <w:szCs w:val="24"/>
        </w:rPr>
        <w:t>В българския софтуерен сектор  вече са инвестирали повече от 50 западноевропейски и американски компании, намерили свои партньори и/или дъщерни дружества, включително SAP-Labs, Software AG, Nemetschek AG, DocuWare AG, Bosch, VMWare, CSC, DXC Technology, Visteon (бивш Johnson Controls), Experian, HP, Infragistics, Seeburger GmbH и много други.</w:t>
      </w:r>
    </w:p>
    <w:p w14:paraId="11844CA4" w14:textId="6319C351" w:rsidR="00397DE9" w:rsidRPr="00397DE9" w:rsidRDefault="00397DE9" w:rsidP="00362380">
      <w:pPr>
        <w:pBdr>
          <w:top w:val="single" w:sz="4" w:space="1" w:color="auto"/>
          <w:left w:val="single" w:sz="4" w:space="4" w:color="auto"/>
          <w:bottom w:val="single" w:sz="4" w:space="1" w:color="auto"/>
          <w:right w:val="single" w:sz="4" w:space="4" w:color="auto"/>
        </w:pBdr>
        <w:suppressAutoHyphens/>
        <w:autoSpaceDN w:val="0"/>
        <w:spacing w:before="120" w:after="0" w:line="276" w:lineRule="auto"/>
        <w:jc w:val="both"/>
        <w:textAlignment w:val="baseline"/>
        <w:rPr>
          <w:rFonts w:eastAsia="Calibri" w:cs="Times New Roman"/>
          <w:szCs w:val="24"/>
        </w:rPr>
      </w:pPr>
      <w:r w:rsidRPr="00397DE9">
        <w:rPr>
          <w:rFonts w:eastAsia="Calibri" w:cs="Times New Roman"/>
          <w:szCs w:val="24"/>
        </w:rPr>
        <w:t>Около 100 000 души са ангажирани в българския ИТ сектор, от които около 60 000 са заети в центрове за аутскоринг от 1-во ниво (BPO, ITO, Call центрове, центрове за техническа поддръжка и др.) и около 35 000 като професионални софтуерни инженери.</w:t>
      </w:r>
    </w:p>
    <w:p w14:paraId="1B7CFB2F" w14:textId="77777777" w:rsidR="00397DE9" w:rsidRPr="00397DE9" w:rsidRDefault="00397DE9" w:rsidP="00362380">
      <w:pPr>
        <w:pBdr>
          <w:top w:val="single" w:sz="4" w:space="1" w:color="auto"/>
          <w:left w:val="single" w:sz="4" w:space="4" w:color="auto"/>
          <w:bottom w:val="single" w:sz="4" w:space="1" w:color="auto"/>
          <w:right w:val="single" w:sz="4" w:space="4" w:color="auto"/>
        </w:pBdr>
        <w:suppressAutoHyphens/>
        <w:autoSpaceDN w:val="0"/>
        <w:spacing w:before="120" w:after="0" w:line="276" w:lineRule="auto"/>
        <w:jc w:val="both"/>
        <w:textAlignment w:val="baseline"/>
        <w:rPr>
          <w:rFonts w:eastAsia="Calibri" w:cs="Times New Roman"/>
          <w:szCs w:val="24"/>
        </w:rPr>
      </w:pPr>
      <w:r w:rsidRPr="00397DE9">
        <w:rPr>
          <w:rFonts w:eastAsia="Calibri" w:cs="Times New Roman"/>
          <w:szCs w:val="24"/>
        </w:rPr>
        <w:t>Около 2 000 студенти завършват годишно ИТ и свързани с ИТ специалности в България и още 1 000 в Западна Европа (основно Германия) и САЩ. Работи се в тясно сътрудничество с българското правителство за установяване на работната процедура за Сините карти на ЕС и за настаняване на хиляди специалисти от Западните Балкани и бившите съветски страни.</w:t>
      </w:r>
    </w:p>
    <w:p w14:paraId="24BCF81E" w14:textId="77777777" w:rsidR="00397DE9" w:rsidRPr="00397DE9" w:rsidRDefault="00397DE9" w:rsidP="00362380">
      <w:pPr>
        <w:pBdr>
          <w:top w:val="single" w:sz="4" w:space="1" w:color="auto"/>
          <w:left w:val="single" w:sz="4" w:space="4" w:color="auto"/>
          <w:bottom w:val="single" w:sz="4" w:space="1" w:color="auto"/>
          <w:right w:val="single" w:sz="4" w:space="4" w:color="auto"/>
        </w:pBdr>
        <w:suppressAutoHyphens/>
        <w:autoSpaceDN w:val="0"/>
        <w:spacing w:before="120" w:after="0" w:line="276" w:lineRule="auto"/>
        <w:jc w:val="both"/>
        <w:textAlignment w:val="baseline"/>
        <w:rPr>
          <w:rFonts w:eastAsia="Calibri" w:cs="Times New Roman"/>
          <w:szCs w:val="24"/>
        </w:rPr>
      </w:pPr>
      <w:r w:rsidRPr="00397DE9">
        <w:rPr>
          <w:rFonts w:eastAsia="Calibri" w:cs="Times New Roman"/>
          <w:szCs w:val="24"/>
        </w:rPr>
        <w:t>Обхватът на заплатите е поне 3 пъти по-висок средно за България.</w:t>
      </w:r>
    </w:p>
    <w:p w14:paraId="5E000095" w14:textId="58FEAE49" w:rsidR="006C5FB2" w:rsidRDefault="00397DE9" w:rsidP="00362380">
      <w:pPr>
        <w:pBdr>
          <w:top w:val="single" w:sz="4" w:space="1" w:color="auto"/>
          <w:left w:val="single" w:sz="4" w:space="4" w:color="auto"/>
          <w:bottom w:val="single" w:sz="4" w:space="1" w:color="auto"/>
          <w:right w:val="single" w:sz="4" w:space="4" w:color="auto"/>
        </w:pBdr>
        <w:suppressAutoHyphens/>
        <w:autoSpaceDN w:val="0"/>
        <w:spacing w:before="120" w:after="0" w:line="276" w:lineRule="auto"/>
        <w:jc w:val="both"/>
        <w:textAlignment w:val="baseline"/>
      </w:pPr>
      <w:r w:rsidRPr="00397DE9">
        <w:rPr>
          <w:rFonts w:eastAsia="Calibri" w:cs="Times New Roman"/>
          <w:szCs w:val="24"/>
        </w:rPr>
        <w:lastRenderedPageBreak/>
        <w:t>Имаме най-ниското данъчно облагане в ЕС – плоски 10% данъци, както за личните доходи, така и за корпоративната печалба, най-доброто съотношение цена/качество за всички комуникационни линии – глас, данни, добре развит пазар на офис недвижими имоти с конкурентни цени, специален Закон за насърчаване на инвестициите, ToDo часова зона GMT +2:00 – 1 час разлика с Германия, 10+ полета на ден от големите  германски летища (Франкфурт, Мюнхен, Дюселдорф, Кьолн, Берлин) с продължителност максимум 2 часа. Правната рамка е напълно син</w:t>
      </w:r>
      <w:r w:rsidR="00FB072C">
        <w:rPr>
          <w:rFonts w:eastAsia="Calibri" w:cs="Times New Roman"/>
          <w:szCs w:val="24"/>
        </w:rPr>
        <w:t xml:space="preserve">хронизирана с директивите на ЕС, </w:t>
      </w:r>
      <w:r w:rsidRPr="00397DE9">
        <w:rPr>
          <w:rFonts w:eastAsia="Calibri" w:cs="Times New Roman"/>
          <w:szCs w:val="24"/>
        </w:rPr>
        <w:t>включително защита</w:t>
      </w:r>
      <w:r w:rsidR="00FB072C">
        <w:rPr>
          <w:rFonts w:eastAsia="Calibri" w:cs="Times New Roman"/>
          <w:szCs w:val="24"/>
        </w:rPr>
        <w:t>та</w:t>
      </w:r>
      <w:r w:rsidRPr="00397DE9">
        <w:rPr>
          <w:rFonts w:eastAsia="Calibri" w:cs="Times New Roman"/>
          <w:szCs w:val="24"/>
        </w:rPr>
        <w:t xml:space="preserve"> на </w:t>
      </w:r>
      <w:r w:rsidR="00FB072C">
        <w:rPr>
          <w:rFonts w:eastAsia="Calibri" w:cs="Times New Roman"/>
          <w:szCs w:val="24"/>
        </w:rPr>
        <w:t>правата на интелектуална собственост</w:t>
      </w:r>
      <w:r w:rsidR="003A2C53">
        <w:t>.</w:t>
      </w:r>
    </w:p>
    <w:p w14:paraId="008759AA" w14:textId="101BFDFB" w:rsidR="00397DE9" w:rsidRDefault="006C5FB2" w:rsidP="006C5FB2">
      <w:pPr>
        <w:suppressAutoHyphens/>
        <w:autoSpaceDN w:val="0"/>
        <w:spacing w:before="120" w:after="0" w:line="276" w:lineRule="auto"/>
        <w:textAlignment w:val="baseline"/>
        <w:rPr>
          <w:rFonts w:eastAsia="Calibri" w:cs="Times New Roman"/>
          <w:szCs w:val="24"/>
        </w:rPr>
      </w:pPr>
      <w:r w:rsidRPr="006C5FB2">
        <w:rPr>
          <w:i/>
        </w:rPr>
        <w:t>Източник БАСКОМ:</w:t>
      </w:r>
      <w:r w:rsidR="00E23F89">
        <w:rPr>
          <w:i/>
        </w:rPr>
        <w:t xml:space="preserve"> </w:t>
      </w:r>
      <w:hyperlink r:id="rId13" w:history="1">
        <w:r w:rsidR="00E23F89" w:rsidRPr="00C900D2">
          <w:rPr>
            <w:rStyle w:val="Hyperlink"/>
            <w:rFonts w:eastAsia="Calibri" w:cs="Times New Roman"/>
            <w:szCs w:val="24"/>
          </w:rPr>
          <w:t>https://www.basscom.org/RapidASPEditor/MyUploadDocs/BG_ICT&amp;BASSCOM_Indonesia_112021.pdf</w:t>
        </w:r>
      </w:hyperlink>
    </w:p>
    <w:p w14:paraId="78DCA44D" w14:textId="7A19DA96" w:rsidR="006A01ED" w:rsidRPr="00CB788A" w:rsidRDefault="00523F74" w:rsidP="00523F74">
      <w:pPr>
        <w:pStyle w:val="Heading1"/>
        <w:numPr>
          <w:ilvl w:val="0"/>
          <w:numId w:val="13"/>
        </w:numPr>
        <w:rPr>
          <w:noProof/>
        </w:rPr>
      </w:pPr>
      <w:r w:rsidRPr="00523F74">
        <w:rPr>
          <w:noProof/>
        </w:rPr>
        <w:t>Политическа програма</w:t>
      </w:r>
      <w:r w:rsidR="00512511">
        <w:rPr>
          <w:noProof/>
        </w:rPr>
        <w:t xml:space="preserve"> на ЕС</w:t>
      </w:r>
      <w:r w:rsidRPr="00523F74">
        <w:rPr>
          <w:noProof/>
        </w:rPr>
        <w:t xml:space="preserve"> до 2030 г. „Път към цифровото десетилетие“</w:t>
      </w:r>
    </w:p>
    <w:p w14:paraId="3C0CEA11" w14:textId="1ECB78AE" w:rsidR="006A01ED" w:rsidRPr="00E60B31" w:rsidRDefault="006A01ED" w:rsidP="00100874">
      <w:pPr>
        <w:spacing w:before="120" w:after="0" w:line="276" w:lineRule="auto"/>
        <w:jc w:val="both"/>
        <w:rPr>
          <w:rFonts w:eastAsia="Calibri" w:cs="Times New Roman"/>
          <w:szCs w:val="24"/>
          <w:lang w:eastAsia="bg-BG" w:bidi="bg-BG"/>
        </w:rPr>
      </w:pPr>
      <w:r w:rsidRPr="00E60B31">
        <w:rPr>
          <w:rFonts w:cs="Times New Roman"/>
          <w:noProof/>
          <w:szCs w:val="24"/>
        </w:rPr>
        <w:t xml:space="preserve">Намираме се в периода на </w:t>
      </w:r>
      <w:r w:rsidR="003B65BE">
        <w:rPr>
          <w:rFonts w:eastAsia="Calibri" w:cs="Times New Roman"/>
          <w:szCs w:val="24"/>
          <w:lang w:eastAsia="bg-BG" w:bidi="bg-BG"/>
        </w:rPr>
        <w:t>работа по</w:t>
      </w:r>
      <w:r w:rsidRPr="00E60B31">
        <w:rPr>
          <w:rFonts w:eastAsia="Calibri" w:cs="Times New Roman"/>
          <w:szCs w:val="24"/>
          <w:lang w:eastAsia="bg-BG" w:bidi="bg-BG"/>
        </w:rPr>
        <w:t xml:space="preserve"> Предложението за Решение на ЕП и на Съвета за създаване на </w:t>
      </w:r>
      <w:r w:rsidRPr="00E60B31">
        <w:rPr>
          <w:rFonts w:eastAsia="Calibri" w:cs="Times New Roman"/>
          <w:b/>
          <w:szCs w:val="24"/>
          <w:lang w:eastAsia="bg-BG" w:bidi="bg-BG"/>
        </w:rPr>
        <w:t xml:space="preserve">Политическа програма </w:t>
      </w:r>
      <w:r w:rsidR="005426F3">
        <w:rPr>
          <w:rFonts w:eastAsia="Calibri" w:cs="Times New Roman"/>
          <w:b/>
          <w:szCs w:val="24"/>
          <w:lang w:eastAsia="bg-BG" w:bidi="bg-BG"/>
        </w:rPr>
        <w:t xml:space="preserve">на ЕС </w:t>
      </w:r>
      <w:r w:rsidRPr="00E60B31">
        <w:rPr>
          <w:rFonts w:eastAsia="Calibri" w:cs="Times New Roman"/>
          <w:b/>
          <w:szCs w:val="24"/>
          <w:lang w:eastAsia="bg-BG" w:bidi="bg-BG"/>
        </w:rPr>
        <w:t>до 2030 г. „Път към цифровото десетилетие</w:t>
      </w:r>
      <w:r w:rsidRPr="00E60B31">
        <w:rPr>
          <w:rFonts w:eastAsia="Calibri" w:cs="Times New Roman"/>
          <w:szCs w:val="24"/>
          <w:lang w:eastAsia="bg-BG" w:bidi="bg-BG"/>
        </w:rPr>
        <w:t>“, чрез което се въвежда  стабилна рамка за управление въз основа на годишен механизъм за сътрудничество за постигане на целите в областта на цифровите умения, цифровите инфраструктури, цифровизацията на предприятията и обществените услуги. Програмата цели и формулирането и осъществяването на мащабни многонационални цифрови проекти, наблюдение за спазване на цифровите принципи, наблюдение на инфраструктурата и критично важни празноти в капацитета, изграждане на консенсус и др.</w:t>
      </w:r>
    </w:p>
    <w:p w14:paraId="567C5A27" w14:textId="6E77FF1B" w:rsidR="006A01ED" w:rsidRPr="00E60B31" w:rsidRDefault="006A01ED" w:rsidP="00100874">
      <w:pPr>
        <w:spacing w:before="120" w:after="0" w:line="276" w:lineRule="auto"/>
        <w:jc w:val="both"/>
        <w:rPr>
          <w:rFonts w:eastAsia="Calibri" w:cs="Times New Roman"/>
          <w:szCs w:val="24"/>
          <w:lang w:eastAsia="bg-BG" w:bidi="bg-BG"/>
        </w:rPr>
      </w:pPr>
      <w:r w:rsidRPr="00E60B31">
        <w:rPr>
          <w:rFonts w:eastAsia="Calibri" w:cs="Times New Roman"/>
          <w:szCs w:val="24"/>
          <w:lang w:eastAsia="bg-BG" w:bidi="bg-BG"/>
        </w:rPr>
        <w:t xml:space="preserve">Формулирани са четирите основни направления и определени конкретни цели, чието колективно постигане от държавите членки ще доведе до изпълнението на десетгодишния план за изграждане на цифрова Европа до 2030 г. </w:t>
      </w:r>
      <w:r w:rsidR="004870A0">
        <w:rPr>
          <w:rFonts w:eastAsia="Calibri" w:cs="Times New Roman"/>
          <w:szCs w:val="24"/>
          <w:lang w:eastAsia="bg-BG" w:bidi="bg-BG"/>
        </w:rPr>
        <w:t>ЕК</w:t>
      </w:r>
      <w:r w:rsidRPr="00E60B31">
        <w:rPr>
          <w:rFonts w:eastAsia="Calibri" w:cs="Times New Roman"/>
          <w:szCs w:val="24"/>
          <w:lang w:eastAsia="bg-BG" w:bidi="bg-BG"/>
        </w:rPr>
        <w:t xml:space="preserve"> и държавите членки ще определят траектории от междинни цели на ниво ЕС и на национално ниво за постигане на целите в периода до 2030 г.</w:t>
      </w:r>
    </w:p>
    <w:p w14:paraId="7B9B6B0C" w14:textId="77777777"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t xml:space="preserve">Цифровият преход и внедряването на иновативни технологии са решаващи елементи на устойчивия растеж, а добрата цифровата инфраструктура и високоскоростната свързаност предоставят нови възможности за подобряване на социално-икономическото състояние. Поради това приветстваме усилията на Европа за предоставяне на повече възможности за предприятията и гражданите в едно ориентирано към човека, устойчиво и изпълнено с по-голям просперитет цифрово бъдеще, изразени в Съобщението на ЕК „Цифров компас до 2030 г.: Европейският път за цифровото десетилетие“ и предложението за Решение за създаване на </w:t>
      </w:r>
      <w:r w:rsidRPr="00E60B31">
        <w:rPr>
          <w:rFonts w:cs="Times New Roman"/>
          <w:bCs/>
          <w:noProof/>
          <w:szCs w:val="24"/>
        </w:rPr>
        <w:t>Политическа програма до 2030</w:t>
      </w:r>
      <w:r w:rsidRPr="00E60B31">
        <w:rPr>
          <w:rFonts w:cs="Times New Roman"/>
          <w:noProof/>
          <w:szCs w:val="24"/>
        </w:rPr>
        <w:t xml:space="preserve"> г</w:t>
      </w:r>
      <w:r w:rsidRPr="00E60B31">
        <w:rPr>
          <w:rFonts w:cs="Times New Roman"/>
          <w:bCs/>
          <w:noProof/>
          <w:szCs w:val="24"/>
        </w:rPr>
        <w:t xml:space="preserve"> „Път към цифровото десетилетие“ (</w:t>
      </w:r>
      <w:r w:rsidRPr="00E60B31">
        <w:rPr>
          <w:rFonts w:eastAsia="Times New Roman" w:cs="Times New Roman"/>
          <w:szCs w:val="24"/>
        </w:rPr>
        <w:t>Програма за цифрова политика)</w:t>
      </w:r>
      <w:r w:rsidRPr="00E60B31">
        <w:rPr>
          <w:rFonts w:cs="Times New Roman"/>
          <w:noProof/>
          <w:szCs w:val="24"/>
        </w:rPr>
        <w:t xml:space="preserve">. </w:t>
      </w:r>
    </w:p>
    <w:p w14:paraId="1466A63F" w14:textId="79024F01"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t>Политическата програма въвежда нова рамка за управление, тясно сътрудничество и ефективна координация между ЕК и държавите членки. Този стратегически модел е от изключителна важност за създаване на подходящи връзки между държавите членки на политическо и експертно ниво за успешното изпълнение на многонационалните проекти и подпомагане на гражданите и бизнеса.</w:t>
      </w:r>
    </w:p>
    <w:p w14:paraId="41046E2B" w14:textId="77777777"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lastRenderedPageBreak/>
        <w:t>Активният обмен на информация и добри практики между ДЧ ще даде тласък на развитието на цифровите инфраструктури, цифровата трансформация на бизнеса, цифровите услуги и умения на ниво Европейски съюз. Особено важна е ролята на ЕК, която следва да подкрепя усилията като отчита националните специфики.</w:t>
      </w:r>
    </w:p>
    <w:p w14:paraId="620332B3" w14:textId="77777777" w:rsidR="006A01ED" w:rsidRPr="00E60B31" w:rsidRDefault="006A01ED" w:rsidP="00100874">
      <w:pPr>
        <w:spacing w:before="120" w:after="0" w:line="276" w:lineRule="auto"/>
        <w:jc w:val="both"/>
        <w:rPr>
          <w:rFonts w:eastAsia="Times New Roman" w:cs="Times New Roman"/>
          <w:szCs w:val="24"/>
        </w:rPr>
      </w:pPr>
      <w:r w:rsidRPr="00E60B31">
        <w:rPr>
          <w:rFonts w:eastAsia="Times New Roman" w:cs="Times New Roman"/>
          <w:szCs w:val="24"/>
        </w:rPr>
        <w:t>Българската страна приветства възможността за отворен диалог с Европейската комисия (ЕК) и заинтересованите страни, а и по-тясното сътрудничество между държавите членки и обмяната на опит, което е стимул за постигане на цифровите цели. В процеса на преговори по досието следва да се избягва създаването на излишна административна тежест, дублиращи се структури или задачи, като следва да се отчита и реалността относно ресурсите, социално-икономически, географски, демографски и др. различия.</w:t>
      </w:r>
    </w:p>
    <w:p w14:paraId="2FBCD704" w14:textId="3148CB7E" w:rsidR="006A01ED" w:rsidRPr="00E60B31" w:rsidRDefault="006A01ED" w:rsidP="00100874">
      <w:pPr>
        <w:spacing w:before="120" w:after="0" w:line="276" w:lineRule="auto"/>
        <w:jc w:val="both"/>
        <w:rPr>
          <w:rFonts w:eastAsia="Times New Roman" w:cs="Times New Roman"/>
          <w:szCs w:val="24"/>
        </w:rPr>
      </w:pPr>
      <w:r w:rsidRPr="00E60B31">
        <w:rPr>
          <w:rFonts w:cs="Times New Roman"/>
          <w:noProof/>
          <w:szCs w:val="24"/>
        </w:rPr>
        <w:t>Оценяваме високо</w:t>
      </w:r>
      <w:r w:rsidRPr="00E60B31">
        <w:rPr>
          <w:rFonts w:eastAsia="Times New Roman" w:cs="Times New Roman"/>
          <w:szCs w:val="24"/>
        </w:rPr>
        <w:t xml:space="preserve"> гъвкавостта, която предложената Програма за цифрова политика дава на държавите членки за постигане на целите, заложени в Цифровия компас на ЕС, както и това, че тези цели са свързани с конкретни области, където напредъкът следва да се извърши колективно в рамките на ЕС. От важно значение е, че Комисията отчита разликите между потенциала на отделните държави членки да допринесат за изпълнението на цифровите цели като цяло, което ще залегне и в планираните национални траектории по смисъла на </w:t>
      </w:r>
      <w:r w:rsidRPr="00037097">
        <w:rPr>
          <w:rFonts w:eastAsia="Times New Roman" w:cs="Times New Roman"/>
          <w:szCs w:val="24"/>
        </w:rPr>
        <w:t>предложението. Българската страна счита, че аспектите, свързани с националната специфика може да се подсилят допълнително в Решението, а не само в съображения, като по този начин различните фактори и особености в отделните страни ще окажат пряко влияние върху графиката на изпълнението. В този смисъл, от съществено значение</w:t>
      </w:r>
      <w:r w:rsidRPr="00E60B31">
        <w:rPr>
          <w:rFonts w:eastAsia="Times New Roman" w:cs="Times New Roman"/>
          <w:szCs w:val="24"/>
        </w:rPr>
        <w:t xml:space="preserve"> са ключовите индикатори за изпълнение на цифровите цели, които се залагат в предвидените актове за изпълнение и средствата за тяхното постигане да са реалистични. Главна цел на тази инициатива следва да е преодоляването на фрагментацията, а не нейното задълбочаване, като се има предвид, че по повод вече зададените цифрови цели, стартовата позиция на отделните ДЧ не е една и съща, и ако за едни страни целите не са достатъчно амбициозни, за други може да се окажат непостижими. </w:t>
      </w:r>
      <w:r w:rsidRPr="00953D7B">
        <w:rPr>
          <w:rFonts w:eastAsia="Times New Roman" w:cs="Times New Roman"/>
          <w:szCs w:val="24"/>
        </w:rPr>
        <w:t xml:space="preserve">В тази връзка, намираме за необходимо </w:t>
      </w:r>
      <w:r w:rsidR="00953D7B" w:rsidRPr="00953D7B">
        <w:rPr>
          <w:rFonts w:eastAsia="Times New Roman" w:cs="Times New Roman"/>
          <w:szCs w:val="24"/>
        </w:rPr>
        <w:t xml:space="preserve">финансовото обезпечаване на </w:t>
      </w:r>
      <w:r w:rsidRPr="00953D7B">
        <w:rPr>
          <w:rFonts w:eastAsia="Times New Roman" w:cs="Times New Roman"/>
          <w:szCs w:val="24"/>
        </w:rPr>
        <w:t>политиките, мерките и</w:t>
      </w:r>
      <w:r w:rsidR="00953D7B" w:rsidRPr="00953D7B">
        <w:rPr>
          <w:rFonts w:eastAsia="Times New Roman" w:cs="Times New Roman"/>
          <w:szCs w:val="24"/>
        </w:rPr>
        <w:t xml:space="preserve"> действията на национално ниво </w:t>
      </w:r>
      <w:r w:rsidRPr="00953D7B">
        <w:rPr>
          <w:rFonts w:eastAsia="Times New Roman" w:cs="Times New Roman"/>
          <w:szCs w:val="24"/>
        </w:rPr>
        <w:t>да е сред задължителните критерии, а не сред възможните, както ЕК предлага в своето законодателно предложение.</w:t>
      </w:r>
    </w:p>
    <w:p w14:paraId="7A91940F" w14:textId="77777777"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t>Важни стъпки на национално ниво са осигуряване на сигурна и ефективна цифрова свързаност на достъпна цена, предлагане на по-голям брой цифрови публични услуги и стимулиране на населението и бизнеса за използване им. За постигането на тези цели е необходимо да се гарантира наличието на гъвкави финансови механизми за финансиране на изграждането на критична, сигурна, безопасна и надеждна публична инфраструктура (включително и международна) като предпоставка за осигуряване на високо качество на живот и нови възможности за икономическо и социално развитие.</w:t>
      </w:r>
    </w:p>
    <w:p w14:paraId="3DE9FAF6" w14:textId="77777777"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t>България счита, че системата за мониторинг, предложена за целите на цифровия компас трябва да бъде в синхрон с Индекса за навлизането на цифровите технологии в икономиката и обществото (DESI). Подкрепяме идеята з</w:t>
      </w:r>
      <w:r w:rsidRPr="00E60B31">
        <w:rPr>
          <w:rFonts w:cs="Times New Roman"/>
          <w:szCs w:val="24"/>
        </w:rPr>
        <w:t xml:space="preserve">а тази цел част от измеренията и показателите на DESI да бъдат приведени в съответствие с целите, определени в Решението. </w:t>
      </w:r>
      <w:r w:rsidRPr="00E60B31">
        <w:rPr>
          <w:rFonts w:cs="Times New Roman"/>
          <w:noProof/>
          <w:szCs w:val="24"/>
        </w:rPr>
        <w:t xml:space="preserve">Относно мониторинга чрез DESI за някои държави членки е по-добре да се оценява и сравнява качеството на свързаността в дадени райони, а не само покритието. </w:t>
      </w:r>
      <w:r w:rsidRPr="00E60B31">
        <w:rPr>
          <w:rFonts w:cs="Times New Roman"/>
          <w:noProof/>
          <w:szCs w:val="24"/>
        </w:rPr>
        <w:lastRenderedPageBreak/>
        <w:t>Същевременно подчертаваме необходимостта от гъвкави целеви индикатори в бъдещите актове за изпълнение по чл. 5, като се преследват възможно най-големи цели според националните специфики, а не толкова количествени, които могат да бъдат покрити изцяло само от големите държави и тогава ролята на по-малките се губи. Не случайно в други актове на ЕС вече се въвеждат изисквания и за качеството на услугите, тъй като поради недостатъчния капацитет на мрежите в много държави се влошава качеството на услугата, за да се приоритизират местните потребители.</w:t>
      </w:r>
    </w:p>
    <w:p w14:paraId="544D7E6A" w14:textId="534C3077"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t>Подкрепяме идеята д</w:t>
      </w:r>
      <w:r w:rsidR="00A07764">
        <w:rPr>
          <w:rFonts w:cs="Times New Roman"/>
          <w:szCs w:val="24"/>
        </w:rPr>
        <w:t xml:space="preserve">о 2026 </w:t>
      </w:r>
      <w:r w:rsidRPr="00E60B31">
        <w:rPr>
          <w:rFonts w:cs="Times New Roman"/>
          <w:szCs w:val="24"/>
        </w:rPr>
        <w:t xml:space="preserve">г. </w:t>
      </w:r>
      <w:r w:rsidR="00A07764">
        <w:rPr>
          <w:rFonts w:cs="Times New Roman"/>
          <w:szCs w:val="24"/>
        </w:rPr>
        <w:t>ЕК</w:t>
      </w:r>
      <w:r w:rsidRPr="00E60B31">
        <w:rPr>
          <w:rFonts w:cs="Times New Roman"/>
          <w:szCs w:val="24"/>
        </w:rPr>
        <w:t xml:space="preserve"> да преразгледа целите, за да отчете промените в технологичното, икономическото и общественото развитие.</w:t>
      </w:r>
    </w:p>
    <w:p w14:paraId="3BF79A8D" w14:textId="1C2A20D0" w:rsidR="006A01ED" w:rsidRPr="00E60B31" w:rsidRDefault="006A01ED" w:rsidP="00100874">
      <w:pPr>
        <w:spacing w:before="120" w:after="0" w:line="276" w:lineRule="auto"/>
        <w:jc w:val="both"/>
        <w:rPr>
          <w:rFonts w:cs="Times New Roman"/>
          <w:noProof/>
          <w:szCs w:val="24"/>
        </w:rPr>
      </w:pPr>
      <w:r w:rsidRPr="00E60B31">
        <w:rPr>
          <w:rFonts w:cs="Times New Roman"/>
          <w:szCs w:val="24"/>
        </w:rPr>
        <w:t xml:space="preserve">Българската страна участва активно в преговорния процес по предложението на ЕК, за да се договорят балансирани и ориентирани към практическото изпълнение текстове. Ще се включи конструктивно в обсъжданията с останалите държави членки относно сроковете за изпълнение на ангажиментите, като в момента ЕК е предвидила пет месеца преди публикуването на доклада за състоянието на цифровото десетилетие държавите членки да представят на Комисията национални стратегически пътни карти за цифровото десетилетие, в които да се очертаят основните съществуващи и планирани политики, мерки и действия за постигане на целите и задачите на цифровото десетилетие; прогнозни национални траектории въз основа на насоките, предоставени от </w:t>
      </w:r>
      <w:r w:rsidR="00631A31">
        <w:rPr>
          <w:rFonts w:cs="Times New Roman"/>
          <w:szCs w:val="24"/>
        </w:rPr>
        <w:t>ЕК</w:t>
      </w:r>
      <w:r w:rsidRPr="00E60B31">
        <w:rPr>
          <w:rFonts w:cs="Times New Roman"/>
          <w:szCs w:val="24"/>
        </w:rPr>
        <w:t xml:space="preserve"> в тясно сътрудничество с държавите членки; график за изпълнението на планираните политики, мерки и действия, включително оценка на това кога се очаква тези политики и мерки да окажат въздействие по отношение на постигането на целите; общ преглед на инвестициите, необходими за постигане на целите, задачите и приноса, определени в националните пътни карти, както и обща оценка на източниците на тези инвестиции. Подобна инициатива ще създаде структуриран подход за постигане на общоевропейските цели, но следва да се минимизират административните усилия като се използват максимално вече съществуващите на ниво ЕС и на национално ниво политики и инструменти. </w:t>
      </w:r>
    </w:p>
    <w:p w14:paraId="24F0D83C" w14:textId="22FA92B6"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t>Относно цифровите принципи, България счита, че те трябва да се базират на основните права на човека, които следва да се зачитат онлайн така, както и  офлайн. Основният им фокус следва да бъде насърчаване на достъпа до отворени и сигурни цифрови технологии и прилагане на подход с много заинтересовани страни, в който е включено гражданското общество. Публичните услуги трябва да бъдат стабилни, устойчиви и достъпни за всички граждани. Целите за цифровата трансформацията на Европа ще трябва да бъдат подкрепени от усилия за изграждане на информационна и киберсигурност.</w:t>
      </w:r>
    </w:p>
    <w:p w14:paraId="46A43470" w14:textId="77777777"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t xml:space="preserve">Приемаме предложението на ЕК за ускоряване и улесняване на стартирането на многонационални, широкомащабни проекти, които нито една държава членка не би могла да разработи самостоятелно, с оглед постигнане на целите и задачите в областта на цифровите технологии. </w:t>
      </w:r>
      <w:r w:rsidRPr="00E60B31">
        <w:rPr>
          <w:rFonts w:cs="Times New Roman"/>
          <w:szCs w:val="24"/>
        </w:rPr>
        <w:t>Многонационалните проекти ще позволят на държавите членки да работят заедно и да обединят ресурсите си за изграждане на цифров капацитет в области, които са от основно значение за укрепване на цифровия суверенитет на Европа и за нейното възстановяване, но следва да са ясни условията и правилата за тяхната реализация.</w:t>
      </w:r>
    </w:p>
    <w:p w14:paraId="247C80D5" w14:textId="77777777"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lastRenderedPageBreak/>
        <w:t xml:space="preserve">Намираме за резонна възможността за съчетаване на инвестиците от ЕС, включително от Механизма за възстановяване и устойчивост, от държавите членки и от частния сектор; възможностите за преодоляване на пропуски в критичния капацитет на ЕС; подпомагане развитието на един взаимносвързан, оперативно съвместим и сигурен цифров единен пазар. </w:t>
      </w:r>
    </w:p>
    <w:p w14:paraId="5767448B" w14:textId="77777777"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t xml:space="preserve">Подкрепяме първоначално изготвения списък от </w:t>
      </w:r>
      <w:r w:rsidRPr="00E60B31">
        <w:rPr>
          <w:rFonts w:cs="Times New Roman"/>
          <w:szCs w:val="24"/>
        </w:rPr>
        <w:t xml:space="preserve">Комисията с многонационални проекти, който включва различни области на инвестиции, като инфраструктура за данни, процесори с ниска консумация на енергия, </w:t>
      </w:r>
      <w:hyperlink r:id="rId14" w:history="1">
        <w:r w:rsidRPr="00E60B31">
          <w:rPr>
            <w:rStyle w:val="Hyperlink"/>
            <w:rFonts w:cs="Times New Roman"/>
            <w:szCs w:val="24"/>
          </w:rPr>
          <w:t>5G комуникации</w:t>
        </w:r>
      </w:hyperlink>
      <w:r w:rsidRPr="00E60B31">
        <w:rPr>
          <w:rFonts w:cs="Times New Roman"/>
          <w:szCs w:val="24"/>
        </w:rPr>
        <w:t xml:space="preserve">, </w:t>
      </w:r>
      <w:hyperlink r:id="rId15" w:history="1">
        <w:r w:rsidRPr="00E60B31">
          <w:rPr>
            <w:rStyle w:val="Hyperlink"/>
            <w:rFonts w:cs="Times New Roman"/>
            <w:szCs w:val="24"/>
          </w:rPr>
          <w:t>високопроизводителни изчислителни технологии</w:t>
        </w:r>
      </w:hyperlink>
      <w:r w:rsidRPr="00E60B31">
        <w:rPr>
          <w:rFonts w:cs="Times New Roman"/>
          <w:szCs w:val="24"/>
        </w:rPr>
        <w:t xml:space="preserve">, сигурна квантова комуникация, </w:t>
      </w:r>
      <w:hyperlink r:id="rId16" w:history="1">
        <w:r w:rsidRPr="00E60B31">
          <w:rPr>
            <w:rStyle w:val="Hyperlink"/>
            <w:rFonts w:cs="Times New Roman"/>
            <w:szCs w:val="24"/>
          </w:rPr>
          <w:t>публична администрация</w:t>
        </w:r>
      </w:hyperlink>
      <w:r w:rsidRPr="00E60B31">
        <w:rPr>
          <w:rFonts w:cs="Times New Roman"/>
          <w:szCs w:val="24"/>
        </w:rPr>
        <w:t xml:space="preserve">, </w:t>
      </w:r>
      <w:hyperlink r:id="rId17" w:history="1">
        <w:r w:rsidRPr="00E60B31">
          <w:rPr>
            <w:rStyle w:val="Hyperlink"/>
            <w:rFonts w:cs="Times New Roman"/>
            <w:szCs w:val="24"/>
          </w:rPr>
          <w:t>блокчейн</w:t>
        </w:r>
      </w:hyperlink>
      <w:r w:rsidRPr="00E60B31">
        <w:rPr>
          <w:rFonts w:cs="Times New Roman"/>
          <w:szCs w:val="24"/>
        </w:rPr>
        <w:t xml:space="preserve">, </w:t>
      </w:r>
      <w:hyperlink r:id="rId18" w:history="1">
        <w:r w:rsidRPr="00E60B31">
          <w:rPr>
            <w:rStyle w:val="Hyperlink"/>
            <w:rFonts w:cs="Times New Roman"/>
            <w:szCs w:val="24"/>
          </w:rPr>
          <w:t>центрове за цифрови иновации</w:t>
        </w:r>
      </w:hyperlink>
      <w:r w:rsidRPr="00E60B31">
        <w:rPr>
          <w:rFonts w:cs="Times New Roman"/>
          <w:szCs w:val="24"/>
        </w:rPr>
        <w:t xml:space="preserve"> и </w:t>
      </w:r>
      <w:hyperlink r:id="rId19" w:history="1">
        <w:r w:rsidRPr="00E60B31">
          <w:rPr>
            <w:rStyle w:val="Hyperlink"/>
            <w:rFonts w:cs="Times New Roman"/>
            <w:szCs w:val="24"/>
          </w:rPr>
          <w:t>цифрови умения</w:t>
        </w:r>
      </w:hyperlink>
      <w:r w:rsidRPr="00E60B31">
        <w:rPr>
          <w:rFonts w:cs="Times New Roman"/>
          <w:szCs w:val="24"/>
        </w:rPr>
        <w:t>.</w:t>
      </w:r>
    </w:p>
    <w:p w14:paraId="2FBD682E" w14:textId="77777777" w:rsidR="006A01ED" w:rsidRPr="00E60B31" w:rsidRDefault="006A01ED" w:rsidP="00100874">
      <w:pPr>
        <w:spacing w:before="120" w:after="0" w:line="276" w:lineRule="auto"/>
        <w:jc w:val="both"/>
        <w:rPr>
          <w:rFonts w:cs="Times New Roman"/>
          <w:noProof/>
          <w:szCs w:val="24"/>
        </w:rPr>
      </w:pPr>
      <w:r w:rsidRPr="00E60B31">
        <w:rPr>
          <w:rFonts w:cs="Times New Roman"/>
          <w:noProof/>
          <w:szCs w:val="24"/>
        </w:rPr>
        <w:t>Намираме за резонно ЕК чрез годишнен „Доклад за състоянието на цифровото десетилетие“ да представя необходимата информация за напредъка в процеса на цифрова трансформация на Европа като се посочват препоръки по отношение на политиките, мерките и действията.</w:t>
      </w:r>
    </w:p>
    <w:p w14:paraId="105284D4" w14:textId="33525B4D" w:rsidR="006A01ED" w:rsidRPr="00E60B31" w:rsidRDefault="006A01ED" w:rsidP="00100874">
      <w:pPr>
        <w:spacing w:before="120" w:after="0" w:line="276" w:lineRule="auto"/>
        <w:jc w:val="both"/>
        <w:rPr>
          <w:rFonts w:cs="Times New Roman"/>
          <w:noProof/>
          <w:szCs w:val="24"/>
        </w:rPr>
      </w:pPr>
      <w:r w:rsidRPr="00E60B31">
        <w:rPr>
          <w:rFonts w:cs="Times New Roman"/>
          <w:szCs w:val="24"/>
        </w:rPr>
        <w:t>България подкрепя идеята за създаване на нова структура - консорциум за европейска цифрова инфраструктура, която ще позволи разработване и изпълнение на многонационални проекти. Считаме, че начинът на създаване и функциониране на консорциумите следва да гарантира гъвкавост и равнопоставеност във финансов и юридически аспект.</w:t>
      </w:r>
    </w:p>
    <w:p w14:paraId="48BE83DE" w14:textId="4E4F330C" w:rsidR="006A01ED" w:rsidRDefault="006A01ED" w:rsidP="00100874">
      <w:pPr>
        <w:spacing w:before="120" w:after="0" w:line="276" w:lineRule="auto"/>
        <w:jc w:val="both"/>
        <w:rPr>
          <w:rFonts w:cs="Times New Roman"/>
          <w:noProof/>
          <w:szCs w:val="24"/>
          <w:lang w:bidi="bg-BG"/>
        </w:rPr>
      </w:pPr>
      <w:r w:rsidRPr="00E60B31">
        <w:rPr>
          <w:rFonts w:cs="Times New Roman"/>
          <w:noProof/>
          <w:szCs w:val="24"/>
          <w:lang w:bidi="bg-BG"/>
        </w:rPr>
        <w:t xml:space="preserve">Изпълнението на предвидените в документа конкретни стъпки ще доведе до насърчаване на развитието, използването и внедряването на вътрешния пазар на цифрови технологии, при високо ниво на защита на обществените интереси, като здраве и безопасност и защитата на основните права, признати и защитени от правото на Съюза, което е важна стъпка към изграждането на единен пазар в ЕС и неговото правилно функциониране. Тези стъпки ще спомогнат за изграждането на доверие и формулирането на устойчиви политики за активно взаимодействие между администрацията, бизнеса и гражданите при гарантирано спазване на правилата на ЕС, включително тези за защита на основните човешки права и правата на потребителите. Това ще допринесе и за ускоряване на цифровата трансформация на икономическите и обществените сектори и извличане на максимални ползи от цифровия преход като по-добри възможности за стопанска дейност </w:t>
      </w:r>
      <w:bookmarkStart w:id="5" w:name="_Hlk92116017"/>
      <w:r w:rsidRPr="00E60B31">
        <w:rPr>
          <w:rFonts w:cs="Times New Roman"/>
          <w:noProof/>
          <w:szCs w:val="24"/>
          <w:lang w:bidi="bg-BG"/>
        </w:rPr>
        <w:t xml:space="preserve">и висококачествени публични услуги. </w:t>
      </w:r>
    </w:p>
    <w:p w14:paraId="4F662ABA" w14:textId="77777777" w:rsidR="00AE1156" w:rsidRDefault="00AE1156" w:rsidP="00100874">
      <w:pPr>
        <w:spacing w:before="120" w:after="0" w:line="276" w:lineRule="auto"/>
        <w:jc w:val="both"/>
        <w:rPr>
          <w:rFonts w:cs="Times New Roman"/>
          <w:noProof/>
          <w:szCs w:val="24"/>
          <w:lang w:bidi="bg-BG"/>
        </w:rPr>
      </w:pPr>
    </w:p>
    <w:tbl>
      <w:tblPr>
        <w:tblStyle w:val="TableGrid1"/>
        <w:tblW w:w="0" w:type="auto"/>
        <w:tblLook w:val="04A0" w:firstRow="1" w:lastRow="0" w:firstColumn="1" w:lastColumn="0" w:noHBand="0" w:noVBand="1"/>
      </w:tblPr>
      <w:tblGrid>
        <w:gridCol w:w="9063"/>
      </w:tblGrid>
      <w:tr w:rsidR="006A01ED" w:rsidRPr="00CB788A" w14:paraId="5743CFB0" w14:textId="77777777" w:rsidTr="004D25C2">
        <w:tc>
          <w:tcPr>
            <w:tcW w:w="9063" w:type="dxa"/>
            <w:shd w:val="clear" w:color="auto" w:fill="D9E2F3" w:themeFill="accent5" w:themeFillTint="33"/>
          </w:tcPr>
          <w:p w14:paraId="4FD5C718" w14:textId="13AF4731" w:rsidR="006A01ED" w:rsidRPr="00CB788A" w:rsidRDefault="006A01ED" w:rsidP="004D25C2">
            <w:pPr>
              <w:spacing w:before="120" w:line="276" w:lineRule="auto"/>
              <w:rPr>
                <w:rFonts w:eastAsia="Times New Roman" w:cs="Times New Roman"/>
                <w:i/>
                <w:noProof/>
                <w:lang w:val="bg-BG"/>
              </w:rPr>
            </w:pPr>
            <w:r w:rsidRPr="00CB788A">
              <w:rPr>
                <w:rFonts w:eastAsia="Times New Roman" w:cs="Times New Roman"/>
                <w:i/>
                <w:noProof/>
                <w:lang w:val="bg-BG"/>
              </w:rPr>
              <w:t>Параметри на Курса към цифровото десетилетие</w:t>
            </w:r>
            <w:r w:rsidR="004D25C2">
              <w:rPr>
                <w:rFonts w:eastAsia="Times New Roman" w:cs="Times New Roman"/>
                <w:i/>
                <w:noProof/>
                <w:lang w:val="bg-BG"/>
              </w:rPr>
              <w:t>/</w:t>
            </w:r>
            <w:r w:rsidRPr="00CB788A">
              <w:rPr>
                <w:rFonts w:eastAsia="Times New Roman" w:cs="Times New Roman"/>
                <w:i/>
                <w:noProof/>
                <w:lang w:val="bg-BG"/>
              </w:rPr>
              <w:t>Цифровия компас на десетилетието до 2030г.:</w:t>
            </w:r>
          </w:p>
        </w:tc>
      </w:tr>
      <w:tr w:rsidR="006A01ED" w:rsidRPr="00CB788A" w14:paraId="455230BE" w14:textId="77777777" w:rsidTr="004D25C2">
        <w:tc>
          <w:tcPr>
            <w:tcW w:w="9063" w:type="dxa"/>
            <w:shd w:val="clear" w:color="auto" w:fill="D9E2F3" w:themeFill="accent5" w:themeFillTint="33"/>
          </w:tcPr>
          <w:p w14:paraId="05987877" w14:textId="435FABCB" w:rsidR="006A01ED" w:rsidRPr="00CB788A" w:rsidRDefault="006A01ED" w:rsidP="00100874">
            <w:pPr>
              <w:spacing w:before="120" w:line="276" w:lineRule="auto"/>
              <w:jc w:val="both"/>
              <w:rPr>
                <w:rFonts w:eastAsia="Times New Roman" w:cs="Times New Roman"/>
                <w:noProof/>
              </w:rPr>
            </w:pPr>
            <w:r w:rsidRPr="00CB788A">
              <w:rPr>
                <w:rFonts w:eastAsia="Times New Roman" w:cs="Times New Roman"/>
                <w:b/>
                <w:noProof/>
              </w:rPr>
              <w:t>Умения</w:t>
            </w:r>
          </w:p>
        </w:tc>
      </w:tr>
      <w:tr w:rsidR="006A01ED" w:rsidRPr="00CB788A" w14:paraId="045D6098" w14:textId="77777777" w:rsidTr="004D25C2">
        <w:tc>
          <w:tcPr>
            <w:tcW w:w="9063" w:type="dxa"/>
            <w:shd w:val="clear" w:color="auto" w:fill="D9E2F3" w:themeFill="accent5" w:themeFillTint="33"/>
          </w:tcPr>
          <w:p w14:paraId="7D24B5BF"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ИКТ специалисти: 20 млн.+ конвергенция на половете</w:t>
            </w:r>
          </w:p>
        </w:tc>
      </w:tr>
      <w:tr w:rsidR="006A01ED" w:rsidRPr="00CB788A" w14:paraId="3720BE4E" w14:textId="77777777" w:rsidTr="004D25C2">
        <w:tc>
          <w:tcPr>
            <w:tcW w:w="9063" w:type="dxa"/>
            <w:shd w:val="clear" w:color="auto" w:fill="D9E2F3" w:themeFill="accent5" w:themeFillTint="33"/>
          </w:tcPr>
          <w:p w14:paraId="0D4F529B"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Базови цифрови умения: мин. 80% от населението</w:t>
            </w:r>
          </w:p>
        </w:tc>
      </w:tr>
      <w:tr w:rsidR="006A01ED" w:rsidRPr="00CB788A" w14:paraId="424569E6" w14:textId="77777777" w:rsidTr="004D25C2">
        <w:tc>
          <w:tcPr>
            <w:tcW w:w="9063" w:type="dxa"/>
            <w:shd w:val="clear" w:color="auto" w:fill="D9E2F3" w:themeFill="accent5" w:themeFillTint="33"/>
          </w:tcPr>
          <w:p w14:paraId="7F001C2A" w14:textId="6F3957BB" w:rsidR="006A01ED" w:rsidRPr="00CB788A" w:rsidRDefault="007F1CD2" w:rsidP="00100874">
            <w:pPr>
              <w:spacing w:before="120" w:line="276" w:lineRule="auto"/>
              <w:jc w:val="both"/>
              <w:rPr>
                <w:rFonts w:eastAsia="Times New Roman" w:cs="Times New Roman"/>
                <w:b/>
                <w:noProof/>
              </w:rPr>
            </w:pPr>
            <w:r>
              <w:rPr>
                <w:rFonts w:eastAsia="Times New Roman" w:cs="Times New Roman"/>
                <w:b/>
                <w:noProof/>
              </w:rPr>
              <w:t>Инфраструктура</w:t>
            </w:r>
            <w:r w:rsidR="006A01ED" w:rsidRPr="00CB788A">
              <w:rPr>
                <w:rFonts w:eastAsia="Times New Roman" w:cs="Times New Roman"/>
                <w:b/>
                <w:noProof/>
              </w:rPr>
              <w:t xml:space="preserve"> </w:t>
            </w:r>
          </w:p>
        </w:tc>
      </w:tr>
      <w:tr w:rsidR="006A01ED" w:rsidRPr="00CB788A" w14:paraId="1ED8580E" w14:textId="77777777" w:rsidTr="004D25C2">
        <w:tc>
          <w:tcPr>
            <w:tcW w:w="9063" w:type="dxa"/>
            <w:shd w:val="clear" w:color="auto" w:fill="D9E2F3" w:themeFill="accent5" w:themeFillTint="33"/>
          </w:tcPr>
          <w:p w14:paraId="7BFC7318"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Свързаност</w:t>
            </w:r>
            <w:r w:rsidRPr="00BB2AAD">
              <w:rPr>
                <w:rFonts w:eastAsia="Times New Roman" w:cs="Times New Roman"/>
                <w:b/>
                <w:noProof/>
                <w:lang w:val="bg-BG"/>
              </w:rPr>
              <w:t xml:space="preserve">: </w:t>
            </w:r>
            <w:r w:rsidRPr="00BB2AAD">
              <w:rPr>
                <w:rFonts w:eastAsia="Times New Roman" w:cs="Times New Roman"/>
                <w:noProof/>
                <w:lang w:val="bg-BG"/>
              </w:rPr>
              <w:t>гигабит за всеки; 5</w:t>
            </w:r>
            <w:r w:rsidRPr="00CB788A">
              <w:rPr>
                <w:rFonts w:eastAsia="Times New Roman" w:cs="Times New Roman"/>
                <w:noProof/>
              </w:rPr>
              <w:t>G</w:t>
            </w:r>
            <w:r w:rsidRPr="00BB2AAD">
              <w:rPr>
                <w:rFonts w:eastAsia="Times New Roman" w:cs="Times New Roman"/>
                <w:noProof/>
                <w:lang w:val="bg-BG"/>
              </w:rPr>
              <w:t xml:space="preserve"> навсякъде</w:t>
            </w:r>
          </w:p>
        </w:tc>
      </w:tr>
      <w:tr w:rsidR="006A01ED" w:rsidRPr="00CB788A" w14:paraId="3EC16A65" w14:textId="77777777" w:rsidTr="004D25C2">
        <w:tc>
          <w:tcPr>
            <w:tcW w:w="9063" w:type="dxa"/>
            <w:shd w:val="clear" w:color="auto" w:fill="D9E2F3" w:themeFill="accent5" w:themeFillTint="33"/>
          </w:tcPr>
          <w:p w14:paraId="6CB6E022"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Авангардни полупроводници: удвояване дела на ЕС в глобалната продукция;</w:t>
            </w:r>
          </w:p>
        </w:tc>
      </w:tr>
      <w:tr w:rsidR="006A01ED" w:rsidRPr="00CB788A" w14:paraId="3FB89CC6" w14:textId="77777777" w:rsidTr="004D25C2">
        <w:tc>
          <w:tcPr>
            <w:tcW w:w="9063" w:type="dxa"/>
            <w:shd w:val="clear" w:color="auto" w:fill="D9E2F3" w:themeFill="accent5" w:themeFillTint="33"/>
          </w:tcPr>
          <w:p w14:paraId="1D1B69DA"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 xml:space="preserve">Данни - периферия и облак:10 000 климатично неутрални с висока степен на сигурност </w:t>
            </w:r>
            <w:r w:rsidRPr="00BB2AAD">
              <w:rPr>
                <w:rFonts w:eastAsia="Times New Roman" w:cs="Times New Roman"/>
                <w:noProof/>
                <w:lang w:val="bg-BG"/>
              </w:rPr>
              <w:lastRenderedPageBreak/>
              <w:t xml:space="preserve">периферни възли </w:t>
            </w:r>
          </w:p>
        </w:tc>
      </w:tr>
      <w:tr w:rsidR="006A01ED" w:rsidRPr="00CB788A" w14:paraId="7E627C4A" w14:textId="77777777" w:rsidTr="004D25C2">
        <w:tc>
          <w:tcPr>
            <w:tcW w:w="9063" w:type="dxa"/>
            <w:shd w:val="clear" w:color="auto" w:fill="D9E2F3" w:themeFill="accent5" w:themeFillTint="33"/>
          </w:tcPr>
          <w:p w14:paraId="286323D5"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lastRenderedPageBreak/>
              <w:t>Изчисления: първи компютър с квантово ускоряване</w:t>
            </w:r>
          </w:p>
        </w:tc>
      </w:tr>
      <w:tr w:rsidR="006A01ED" w:rsidRPr="00CB788A" w14:paraId="469D81D3" w14:textId="77777777" w:rsidTr="004D25C2">
        <w:tc>
          <w:tcPr>
            <w:tcW w:w="9063" w:type="dxa"/>
            <w:shd w:val="clear" w:color="auto" w:fill="D9E2F3" w:themeFill="accent5" w:themeFillTint="33"/>
          </w:tcPr>
          <w:p w14:paraId="449C98C4" w14:textId="0D2AD4E2" w:rsidR="006A01ED" w:rsidRPr="00CB788A" w:rsidRDefault="007F1CD2" w:rsidP="00100874">
            <w:pPr>
              <w:spacing w:before="120" w:line="276" w:lineRule="auto"/>
              <w:jc w:val="both"/>
              <w:rPr>
                <w:rFonts w:eastAsia="Times New Roman" w:cs="Times New Roman"/>
                <w:b/>
                <w:noProof/>
              </w:rPr>
            </w:pPr>
            <w:r>
              <w:rPr>
                <w:rFonts w:eastAsia="Times New Roman" w:cs="Times New Roman"/>
                <w:b/>
                <w:noProof/>
              </w:rPr>
              <w:t>Бизнес</w:t>
            </w:r>
          </w:p>
        </w:tc>
      </w:tr>
      <w:tr w:rsidR="006A01ED" w:rsidRPr="00CB788A" w14:paraId="0FB91506" w14:textId="77777777" w:rsidTr="004D25C2">
        <w:tc>
          <w:tcPr>
            <w:tcW w:w="9063" w:type="dxa"/>
            <w:shd w:val="clear" w:color="auto" w:fill="D9E2F3" w:themeFill="accent5" w:themeFillTint="33"/>
          </w:tcPr>
          <w:p w14:paraId="238A67B3"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Навлизане на технологиите: 75% от ЕС компаниите да използват облак, ИИ, големи данни;</w:t>
            </w:r>
          </w:p>
        </w:tc>
      </w:tr>
      <w:tr w:rsidR="006A01ED" w:rsidRPr="00CB788A" w14:paraId="1AF57856" w14:textId="77777777" w:rsidTr="004D25C2">
        <w:tc>
          <w:tcPr>
            <w:tcW w:w="9063" w:type="dxa"/>
            <w:shd w:val="clear" w:color="auto" w:fill="D9E2F3" w:themeFill="accent5" w:themeFillTint="33"/>
          </w:tcPr>
          <w:p w14:paraId="4A68363C"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Иноватори: растеж и финансиране за удвояване на ЕС еднорози;</w:t>
            </w:r>
          </w:p>
        </w:tc>
      </w:tr>
      <w:tr w:rsidR="006A01ED" w:rsidRPr="00CB788A" w14:paraId="2DEB24EB" w14:textId="77777777" w:rsidTr="004D25C2">
        <w:tc>
          <w:tcPr>
            <w:tcW w:w="9063" w:type="dxa"/>
            <w:shd w:val="clear" w:color="auto" w:fill="D9E2F3" w:themeFill="accent5" w:themeFillTint="33"/>
          </w:tcPr>
          <w:p w14:paraId="56163B3B"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Изоставащи: повече от 90% от европейските МСП да достигнат поне базово ниво на цифров интензитет</w:t>
            </w:r>
          </w:p>
        </w:tc>
      </w:tr>
      <w:tr w:rsidR="006A01ED" w:rsidRPr="00CB788A" w14:paraId="0DF9FABA" w14:textId="77777777" w:rsidTr="004D25C2">
        <w:tc>
          <w:tcPr>
            <w:tcW w:w="9063" w:type="dxa"/>
            <w:shd w:val="clear" w:color="auto" w:fill="D9E2F3" w:themeFill="accent5" w:themeFillTint="33"/>
          </w:tcPr>
          <w:p w14:paraId="1B28F98B" w14:textId="6BD9982A" w:rsidR="006A01ED" w:rsidRPr="00CB788A" w:rsidRDefault="006A01ED" w:rsidP="00100874">
            <w:pPr>
              <w:spacing w:before="120" w:line="276" w:lineRule="auto"/>
              <w:jc w:val="both"/>
              <w:rPr>
                <w:rFonts w:eastAsia="Times New Roman" w:cs="Times New Roman"/>
                <w:noProof/>
              </w:rPr>
            </w:pPr>
            <w:r w:rsidRPr="00CB788A">
              <w:rPr>
                <w:rFonts w:eastAsia="Times New Roman" w:cs="Times New Roman"/>
                <w:b/>
                <w:noProof/>
              </w:rPr>
              <w:t>Обществени услуги</w:t>
            </w:r>
            <w:r w:rsidRPr="00CB788A">
              <w:rPr>
                <w:rFonts w:eastAsia="Times New Roman" w:cs="Times New Roman"/>
                <w:noProof/>
              </w:rPr>
              <w:t xml:space="preserve"> </w:t>
            </w:r>
          </w:p>
        </w:tc>
      </w:tr>
      <w:tr w:rsidR="006A01ED" w:rsidRPr="00CB788A" w14:paraId="0D6698A9" w14:textId="77777777" w:rsidTr="004D25C2">
        <w:tc>
          <w:tcPr>
            <w:tcW w:w="9063" w:type="dxa"/>
            <w:shd w:val="clear" w:color="auto" w:fill="D9E2F3" w:themeFill="accent5" w:themeFillTint="33"/>
          </w:tcPr>
          <w:p w14:paraId="4A147202" w14:textId="77777777" w:rsidR="006A01ED" w:rsidRPr="00CB788A" w:rsidRDefault="006A01ED" w:rsidP="00100874">
            <w:pPr>
              <w:spacing w:before="120" w:line="276" w:lineRule="auto"/>
              <w:contextualSpacing/>
              <w:jc w:val="both"/>
              <w:rPr>
                <w:rFonts w:eastAsia="Times New Roman" w:cs="Times New Roman"/>
                <w:noProof/>
              </w:rPr>
            </w:pPr>
            <w:r w:rsidRPr="00CB788A">
              <w:rPr>
                <w:rFonts w:eastAsia="Times New Roman" w:cs="Times New Roman"/>
                <w:noProof/>
              </w:rPr>
              <w:t>Ключови обществени услуги:100% онлайн</w:t>
            </w:r>
          </w:p>
        </w:tc>
      </w:tr>
      <w:tr w:rsidR="006A01ED" w:rsidRPr="00CB788A" w14:paraId="4AFAC7EA" w14:textId="77777777" w:rsidTr="004D25C2">
        <w:tc>
          <w:tcPr>
            <w:tcW w:w="9063" w:type="dxa"/>
            <w:shd w:val="clear" w:color="auto" w:fill="D9E2F3" w:themeFill="accent5" w:themeFillTint="33"/>
          </w:tcPr>
          <w:p w14:paraId="33FB4E62"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Е-здравеопазване: 100% наличие на медицински досиета</w:t>
            </w:r>
          </w:p>
        </w:tc>
      </w:tr>
      <w:tr w:rsidR="006A01ED" w:rsidRPr="00CB788A" w14:paraId="13B587EE" w14:textId="77777777" w:rsidTr="004D25C2">
        <w:tc>
          <w:tcPr>
            <w:tcW w:w="9063" w:type="dxa"/>
            <w:shd w:val="clear" w:color="auto" w:fill="D9E2F3" w:themeFill="accent5" w:themeFillTint="33"/>
          </w:tcPr>
          <w:p w14:paraId="11D42C56" w14:textId="77777777" w:rsidR="006A01ED" w:rsidRPr="00BB2AAD" w:rsidRDefault="006A01ED" w:rsidP="00100874">
            <w:pPr>
              <w:spacing w:before="120" w:line="276" w:lineRule="auto"/>
              <w:contextualSpacing/>
              <w:jc w:val="both"/>
              <w:rPr>
                <w:rFonts w:eastAsia="Times New Roman" w:cs="Times New Roman"/>
                <w:noProof/>
                <w:lang w:val="bg-BG"/>
              </w:rPr>
            </w:pPr>
            <w:r w:rsidRPr="00BB2AAD">
              <w:rPr>
                <w:rFonts w:eastAsia="Times New Roman" w:cs="Times New Roman"/>
                <w:noProof/>
                <w:lang w:val="bg-BG"/>
              </w:rPr>
              <w:t>Цифрова идентичност:80% граждани използващи цифрова идентичност</w:t>
            </w:r>
          </w:p>
        </w:tc>
      </w:tr>
      <w:tr w:rsidR="006A01ED" w:rsidRPr="00CB788A" w14:paraId="64630716" w14:textId="77777777" w:rsidTr="004D25C2">
        <w:tc>
          <w:tcPr>
            <w:tcW w:w="9063" w:type="dxa"/>
            <w:shd w:val="clear" w:color="auto" w:fill="auto"/>
          </w:tcPr>
          <w:p w14:paraId="362C8124" w14:textId="77777777" w:rsidR="006A01ED" w:rsidRPr="00BB2AAD" w:rsidRDefault="006A01ED" w:rsidP="00100874">
            <w:pPr>
              <w:spacing w:before="120" w:line="276" w:lineRule="auto"/>
              <w:contextualSpacing/>
              <w:jc w:val="both"/>
              <w:rPr>
                <w:rFonts w:eastAsia="Times New Roman" w:cs="Times New Roman"/>
                <w:noProof/>
                <w:lang w:val="bg-BG"/>
              </w:rPr>
            </w:pPr>
          </w:p>
        </w:tc>
      </w:tr>
      <w:tr w:rsidR="006A01ED" w:rsidRPr="00CB788A" w14:paraId="7E1FF9C7" w14:textId="77777777" w:rsidTr="004D25C2">
        <w:tc>
          <w:tcPr>
            <w:tcW w:w="9063" w:type="dxa"/>
            <w:shd w:val="clear" w:color="auto" w:fill="D9E2F3" w:themeFill="accent5" w:themeFillTint="33"/>
          </w:tcPr>
          <w:p w14:paraId="4613BBFF" w14:textId="77777777" w:rsidR="006A01ED" w:rsidRPr="00CB788A" w:rsidRDefault="006A01ED" w:rsidP="007F1CD2">
            <w:pPr>
              <w:spacing w:before="120" w:line="276" w:lineRule="auto"/>
              <w:jc w:val="center"/>
              <w:rPr>
                <w:rFonts w:eastAsia="Times New Roman" w:cs="Times New Roman"/>
                <w:b/>
                <w:bCs/>
                <w:noProof/>
                <w:u w:val="single"/>
              </w:rPr>
            </w:pPr>
            <w:r w:rsidRPr="00CB788A">
              <w:rPr>
                <w:rFonts w:eastAsia="Times New Roman" w:cs="Times New Roman"/>
                <w:b/>
                <w:bCs/>
                <w:noProof/>
                <w:u w:val="single"/>
              </w:rPr>
              <w:t>Цели по области</w:t>
            </w:r>
          </w:p>
        </w:tc>
      </w:tr>
      <w:tr w:rsidR="006A01ED" w:rsidRPr="00CB788A" w14:paraId="3DAFC61F" w14:textId="77777777" w:rsidTr="004D25C2">
        <w:tc>
          <w:tcPr>
            <w:tcW w:w="9063" w:type="dxa"/>
            <w:shd w:val="clear" w:color="auto" w:fill="D9E2F3" w:themeFill="accent5" w:themeFillTint="33"/>
          </w:tcPr>
          <w:p w14:paraId="2BBE46D3"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УМЕНИЯ В ОБЛАСТТА НА ЦИФРОВИТЕ ТЕХНОЛОГИИ</w:t>
            </w:r>
          </w:p>
        </w:tc>
      </w:tr>
      <w:tr w:rsidR="006A01ED" w:rsidRPr="00CB788A" w14:paraId="794ADB09" w14:textId="77777777" w:rsidTr="004D25C2">
        <w:tc>
          <w:tcPr>
            <w:tcW w:w="9063" w:type="dxa"/>
            <w:shd w:val="clear" w:color="auto" w:fill="D9E2F3" w:themeFill="accent5" w:themeFillTint="33"/>
          </w:tcPr>
          <w:p w14:paraId="1B507951" w14:textId="77777777" w:rsidR="006A01ED" w:rsidRPr="00BB2AAD" w:rsidRDefault="006A01ED" w:rsidP="00100874">
            <w:pPr>
              <w:spacing w:before="120" w:line="276" w:lineRule="auto"/>
              <w:jc w:val="both"/>
              <w:rPr>
                <w:rFonts w:eastAsia="Times New Roman" w:cs="Times New Roman"/>
                <w:noProof/>
                <w:lang w:val="bg-BG" w:eastAsia="bg-BG"/>
              </w:rPr>
            </w:pPr>
            <w:r w:rsidRPr="00BB2AAD">
              <w:rPr>
                <w:rFonts w:eastAsia="Times New Roman" w:cs="Times New Roman"/>
                <w:bCs/>
                <w:noProof/>
                <w:lang w:val="bg-BG" w:eastAsia="bg-BG"/>
              </w:rPr>
              <w:t xml:space="preserve">Възрастни с основни цифрови умения: </w:t>
            </w:r>
            <w:r w:rsidRPr="00BB2AAD">
              <w:rPr>
                <w:rFonts w:eastAsia="Times New Roman" w:cs="Times New Roman"/>
                <w:noProof/>
                <w:lang w:val="bg-BG"/>
              </w:rPr>
              <w:t>сега 56%,  цел 80%</w:t>
            </w:r>
          </w:p>
        </w:tc>
      </w:tr>
      <w:tr w:rsidR="006A01ED" w:rsidRPr="00CB788A" w14:paraId="7200BE28" w14:textId="77777777" w:rsidTr="004D25C2">
        <w:tc>
          <w:tcPr>
            <w:tcW w:w="9063" w:type="dxa"/>
            <w:shd w:val="clear" w:color="auto" w:fill="D9E2F3" w:themeFill="accent5" w:themeFillTint="33"/>
          </w:tcPr>
          <w:p w14:paraId="47C1D477"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Наети специалисти по ИКТ: сега 8,4 млн., цел 20 млн.</w:t>
            </w:r>
          </w:p>
        </w:tc>
      </w:tr>
      <w:tr w:rsidR="006A01ED" w:rsidRPr="00CB788A" w14:paraId="11B8A7FA" w14:textId="77777777" w:rsidTr="004D25C2">
        <w:tc>
          <w:tcPr>
            <w:tcW w:w="9063" w:type="dxa"/>
            <w:shd w:val="clear" w:color="auto" w:fill="D9E2F3" w:themeFill="accent5" w:themeFillTint="33"/>
          </w:tcPr>
          <w:p w14:paraId="218BF813" w14:textId="77777777" w:rsidR="006A01ED" w:rsidRPr="00CB788A" w:rsidRDefault="006A01ED" w:rsidP="00100874">
            <w:pPr>
              <w:spacing w:before="120" w:line="276" w:lineRule="auto"/>
              <w:jc w:val="both"/>
              <w:rPr>
                <w:rFonts w:eastAsia="Times New Roman" w:cs="Times New Roman"/>
                <w:noProof/>
              </w:rPr>
            </w:pPr>
            <w:r w:rsidRPr="00CB788A">
              <w:rPr>
                <w:rFonts w:eastAsia="Times New Roman" w:cs="Times New Roman"/>
                <w:noProof/>
              </w:rPr>
              <w:t>ЦИФРОВИ ИНФРАСТРУКТУРИ</w:t>
            </w:r>
          </w:p>
        </w:tc>
      </w:tr>
      <w:tr w:rsidR="006A01ED" w:rsidRPr="00CB788A" w14:paraId="47BC14C9" w14:textId="77777777" w:rsidTr="004D25C2">
        <w:tc>
          <w:tcPr>
            <w:tcW w:w="9063" w:type="dxa"/>
            <w:shd w:val="clear" w:color="auto" w:fill="D9E2F3" w:themeFill="accent5" w:themeFillTint="33"/>
          </w:tcPr>
          <w:p w14:paraId="7410E8B3"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Покритие от гигабитови мрежи: сега 59 %, цел 100% от домакинствата</w:t>
            </w:r>
          </w:p>
        </w:tc>
      </w:tr>
      <w:tr w:rsidR="006A01ED" w:rsidRPr="00CB788A" w14:paraId="7500CA78" w14:textId="77777777" w:rsidTr="004D25C2">
        <w:tc>
          <w:tcPr>
            <w:tcW w:w="9063" w:type="dxa"/>
            <w:shd w:val="clear" w:color="auto" w:fill="D9E2F3" w:themeFill="accent5" w:themeFillTint="33"/>
          </w:tcPr>
          <w:p w14:paraId="1576434E"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Покритие на 5</w:t>
            </w:r>
            <w:r w:rsidRPr="00CB788A">
              <w:rPr>
                <w:rFonts w:eastAsia="Times New Roman" w:cs="Times New Roman"/>
                <w:noProof/>
              </w:rPr>
              <w:t>G</w:t>
            </w:r>
            <w:r w:rsidRPr="00BB2AAD">
              <w:rPr>
                <w:rFonts w:eastAsia="Times New Roman" w:cs="Times New Roman"/>
                <w:noProof/>
                <w:lang w:val="bg-BG"/>
              </w:rPr>
              <w:t xml:space="preserve"> мрежа: сега 14%, цел 100% от населените места</w:t>
            </w:r>
          </w:p>
        </w:tc>
      </w:tr>
      <w:tr w:rsidR="006A01ED" w:rsidRPr="00CB788A" w14:paraId="35FF3D69" w14:textId="77777777" w:rsidTr="004D25C2">
        <w:tc>
          <w:tcPr>
            <w:tcW w:w="9063" w:type="dxa"/>
            <w:shd w:val="clear" w:color="auto" w:fill="D9E2F3" w:themeFill="accent5" w:themeFillTint="33"/>
          </w:tcPr>
          <w:p w14:paraId="3A645435"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Производство в ЕС на полупроводници, вкл. процесори: сега10 %, цел &gt; 21 % от световното производство в стойностно изражение</w:t>
            </w:r>
          </w:p>
        </w:tc>
      </w:tr>
      <w:tr w:rsidR="006A01ED" w:rsidRPr="00CB788A" w14:paraId="0AACC086" w14:textId="77777777" w:rsidTr="004D25C2">
        <w:tc>
          <w:tcPr>
            <w:tcW w:w="9063" w:type="dxa"/>
            <w:shd w:val="clear" w:color="auto" w:fill="D9E2F3" w:themeFill="accent5" w:themeFillTint="33"/>
          </w:tcPr>
          <w:p w14:paraId="1BE3BBEA"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В ЕС има 10 000 периферни възела, осигуряващи по-добра, сигурна и устойчива обработка на данни.</w:t>
            </w:r>
          </w:p>
        </w:tc>
      </w:tr>
      <w:tr w:rsidR="006A01ED" w:rsidRPr="00CB788A" w14:paraId="014FFE36" w14:textId="77777777" w:rsidTr="004D25C2">
        <w:tc>
          <w:tcPr>
            <w:tcW w:w="9063" w:type="dxa"/>
            <w:shd w:val="clear" w:color="auto" w:fill="D9E2F3" w:themeFill="accent5" w:themeFillTint="33"/>
          </w:tcPr>
          <w:p w14:paraId="20629738"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До 2025 г. първият компютър на ЕС с квантово ускоряване ще проправи пътя за най-модерни квантови решения</w:t>
            </w:r>
          </w:p>
        </w:tc>
      </w:tr>
      <w:tr w:rsidR="006A01ED" w:rsidRPr="00CB788A" w14:paraId="225C1D24" w14:textId="77777777" w:rsidTr="004D25C2">
        <w:tc>
          <w:tcPr>
            <w:tcW w:w="9063" w:type="dxa"/>
            <w:shd w:val="clear" w:color="auto" w:fill="D9E2F3" w:themeFill="accent5" w:themeFillTint="33"/>
          </w:tcPr>
          <w:p w14:paraId="74D8204D" w14:textId="77777777" w:rsidR="006A01ED" w:rsidRPr="00CB788A" w:rsidRDefault="006A01ED" w:rsidP="00100874">
            <w:pPr>
              <w:spacing w:before="120" w:line="276" w:lineRule="auto"/>
              <w:jc w:val="both"/>
              <w:rPr>
                <w:rFonts w:eastAsia="Times New Roman" w:cs="Times New Roman"/>
                <w:noProof/>
              </w:rPr>
            </w:pPr>
            <w:r w:rsidRPr="00CB788A">
              <w:rPr>
                <w:rFonts w:eastAsia="Times New Roman" w:cs="Times New Roman"/>
                <w:noProof/>
              </w:rPr>
              <w:t>ЦИФРОВА ТРАНСФОРМАЦИЯ НА ПРЕДПРИЯТИЯТА</w:t>
            </w:r>
          </w:p>
        </w:tc>
      </w:tr>
      <w:tr w:rsidR="006A01ED" w:rsidRPr="00CB788A" w14:paraId="41C9762F" w14:textId="77777777" w:rsidTr="004D25C2">
        <w:tc>
          <w:tcPr>
            <w:tcW w:w="9063" w:type="dxa"/>
            <w:shd w:val="clear" w:color="auto" w:fill="D9E2F3" w:themeFill="accent5" w:themeFillTint="33"/>
          </w:tcPr>
          <w:p w14:paraId="42D6B423" w14:textId="77777777" w:rsidR="006A01ED" w:rsidRPr="00CB788A" w:rsidRDefault="006A01ED" w:rsidP="0017095B">
            <w:pPr>
              <w:rPr>
                <w:noProof/>
              </w:rPr>
            </w:pPr>
            <w:bookmarkStart w:id="6" w:name="bookmark66"/>
            <w:bookmarkStart w:id="7" w:name="bookmark67"/>
            <w:bookmarkStart w:id="8" w:name="_Toc92274323"/>
            <w:r w:rsidRPr="00CB788A">
              <w:rPr>
                <w:noProof/>
                <w:lang w:eastAsia="bg-BG"/>
              </w:rPr>
              <w:t>П</w:t>
            </w:r>
            <w:bookmarkEnd w:id="6"/>
            <w:bookmarkEnd w:id="7"/>
            <w:r w:rsidRPr="00CB788A">
              <w:rPr>
                <w:noProof/>
                <w:lang w:eastAsia="bg-BG"/>
              </w:rPr>
              <w:t>редприятия, които използват:</w:t>
            </w:r>
            <w:bookmarkEnd w:id="8"/>
          </w:p>
        </w:tc>
      </w:tr>
      <w:tr w:rsidR="006A01ED" w:rsidRPr="00CB788A" w14:paraId="548D05A9" w14:textId="77777777" w:rsidTr="004D25C2">
        <w:tc>
          <w:tcPr>
            <w:tcW w:w="9063" w:type="dxa"/>
            <w:shd w:val="clear" w:color="auto" w:fill="D9E2F3" w:themeFill="accent5" w:themeFillTint="33"/>
          </w:tcPr>
          <w:p w14:paraId="68C7D040" w14:textId="77777777" w:rsidR="006A01ED" w:rsidRPr="00BB2AAD" w:rsidRDefault="006A01ED" w:rsidP="00100874">
            <w:pPr>
              <w:spacing w:before="120" w:line="276" w:lineRule="auto"/>
              <w:jc w:val="both"/>
              <w:rPr>
                <w:rFonts w:eastAsia="Times New Roman" w:cs="Times New Roman"/>
                <w:bCs/>
                <w:noProof/>
                <w:lang w:val="bg-BG" w:eastAsia="bg-BG"/>
              </w:rPr>
            </w:pPr>
            <w:r w:rsidRPr="00BB2AAD">
              <w:rPr>
                <w:rFonts w:eastAsia="Times New Roman" w:cs="Times New Roman"/>
                <w:bCs/>
                <w:noProof/>
                <w:lang w:val="bg-BG" w:eastAsia="bg-BG"/>
              </w:rPr>
              <w:t>Изчислителни услуги „в облак“: сега 26 %, цел 75%</w:t>
            </w:r>
          </w:p>
        </w:tc>
      </w:tr>
      <w:tr w:rsidR="006A01ED" w:rsidRPr="00CB788A" w14:paraId="5C489E43" w14:textId="77777777" w:rsidTr="004D25C2">
        <w:tc>
          <w:tcPr>
            <w:tcW w:w="9063" w:type="dxa"/>
            <w:shd w:val="clear" w:color="auto" w:fill="D9E2F3" w:themeFill="accent5" w:themeFillTint="33"/>
          </w:tcPr>
          <w:p w14:paraId="411EF924" w14:textId="77777777" w:rsidR="006A01ED" w:rsidRPr="00BB2AAD" w:rsidRDefault="006A01ED" w:rsidP="00100874">
            <w:pPr>
              <w:spacing w:before="120" w:line="276" w:lineRule="auto"/>
              <w:jc w:val="both"/>
              <w:rPr>
                <w:rFonts w:eastAsia="Times New Roman" w:cs="Times New Roman"/>
                <w:bCs/>
                <w:noProof/>
                <w:lang w:val="bg-BG" w:eastAsia="bg-BG"/>
              </w:rPr>
            </w:pPr>
            <w:r w:rsidRPr="00BB2AAD">
              <w:rPr>
                <w:rFonts w:eastAsia="Times New Roman" w:cs="Times New Roman"/>
                <w:bCs/>
                <w:noProof/>
                <w:lang w:val="bg-BG" w:eastAsia="bg-BG"/>
              </w:rPr>
              <w:t>Големи информационни масиви: сега 14 %, цел 75 %</w:t>
            </w:r>
          </w:p>
        </w:tc>
      </w:tr>
      <w:tr w:rsidR="006A01ED" w:rsidRPr="00CB788A" w14:paraId="4D95C4FC" w14:textId="77777777" w:rsidTr="004D25C2">
        <w:tc>
          <w:tcPr>
            <w:tcW w:w="9063" w:type="dxa"/>
            <w:shd w:val="clear" w:color="auto" w:fill="D9E2F3" w:themeFill="accent5" w:themeFillTint="33"/>
          </w:tcPr>
          <w:p w14:paraId="68EC556A" w14:textId="77777777" w:rsidR="006A01ED" w:rsidRPr="00CB788A" w:rsidRDefault="006A01ED" w:rsidP="00100874">
            <w:pPr>
              <w:spacing w:before="120" w:line="276" w:lineRule="auto"/>
              <w:jc w:val="both"/>
              <w:rPr>
                <w:rFonts w:eastAsia="Times New Roman" w:cs="Times New Roman"/>
                <w:noProof/>
                <w:lang w:eastAsia="bg-BG"/>
              </w:rPr>
            </w:pPr>
            <w:r w:rsidRPr="00CB788A">
              <w:rPr>
                <w:rFonts w:eastAsia="Times New Roman" w:cs="Times New Roman"/>
                <w:bCs/>
                <w:noProof/>
                <w:lang w:eastAsia="bg-BG"/>
              </w:rPr>
              <w:t>Изкуствен интелект</w:t>
            </w:r>
            <w:r w:rsidRPr="00CB788A">
              <w:rPr>
                <w:rFonts w:eastAsia="Times New Roman" w:cs="Times New Roman"/>
                <w:noProof/>
                <w:lang w:eastAsia="bg-BG"/>
              </w:rPr>
              <w:t xml:space="preserve">: </w:t>
            </w:r>
            <w:r w:rsidRPr="00CB788A">
              <w:rPr>
                <w:rFonts w:eastAsia="Times New Roman" w:cs="Times New Roman"/>
                <w:noProof/>
              </w:rPr>
              <w:t>сега 25 %,</w:t>
            </w:r>
            <w:r w:rsidRPr="00CB788A">
              <w:rPr>
                <w:rFonts w:eastAsia="Times New Roman" w:cs="Times New Roman"/>
                <w:noProof/>
                <w:lang w:eastAsia="bg-BG"/>
              </w:rPr>
              <w:t xml:space="preserve"> </w:t>
            </w:r>
            <w:r w:rsidRPr="00CB788A">
              <w:rPr>
                <w:rFonts w:eastAsia="Times New Roman" w:cs="Times New Roman"/>
                <w:noProof/>
              </w:rPr>
              <w:t>цел75 %</w:t>
            </w:r>
          </w:p>
        </w:tc>
      </w:tr>
      <w:tr w:rsidR="006A01ED" w:rsidRPr="00CB788A" w14:paraId="375F9CEA" w14:textId="77777777" w:rsidTr="004D25C2">
        <w:tc>
          <w:tcPr>
            <w:tcW w:w="9063" w:type="dxa"/>
            <w:shd w:val="clear" w:color="auto" w:fill="D9E2F3" w:themeFill="accent5" w:themeFillTint="33"/>
          </w:tcPr>
          <w:p w14:paraId="05B2CC98" w14:textId="77777777" w:rsidR="006A01ED" w:rsidRPr="00BB2AAD" w:rsidRDefault="006A01ED" w:rsidP="00100874">
            <w:pPr>
              <w:spacing w:before="120" w:line="276" w:lineRule="auto"/>
              <w:jc w:val="both"/>
              <w:rPr>
                <w:rFonts w:eastAsia="Times New Roman" w:cs="Times New Roman"/>
                <w:noProof/>
                <w:lang w:val="bg-BG" w:eastAsia="bg-BG"/>
              </w:rPr>
            </w:pPr>
            <w:r w:rsidRPr="00BB2AAD">
              <w:rPr>
                <w:rFonts w:eastAsia="Times New Roman" w:cs="Times New Roman"/>
                <w:bCs/>
                <w:noProof/>
                <w:lang w:val="bg-BG" w:eastAsia="bg-BG"/>
              </w:rPr>
              <w:t>МСП с поне базово равнище на цифров интензитет:</w:t>
            </w:r>
            <w:r w:rsidRPr="00BB2AAD">
              <w:rPr>
                <w:rFonts w:eastAsia="Times New Roman" w:cs="Times New Roman"/>
                <w:noProof/>
                <w:lang w:val="bg-BG" w:eastAsia="bg-BG"/>
              </w:rPr>
              <w:t xml:space="preserve"> </w:t>
            </w:r>
            <w:r w:rsidRPr="00BB2AAD">
              <w:rPr>
                <w:rFonts w:eastAsia="Times New Roman" w:cs="Times New Roman"/>
                <w:noProof/>
                <w:lang w:val="bg-BG"/>
              </w:rPr>
              <w:t>сега 60%,</w:t>
            </w:r>
            <w:r w:rsidRPr="00BB2AAD">
              <w:rPr>
                <w:rFonts w:eastAsia="Times New Roman" w:cs="Times New Roman"/>
                <w:noProof/>
                <w:lang w:val="bg-BG" w:eastAsia="bg-BG"/>
              </w:rPr>
              <w:t xml:space="preserve"> </w:t>
            </w:r>
            <w:r w:rsidRPr="00BB2AAD">
              <w:rPr>
                <w:rFonts w:eastAsia="Times New Roman" w:cs="Times New Roman"/>
                <w:noProof/>
                <w:lang w:val="bg-BG"/>
              </w:rPr>
              <w:t>цел &gt;90%</w:t>
            </w:r>
          </w:p>
        </w:tc>
      </w:tr>
      <w:tr w:rsidR="006A01ED" w:rsidRPr="00CB788A" w14:paraId="0BC59D8F" w14:textId="77777777" w:rsidTr="004D25C2">
        <w:tc>
          <w:tcPr>
            <w:tcW w:w="9063" w:type="dxa"/>
            <w:shd w:val="clear" w:color="auto" w:fill="D9E2F3" w:themeFill="accent5" w:themeFillTint="33"/>
          </w:tcPr>
          <w:p w14:paraId="6A13919A" w14:textId="77777777" w:rsidR="006A01ED" w:rsidRPr="00BB2AAD" w:rsidRDefault="006A01ED" w:rsidP="00100874">
            <w:pPr>
              <w:spacing w:before="120" w:line="276" w:lineRule="auto"/>
              <w:jc w:val="both"/>
              <w:rPr>
                <w:rFonts w:eastAsia="Times New Roman" w:cs="Times New Roman"/>
                <w:bCs/>
                <w:noProof/>
                <w:lang w:val="bg-BG" w:eastAsia="bg-BG"/>
              </w:rPr>
            </w:pPr>
            <w:r w:rsidRPr="00BB2AAD">
              <w:rPr>
                <w:rFonts w:eastAsia="Times New Roman" w:cs="Times New Roman"/>
                <w:bCs/>
                <w:noProof/>
                <w:lang w:val="bg-BG" w:eastAsia="bg-BG"/>
              </w:rPr>
              <w:t xml:space="preserve">Съществуват сега 122, </w:t>
            </w:r>
            <w:r w:rsidRPr="00BB2AAD">
              <w:rPr>
                <w:rFonts w:eastAsia="Times New Roman" w:cs="Times New Roman"/>
                <w:noProof/>
                <w:lang w:val="bg-BG" w:eastAsia="bg-BG"/>
              </w:rPr>
              <w:t>цел</w:t>
            </w:r>
            <w:r w:rsidRPr="00BB2AAD">
              <w:rPr>
                <w:rFonts w:eastAsia="Times New Roman" w:cs="Times New Roman"/>
                <w:bCs/>
                <w:noProof/>
                <w:lang w:val="bg-BG" w:eastAsia="bg-BG"/>
              </w:rPr>
              <w:t xml:space="preserve"> е </w:t>
            </w:r>
            <w:r w:rsidRPr="00BB2AAD">
              <w:rPr>
                <w:rFonts w:eastAsia="Times New Roman" w:cs="Times New Roman"/>
                <w:noProof/>
                <w:lang w:val="bg-BG"/>
              </w:rPr>
              <w:t>удвояване на стартиращите предприятия „еднорози“ в Европа</w:t>
            </w:r>
          </w:p>
        </w:tc>
      </w:tr>
      <w:tr w:rsidR="006A01ED" w:rsidRPr="00CB788A" w14:paraId="5065C7A5" w14:textId="77777777" w:rsidTr="004D25C2">
        <w:tc>
          <w:tcPr>
            <w:tcW w:w="9063" w:type="dxa"/>
            <w:shd w:val="clear" w:color="auto" w:fill="D9E2F3" w:themeFill="accent5" w:themeFillTint="33"/>
          </w:tcPr>
          <w:p w14:paraId="373A3DE8" w14:textId="77777777" w:rsidR="006A01ED" w:rsidRPr="00CB788A" w:rsidRDefault="006A01ED" w:rsidP="00100874">
            <w:pPr>
              <w:spacing w:before="120" w:line="276" w:lineRule="auto"/>
              <w:jc w:val="both"/>
              <w:rPr>
                <w:rFonts w:eastAsia="Times New Roman" w:cs="Times New Roman"/>
                <w:noProof/>
              </w:rPr>
            </w:pPr>
            <w:r w:rsidRPr="00CB788A">
              <w:rPr>
                <w:rFonts w:eastAsia="Times New Roman" w:cs="Times New Roman"/>
                <w:noProof/>
              </w:rPr>
              <w:t>ЦИФРОВИЗАЦИЯ НА ОБЩЕСТВЕНИТЕ УСЛУГИ</w:t>
            </w:r>
          </w:p>
        </w:tc>
      </w:tr>
      <w:tr w:rsidR="006A01ED" w:rsidRPr="00CB788A" w14:paraId="48CDAC73" w14:textId="77777777" w:rsidTr="004D25C2">
        <w:tc>
          <w:tcPr>
            <w:tcW w:w="9063" w:type="dxa"/>
            <w:shd w:val="clear" w:color="auto" w:fill="D9E2F3" w:themeFill="accent5" w:themeFillTint="33"/>
          </w:tcPr>
          <w:p w14:paraId="6BA8E107"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 xml:space="preserve">Онлайн достъп до ключови обществени услуги (свързани с професионалното развитие, </w:t>
            </w:r>
            <w:r w:rsidRPr="00BB2AAD">
              <w:rPr>
                <w:rFonts w:eastAsia="Times New Roman" w:cs="Times New Roman"/>
                <w:noProof/>
                <w:lang w:val="bg-BG"/>
              </w:rPr>
              <w:lastRenderedPageBreak/>
              <w:t>образованието, семейството, обичайната стопанска дейност, свободното движение)</w:t>
            </w:r>
          </w:p>
        </w:tc>
      </w:tr>
      <w:tr w:rsidR="006A01ED" w:rsidRPr="00CB788A" w14:paraId="404F3B97" w14:textId="77777777" w:rsidTr="004D25C2">
        <w:tc>
          <w:tcPr>
            <w:tcW w:w="9063" w:type="dxa"/>
            <w:shd w:val="clear" w:color="auto" w:fill="D9E2F3" w:themeFill="accent5" w:themeFillTint="33"/>
          </w:tcPr>
          <w:p w14:paraId="155D88A1"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lastRenderedPageBreak/>
              <w:t>Сега 75/100 граждани;  84/100 предприятия, цел всички  граждани и предприятия;</w:t>
            </w:r>
          </w:p>
        </w:tc>
      </w:tr>
      <w:tr w:rsidR="006A01ED" w:rsidRPr="00CB788A" w14:paraId="3C38EB5B" w14:textId="77777777" w:rsidTr="004D25C2">
        <w:tc>
          <w:tcPr>
            <w:tcW w:w="9063" w:type="dxa"/>
            <w:shd w:val="clear" w:color="auto" w:fill="D9E2F3" w:themeFill="accent5" w:themeFillTint="33"/>
          </w:tcPr>
          <w:p w14:paraId="3AADE50D"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цел 100% от европейците с достъп до цифрови здравни досиета и</w:t>
            </w:r>
          </w:p>
        </w:tc>
      </w:tr>
      <w:tr w:rsidR="006A01ED" w:rsidRPr="00CB788A" w14:paraId="03606F82" w14:textId="77777777" w:rsidTr="004D25C2">
        <w:tc>
          <w:tcPr>
            <w:tcW w:w="9063" w:type="dxa"/>
            <w:shd w:val="clear" w:color="auto" w:fill="D9E2F3" w:themeFill="accent5" w:themeFillTint="33"/>
          </w:tcPr>
          <w:p w14:paraId="6EA9CE68" w14:textId="77777777" w:rsidR="006A01ED" w:rsidRPr="00BB2AAD" w:rsidRDefault="006A01ED" w:rsidP="00100874">
            <w:pPr>
              <w:spacing w:before="120" w:line="276" w:lineRule="auto"/>
              <w:jc w:val="both"/>
              <w:rPr>
                <w:rFonts w:eastAsia="Times New Roman" w:cs="Times New Roman"/>
                <w:noProof/>
                <w:lang w:val="bg-BG"/>
              </w:rPr>
            </w:pPr>
            <w:r w:rsidRPr="00BB2AAD">
              <w:rPr>
                <w:rFonts w:eastAsia="Times New Roman" w:cs="Times New Roman"/>
                <w:noProof/>
                <w:lang w:val="bg-BG"/>
              </w:rPr>
              <w:t xml:space="preserve"> 80% от ползвателите да са с цифрова идентификация</w:t>
            </w:r>
          </w:p>
        </w:tc>
      </w:tr>
    </w:tbl>
    <w:p w14:paraId="063CF4A5" w14:textId="2CC0FE6A" w:rsidR="00397DE9" w:rsidRPr="00D63FED" w:rsidRDefault="00397DE9" w:rsidP="00D63FED">
      <w:pPr>
        <w:pStyle w:val="Heading1"/>
        <w:numPr>
          <w:ilvl w:val="0"/>
          <w:numId w:val="13"/>
        </w:numPr>
      </w:pPr>
      <w:bookmarkStart w:id="9" w:name="_Toc92275731"/>
      <w:bookmarkEnd w:id="5"/>
      <w:r w:rsidRPr="00D63FED">
        <w:t>Приложения</w:t>
      </w:r>
      <w:bookmarkEnd w:id="9"/>
      <w:r w:rsidRPr="00D63FED">
        <w:t xml:space="preserve">  </w:t>
      </w:r>
    </w:p>
    <w:p w14:paraId="2CEEB988" w14:textId="27E21B47" w:rsidR="00D63FED" w:rsidRPr="0089076B" w:rsidRDefault="00D63FED" w:rsidP="0089076B">
      <w:pPr>
        <w:pStyle w:val="ListParagraph"/>
        <w:numPr>
          <w:ilvl w:val="0"/>
          <w:numId w:val="16"/>
        </w:numPr>
        <w:spacing w:before="120" w:after="0" w:line="276" w:lineRule="auto"/>
        <w:jc w:val="both"/>
        <w:rPr>
          <w:rFonts w:cs="Times New Roman"/>
          <w:szCs w:val="24"/>
        </w:rPr>
      </w:pPr>
      <w:r w:rsidRPr="0089076B">
        <w:rPr>
          <w:rFonts w:cs="Times New Roman"/>
          <w:szCs w:val="24"/>
        </w:rPr>
        <w:t>Приложение 1: Методика на  DESI</w:t>
      </w:r>
    </w:p>
    <w:p w14:paraId="5D505D10" w14:textId="77777777" w:rsidR="00D63FED" w:rsidRPr="0089076B" w:rsidRDefault="00D63FED" w:rsidP="0089076B">
      <w:pPr>
        <w:pStyle w:val="ListParagraph"/>
        <w:numPr>
          <w:ilvl w:val="0"/>
          <w:numId w:val="16"/>
        </w:numPr>
        <w:spacing w:before="120" w:after="0" w:line="276" w:lineRule="auto"/>
        <w:jc w:val="both"/>
        <w:rPr>
          <w:rFonts w:cs="Times New Roman"/>
          <w:szCs w:val="24"/>
        </w:rPr>
      </w:pPr>
      <w:r w:rsidRPr="0089076B">
        <w:rPr>
          <w:rFonts w:cs="Times New Roman"/>
          <w:szCs w:val="24"/>
        </w:rPr>
        <w:t>Приложение 2: Данни на НСИ за 2021г.</w:t>
      </w:r>
    </w:p>
    <w:p w14:paraId="6F0F13AA" w14:textId="6B9F6876" w:rsidR="00D63FED" w:rsidRPr="0089076B" w:rsidRDefault="00D63FED" w:rsidP="0089076B">
      <w:pPr>
        <w:pStyle w:val="ListParagraph"/>
        <w:numPr>
          <w:ilvl w:val="0"/>
          <w:numId w:val="16"/>
        </w:numPr>
        <w:spacing w:before="120" w:after="0" w:line="276" w:lineRule="auto"/>
        <w:jc w:val="both"/>
        <w:rPr>
          <w:rFonts w:cs="Times New Roman"/>
          <w:szCs w:val="24"/>
        </w:rPr>
      </w:pPr>
      <w:r w:rsidRPr="0089076B">
        <w:rPr>
          <w:rFonts w:cs="Times New Roman"/>
          <w:szCs w:val="24"/>
        </w:rPr>
        <w:t xml:space="preserve">Приложение 3:  ИКТ секторът и НИРД на ЕС  </w:t>
      </w:r>
    </w:p>
    <w:p w14:paraId="30724D55" w14:textId="77777777" w:rsidR="00D63FED" w:rsidRPr="0089076B" w:rsidRDefault="00D63FED" w:rsidP="0089076B">
      <w:pPr>
        <w:pStyle w:val="ListParagraph"/>
        <w:numPr>
          <w:ilvl w:val="0"/>
          <w:numId w:val="16"/>
        </w:numPr>
        <w:spacing w:before="120" w:after="0" w:line="276" w:lineRule="auto"/>
        <w:jc w:val="both"/>
        <w:rPr>
          <w:rFonts w:cs="Times New Roman"/>
          <w:szCs w:val="24"/>
        </w:rPr>
      </w:pPr>
      <w:r w:rsidRPr="0089076B">
        <w:rPr>
          <w:rFonts w:cs="Times New Roman"/>
          <w:szCs w:val="24"/>
        </w:rPr>
        <w:t>Приложение 4: Иновации в България 2021</w:t>
      </w:r>
    </w:p>
    <w:sectPr w:rsidR="00D63FED" w:rsidRPr="0089076B" w:rsidSect="008D2417">
      <w:footerReference w:type="default" r:id="rId20"/>
      <w:pgSz w:w="11906" w:h="16838"/>
      <w:pgMar w:top="1417" w:right="1416"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8651C" w14:textId="77777777" w:rsidR="00D504DA" w:rsidRDefault="00D504DA" w:rsidP="00E60B31">
      <w:pPr>
        <w:spacing w:after="0" w:line="240" w:lineRule="auto"/>
      </w:pPr>
      <w:r>
        <w:separator/>
      </w:r>
    </w:p>
  </w:endnote>
  <w:endnote w:type="continuationSeparator" w:id="0">
    <w:p w14:paraId="460C7577" w14:textId="77777777" w:rsidR="00D504DA" w:rsidRDefault="00D504DA" w:rsidP="00E6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128925"/>
      <w:docPartObj>
        <w:docPartGallery w:val="Page Numbers (Bottom of Page)"/>
        <w:docPartUnique/>
      </w:docPartObj>
    </w:sdtPr>
    <w:sdtEndPr>
      <w:rPr>
        <w:noProof/>
      </w:rPr>
    </w:sdtEndPr>
    <w:sdtContent>
      <w:p w14:paraId="239E8928" w14:textId="2C6470C4" w:rsidR="00E60B31" w:rsidRDefault="00E60B31">
        <w:pPr>
          <w:pStyle w:val="Footer"/>
          <w:jc w:val="right"/>
        </w:pPr>
        <w:r>
          <w:fldChar w:fldCharType="begin"/>
        </w:r>
        <w:r>
          <w:instrText xml:space="preserve"> PAGE   \* MERGEFORMAT </w:instrText>
        </w:r>
        <w:r>
          <w:fldChar w:fldCharType="separate"/>
        </w:r>
        <w:r w:rsidR="002867D3">
          <w:rPr>
            <w:noProof/>
          </w:rPr>
          <w:t>4</w:t>
        </w:r>
        <w:r>
          <w:rPr>
            <w:noProof/>
          </w:rPr>
          <w:fldChar w:fldCharType="end"/>
        </w:r>
      </w:p>
    </w:sdtContent>
  </w:sdt>
  <w:p w14:paraId="14007703" w14:textId="77777777" w:rsidR="00E60B31" w:rsidRDefault="00E60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CB8C0" w14:textId="77777777" w:rsidR="00D504DA" w:rsidRDefault="00D504DA" w:rsidP="00E60B31">
      <w:pPr>
        <w:spacing w:after="0" w:line="240" w:lineRule="auto"/>
      </w:pPr>
      <w:r>
        <w:separator/>
      </w:r>
    </w:p>
  </w:footnote>
  <w:footnote w:type="continuationSeparator" w:id="0">
    <w:p w14:paraId="69248627" w14:textId="77777777" w:rsidR="00D504DA" w:rsidRDefault="00D504DA" w:rsidP="00E60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8CB"/>
    <w:multiLevelType w:val="hybridMultilevel"/>
    <w:tmpl w:val="13E49190"/>
    <w:lvl w:ilvl="0" w:tplc="BF30494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AF6D0F"/>
    <w:multiLevelType w:val="hybridMultilevel"/>
    <w:tmpl w:val="3A3443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E90BFD"/>
    <w:multiLevelType w:val="hybridMultilevel"/>
    <w:tmpl w:val="12CA1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901B7"/>
    <w:multiLevelType w:val="hybridMultilevel"/>
    <w:tmpl w:val="6A800F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E976DD"/>
    <w:multiLevelType w:val="hybridMultilevel"/>
    <w:tmpl w:val="20F255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1D2D7D"/>
    <w:multiLevelType w:val="hybridMultilevel"/>
    <w:tmpl w:val="B880B97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8E70AE8"/>
    <w:multiLevelType w:val="hybridMultilevel"/>
    <w:tmpl w:val="3F5C15AE"/>
    <w:lvl w:ilvl="0" w:tplc="6E74AF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B475B4C"/>
    <w:multiLevelType w:val="hybridMultilevel"/>
    <w:tmpl w:val="4FC81C36"/>
    <w:lvl w:ilvl="0" w:tplc="F8DCC7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DB63D56"/>
    <w:multiLevelType w:val="hybridMultilevel"/>
    <w:tmpl w:val="92BA80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0234D2F"/>
    <w:multiLevelType w:val="hybridMultilevel"/>
    <w:tmpl w:val="8D02F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BDF642B"/>
    <w:multiLevelType w:val="hybridMultilevel"/>
    <w:tmpl w:val="45BA460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4E486572"/>
    <w:multiLevelType w:val="hybridMultilevel"/>
    <w:tmpl w:val="110EAF6E"/>
    <w:lvl w:ilvl="0" w:tplc="BF304946">
      <w:numFmt w:val="bullet"/>
      <w:lvlText w:val="-"/>
      <w:lvlJc w:val="left"/>
      <w:pPr>
        <w:ind w:left="1428" w:hanging="360"/>
      </w:pPr>
      <w:rPr>
        <w:rFonts w:ascii="Times New Roman" w:eastAsiaTheme="minorHAns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512A109D"/>
    <w:multiLevelType w:val="hybridMultilevel"/>
    <w:tmpl w:val="F16EA256"/>
    <w:lvl w:ilvl="0" w:tplc="BF304946">
      <w:numFmt w:val="bullet"/>
      <w:lvlText w:val="-"/>
      <w:lvlJc w:val="left"/>
      <w:pPr>
        <w:ind w:left="360" w:hanging="360"/>
      </w:pPr>
      <w:rPr>
        <w:rFonts w:ascii="Times New Roman" w:eastAsiaTheme="minorHAns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5E605D7D"/>
    <w:multiLevelType w:val="hybridMultilevel"/>
    <w:tmpl w:val="ABE856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16A6369"/>
    <w:multiLevelType w:val="hybridMultilevel"/>
    <w:tmpl w:val="715679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44E46DE"/>
    <w:multiLevelType w:val="hybridMultilevel"/>
    <w:tmpl w:val="BC581AB2"/>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64E0A09"/>
    <w:multiLevelType w:val="hybridMultilevel"/>
    <w:tmpl w:val="724C2A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E132D5C"/>
    <w:multiLevelType w:val="hybridMultilevel"/>
    <w:tmpl w:val="98BE1A5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15:restartNumberingAfterBreak="0">
    <w:nsid w:val="70EC628A"/>
    <w:multiLevelType w:val="hybridMultilevel"/>
    <w:tmpl w:val="381870C6"/>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9" w15:restartNumberingAfterBreak="0">
    <w:nsid w:val="71C312F8"/>
    <w:multiLevelType w:val="hybridMultilevel"/>
    <w:tmpl w:val="A4500D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64C0FDD"/>
    <w:multiLevelType w:val="hybridMultilevel"/>
    <w:tmpl w:val="B5A88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14"/>
  </w:num>
  <w:num w:numId="5">
    <w:abstractNumId w:val="15"/>
  </w:num>
  <w:num w:numId="6">
    <w:abstractNumId w:val="19"/>
  </w:num>
  <w:num w:numId="7">
    <w:abstractNumId w:val="7"/>
  </w:num>
  <w:num w:numId="8">
    <w:abstractNumId w:val="3"/>
  </w:num>
  <w:num w:numId="9">
    <w:abstractNumId w:val="2"/>
  </w:num>
  <w:num w:numId="10">
    <w:abstractNumId w:val="20"/>
  </w:num>
  <w:num w:numId="11">
    <w:abstractNumId w:val="17"/>
  </w:num>
  <w:num w:numId="12">
    <w:abstractNumId w:val="5"/>
  </w:num>
  <w:num w:numId="13">
    <w:abstractNumId w:val="6"/>
  </w:num>
  <w:num w:numId="14">
    <w:abstractNumId w:val="1"/>
  </w:num>
  <w:num w:numId="15">
    <w:abstractNumId w:val="11"/>
  </w:num>
  <w:num w:numId="16">
    <w:abstractNumId w:val="0"/>
  </w:num>
  <w:num w:numId="17">
    <w:abstractNumId w:val="12"/>
  </w:num>
  <w:num w:numId="18">
    <w:abstractNumId w:val="8"/>
  </w:num>
  <w:num w:numId="19">
    <w:abstractNumId w:val="9"/>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2B"/>
    <w:rsid w:val="00037097"/>
    <w:rsid w:val="00046BC9"/>
    <w:rsid w:val="00047C2E"/>
    <w:rsid w:val="00063097"/>
    <w:rsid w:val="0006360A"/>
    <w:rsid w:val="00080801"/>
    <w:rsid w:val="000871E9"/>
    <w:rsid w:val="000F28AE"/>
    <w:rsid w:val="00100874"/>
    <w:rsid w:val="00150387"/>
    <w:rsid w:val="0017095B"/>
    <w:rsid w:val="00182517"/>
    <w:rsid w:val="00184F80"/>
    <w:rsid w:val="00194213"/>
    <w:rsid w:val="001D2551"/>
    <w:rsid w:val="001D3F6B"/>
    <w:rsid w:val="001E0142"/>
    <w:rsid w:val="00230295"/>
    <w:rsid w:val="00233F01"/>
    <w:rsid w:val="00237E63"/>
    <w:rsid w:val="00261FEE"/>
    <w:rsid w:val="002867D3"/>
    <w:rsid w:val="00362380"/>
    <w:rsid w:val="00373001"/>
    <w:rsid w:val="00373243"/>
    <w:rsid w:val="00395CD5"/>
    <w:rsid w:val="00397DE9"/>
    <w:rsid w:val="003A2C53"/>
    <w:rsid w:val="003A5811"/>
    <w:rsid w:val="003B65BE"/>
    <w:rsid w:val="003D0F4F"/>
    <w:rsid w:val="00430635"/>
    <w:rsid w:val="00444CC0"/>
    <w:rsid w:val="004454C7"/>
    <w:rsid w:val="004870A0"/>
    <w:rsid w:val="004A2778"/>
    <w:rsid w:val="004B480E"/>
    <w:rsid w:val="004D25C2"/>
    <w:rsid w:val="004E2765"/>
    <w:rsid w:val="00512511"/>
    <w:rsid w:val="00517C65"/>
    <w:rsid w:val="00523F74"/>
    <w:rsid w:val="00524F2B"/>
    <w:rsid w:val="005319A3"/>
    <w:rsid w:val="0053497E"/>
    <w:rsid w:val="005372D0"/>
    <w:rsid w:val="005426F3"/>
    <w:rsid w:val="00553A1B"/>
    <w:rsid w:val="00555DF4"/>
    <w:rsid w:val="0059153C"/>
    <w:rsid w:val="005C479E"/>
    <w:rsid w:val="005E42A9"/>
    <w:rsid w:val="005F024F"/>
    <w:rsid w:val="005F5296"/>
    <w:rsid w:val="005F5E5B"/>
    <w:rsid w:val="00601943"/>
    <w:rsid w:val="00606C64"/>
    <w:rsid w:val="00631A31"/>
    <w:rsid w:val="0064099E"/>
    <w:rsid w:val="006A01ED"/>
    <w:rsid w:val="006A14A4"/>
    <w:rsid w:val="006B63D4"/>
    <w:rsid w:val="006C5720"/>
    <w:rsid w:val="006C5FB2"/>
    <w:rsid w:val="00703589"/>
    <w:rsid w:val="00722C9D"/>
    <w:rsid w:val="00727064"/>
    <w:rsid w:val="0075043E"/>
    <w:rsid w:val="007A34C5"/>
    <w:rsid w:val="007A4C36"/>
    <w:rsid w:val="007C1E62"/>
    <w:rsid w:val="007F1CD2"/>
    <w:rsid w:val="00812E96"/>
    <w:rsid w:val="00814C5A"/>
    <w:rsid w:val="00820DC3"/>
    <w:rsid w:val="00830D21"/>
    <w:rsid w:val="008654AE"/>
    <w:rsid w:val="00866DEB"/>
    <w:rsid w:val="0086791C"/>
    <w:rsid w:val="00882D23"/>
    <w:rsid w:val="00883B34"/>
    <w:rsid w:val="0089076B"/>
    <w:rsid w:val="008C1CEA"/>
    <w:rsid w:val="008D2417"/>
    <w:rsid w:val="008E3FC8"/>
    <w:rsid w:val="008F35D1"/>
    <w:rsid w:val="009004B9"/>
    <w:rsid w:val="00915398"/>
    <w:rsid w:val="00942E15"/>
    <w:rsid w:val="00944672"/>
    <w:rsid w:val="00953D7B"/>
    <w:rsid w:val="00970DCF"/>
    <w:rsid w:val="009C4F18"/>
    <w:rsid w:val="00A07764"/>
    <w:rsid w:val="00A1409C"/>
    <w:rsid w:val="00A14EA4"/>
    <w:rsid w:val="00A309E2"/>
    <w:rsid w:val="00A3354E"/>
    <w:rsid w:val="00A44B02"/>
    <w:rsid w:val="00A6046D"/>
    <w:rsid w:val="00A92700"/>
    <w:rsid w:val="00AC1B6D"/>
    <w:rsid w:val="00AE1156"/>
    <w:rsid w:val="00AE483D"/>
    <w:rsid w:val="00AF4E39"/>
    <w:rsid w:val="00AF76DA"/>
    <w:rsid w:val="00B03A4C"/>
    <w:rsid w:val="00B211D5"/>
    <w:rsid w:val="00B34368"/>
    <w:rsid w:val="00B53A35"/>
    <w:rsid w:val="00B740AF"/>
    <w:rsid w:val="00B87191"/>
    <w:rsid w:val="00B93515"/>
    <w:rsid w:val="00BB2AAD"/>
    <w:rsid w:val="00BD3D98"/>
    <w:rsid w:val="00C0186E"/>
    <w:rsid w:val="00C22CC6"/>
    <w:rsid w:val="00C473EE"/>
    <w:rsid w:val="00C65F10"/>
    <w:rsid w:val="00C70461"/>
    <w:rsid w:val="00C84953"/>
    <w:rsid w:val="00CA39EC"/>
    <w:rsid w:val="00CB642C"/>
    <w:rsid w:val="00CB788A"/>
    <w:rsid w:val="00D074DE"/>
    <w:rsid w:val="00D11F9F"/>
    <w:rsid w:val="00D148E0"/>
    <w:rsid w:val="00D45501"/>
    <w:rsid w:val="00D504DA"/>
    <w:rsid w:val="00D63FED"/>
    <w:rsid w:val="00DA20E0"/>
    <w:rsid w:val="00DC5483"/>
    <w:rsid w:val="00E2250B"/>
    <w:rsid w:val="00E23F89"/>
    <w:rsid w:val="00E2431F"/>
    <w:rsid w:val="00E4164E"/>
    <w:rsid w:val="00E43D0A"/>
    <w:rsid w:val="00E60B31"/>
    <w:rsid w:val="00E923BC"/>
    <w:rsid w:val="00F4183A"/>
    <w:rsid w:val="00F41A40"/>
    <w:rsid w:val="00F54397"/>
    <w:rsid w:val="00F715FA"/>
    <w:rsid w:val="00F850D1"/>
    <w:rsid w:val="00FB072C"/>
    <w:rsid w:val="00FB3787"/>
    <w:rsid w:val="00FB7A72"/>
    <w:rsid w:val="00FE21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F126"/>
  <w15:chartTrackingRefBased/>
  <w15:docId w15:val="{7F1D333E-C212-4E60-8BEB-FB284E7E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2B"/>
    <w:rPr>
      <w:rFonts w:ascii="Times New Roman" w:hAnsi="Times New Roman"/>
      <w:sz w:val="24"/>
    </w:rPr>
  </w:style>
  <w:style w:type="paragraph" w:styleId="Heading1">
    <w:name w:val="heading 1"/>
    <w:basedOn w:val="Normal"/>
    <w:next w:val="Normal"/>
    <w:link w:val="Heading1Char"/>
    <w:uiPriority w:val="9"/>
    <w:qFormat/>
    <w:rsid w:val="007C1E62"/>
    <w:pPr>
      <w:keepNext/>
      <w:keepLines/>
      <w:spacing w:before="240" w:after="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F2B"/>
    <w:rPr>
      <w:color w:val="0563C1" w:themeColor="hyperlink"/>
      <w:u w:val="single"/>
    </w:rPr>
  </w:style>
  <w:style w:type="paragraph" w:customStyle="1" w:styleId="1">
    <w:name w:val="Нормален1"/>
    <w:rsid w:val="007A34C5"/>
    <w:pPr>
      <w:suppressAutoHyphens/>
      <w:autoSpaceDN w:val="0"/>
      <w:spacing w:line="254" w:lineRule="auto"/>
      <w:textAlignment w:val="baseline"/>
    </w:pPr>
    <w:rPr>
      <w:rFonts w:ascii="Calibri" w:eastAsia="Calibri" w:hAnsi="Calibri" w:cs="Times New Roman"/>
      <w:lang w:val="en-US"/>
    </w:rPr>
  </w:style>
  <w:style w:type="character" w:customStyle="1" w:styleId="10">
    <w:name w:val="Шрифт на абзаца по подразбиране1"/>
    <w:rsid w:val="007A34C5"/>
  </w:style>
  <w:style w:type="paragraph" w:styleId="Header">
    <w:name w:val="header"/>
    <w:basedOn w:val="Normal"/>
    <w:link w:val="HeaderChar"/>
    <w:uiPriority w:val="99"/>
    <w:unhideWhenUsed/>
    <w:rsid w:val="00E60B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B31"/>
    <w:rPr>
      <w:rFonts w:ascii="Times New Roman" w:hAnsi="Times New Roman"/>
      <w:sz w:val="24"/>
    </w:rPr>
  </w:style>
  <w:style w:type="paragraph" w:styleId="Footer">
    <w:name w:val="footer"/>
    <w:basedOn w:val="Normal"/>
    <w:link w:val="FooterChar"/>
    <w:uiPriority w:val="99"/>
    <w:unhideWhenUsed/>
    <w:rsid w:val="00E60B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B31"/>
    <w:rPr>
      <w:rFonts w:ascii="Times New Roman" w:hAnsi="Times New Roman"/>
      <w:sz w:val="24"/>
    </w:rPr>
  </w:style>
  <w:style w:type="table" w:styleId="TableGrid">
    <w:name w:val="Table Grid"/>
    <w:basedOn w:val="TableNormal"/>
    <w:uiPriority w:val="39"/>
    <w:rsid w:val="00E6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801"/>
    <w:pPr>
      <w:ind w:left="720"/>
      <w:contextualSpacing/>
    </w:pPr>
  </w:style>
  <w:style w:type="table" w:customStyle="1" w:styleId="TableGrid1">
    <w:name w:val="Table Grid1"/>
    <w:basedOn w:val="TableNormal"/>
    <w:next w:val="TableGrid"/>
    <w:uiPriority w:val="39"/>
    <w:rsid w:val="00CB788A"/>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654AE"/>
    <w:rPr>
      <w:color w:val="605E5C"/>
      <w:shd w:val="clear" w:color="auto" w:fill="E1DFDD"/>
    </w:rPr>
  </w:style>
  <w:style w:type="character" w:customStyle="1" w:styleId="Heading1Char">
    <w:name w:val="Heading 1 Char"/>
    <w:basedOn w:val="DefaultParagraphFont"/>
    <w:link w:val="Heading1"/>
    <w:uiPriority w:val="9"/>
    <w:rsid w:val="007C1E62"/>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830D21"/>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9076B"/>
    <w:pPr>
      <w:tabs>
        <w:tab w:val="left" w:pos="440"/>
        <w:tab w:val="right" w:leader="dot" w:pos="9063"/>
      </w:tabs>
      <w:spacing w:after="100"/>
    </w:pPr>
  </w:style>
  <w:style w:type="paragraph" w:styleId="TOC2">
    <w:name w:val="toc 2"/>
    <w:basedOn w:val="Normal"/>
    <w:next w:val="Normal"/>
    <w:autoRedefine/>
    <w:uiPriority w:val="39"/>
    <w:unhideWhenUsed/>
    <w:rsid w:val="00830D21"/>
    <w:pPr>
      <w:spacing w:after="100"/>
      <w:ind w:left="240"/>
    </w:pPr>
  </w:style>
  <w:style w:type="character" w:styleId="FollowedHyperlink">
    <w:name w:val="FollowedHyperlink"/>
    <w:basedOn w:val="DefaultParagraphFont"/>
    <w:uiPriority w:val="99"/>
    <w:semiHidden/>
    <w:unhideWhenUsed/>
    <w:rsid w:val="006C5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basscom.org/RapidASPEditor/MyUploadDocs/BG_ICT&amp;BASSCOM_Indonesia_112021.pdf" TargetMode="External"/><Relationship Id="rId18" Type="http://schemas.openxmlformats.org/officeDocument/2006/relationships/hyperlink" Target="https://digital-strategy.ec.europa.eu/en/activities/edih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digital-strategy.ec.europa.eu/en/policies/blockchain-strategy" TargetMode="External"/><Relationship Id="rId2" Type="http://schemas.openxmlformats.org/officeDocument/2006/relationships/numbering" Target="numbering.xml"/><Relationship Id="rId16" Type="http://schemas.openxmlformats.org/officeDocument/2006/relationships/hyperlink" Target="https://digital-strategy.ec.europa.eu/en/policies/digital-public-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digital-strategy.ec.europa.eu/en/policies/high-performance-computing" TargetMode="External"/><Relationship Id="rId10" Type="http://schemas.openxmlformats.org/officeDocument/2006/relationships/image" Target="media/image1.emf"/><Relationship Id="rId19" Type="http://schemas.openxmlformats.org/officeDocument/2006/relationships/hyperlink" Target="https://digital-strategy.ec.europa.eu/en/policies/digital-skills" TargetMode="External"/><Relationship Id="rId4" Type="http://schemas.openxmlformats.org/officeDocument/2006/relationships/settings" Target="settings.xml"/><Relationship Id="rId9" Type="http://schemas.openxmlformats.org/officeDocument/2006/relationships/hyperlink" Target="https://ec.europa.eu/commission/presscorner/detail/bg/QANDA_21_5483" TargetMode="External"/><Relationship Id="rId14" Type="http://schemas.openxmlformats.org/officeDocument/2006/relationships/hyperlink" Target="https://digital-strategy.ec.europa.eu/en/policies/5g"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bg-BG" sz="1400" b="1"/>
              <a:t>Изпълнение на мерките от Пътната карта към Национална програма "Цифрова България 2025"</a:t>
            </a:r>
          </a:p>
        </c:rich>
      </c:tx>
      <c:layout>
        <c:manualLayout>
          <c:xMode val="edge"/>
          <c:yMode val="edge"/>
          <c:x val="0.1502891213630638"/>
          <c:y val="8.5338299149592298E-4"/>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bg-BG"/>
        </a:p>
      </c:txPr>
    </c:title>
    <c:autoTitleDeleted val="0"/>
    <c:plotArea>
      <c:layout>
        <c:manualLayout>
          <c:layoutTarget val="inner"/>
          <c:xMode val="edge"/>
          <c:yMode val="edge"/>
          <c:x val="2.3717119448037949E-2"/>
          <c:y val="0.15621468926553672"/>
          <c:w val="0.9525657611039241"/>
          <c:h val="0.68284732416922456"/>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1"/>
            <c:invertIfNegative val="0"/>
            <c:bubble3D val="0"/>
            <c:spPr>
              <a:solidFill>
                <a:schemeClr val="accent2"/>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B54C-4A76-9B33-339D9EA38A20}"/>
              </c:ext>
            </c:extLst>
          </c:dPt>
          <c:dPt>
            <c:idx val="2"/>
            <c:invertIfNegative val="0"/>
            <c:bubble3D val="0"/>
            <c:spPr>
              <a:solidFill>
                <a:schemeClr val="bg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B54C-4A76-9B33-339D9EA38A20}"/>
              </c:ext>
            </c:extLst>
          </c:dPt>
          <c:dPt>
            <c:idx val="3"/>
            <c:invertIfNegative val="0"/>
            <c:bubble3D val="0"/>
            <c:spPr>
              <a:solidFill>
                <a:schemeClr val="accent4"/>
              </a:solidFill>
              <a:ln>
                <a:solidFill>
                  <a:schemeClr val="accent4"/>
                </a:solid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B54C-4A76-9B33-339D9EA38A20}"/>
              </c:ext>
            </c:extLst>
          </c:dPt>
          <c:dPt>
            <c:idx val="4"/>
            <c:invertIfNegative val="0"/>
            <c:bubble3D val="0"/>
            <c:spPr>
              <a:solidFill>
                <a:schemeClr val="accent5">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B54C-4A76-9B33-339D9EA38A20}"/>
              </c:ext>
            </c:extLst>
          </c:dPt>
          <c:dPt>
            <c:idx val="5"/>
            <c:invertIfNegative val="0"/>
            <c:bubble3D val="0"/>
            <c:spPr>
              <a:solidFill>
                <a:schemeClr val="accent6"/>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B54C-4A76-9B33-339D9EA38A20}"/>
              </c:ext>
            </c:extLst>
          </c:dPt>
          <c:dLbls>
            <c:dLbl>
              <c:idx val="0"/>
              <c:layout>
                <c:manualLayout>
                  <c:x val="-2.5839793281653748E-3"/>
                  <c:y val="1.0783032872928268E-3"/>
                </c:manualLayout>
              </c:layout>
              <c:tx>
                <c:rich>
                  <a:bodyPr/>
                  <a:lstStyle/>
                  <a:p>
                    <a:r>
                      <a:rPr lang="en-US"/>
                      <a:t>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54C-4A76-9B33-339D9EA38A20}"/>
                </c:ext>
              </c:extLst>
            </c:dLbl>
            <c:dLbl>
              <c:idx val="1"/>
              <c:layout>
                <c:manualLayout>
                  <c:x val="-5.1679586563307964E-3"/>
                  <c:y val="-2.8970083709297053E-3"/>
                </c:manualLayout>
              </c:layout>
              <c:tx>
                <c:rich>
                  <a:bodyPr/>
                  <a:lstStyle/>
                  <a:p>
                    <a:r>
                      <a:rPr lang="en-US"/>
                      <a:t>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4C-4A76-9B33-339D9EA38A20}"/>
                </c:ext>
              </c:extLst>
            </c:dLbl>
            <c:dLbl>
              <c:idx val="2"/>
              <c:layout>
                <c:manualLayout>
                  <c:x val="2.5839793281653275E-3"/>
                  <c:y val="6.3373093351497337E-3"/>
                </c:manualLayout>
              </c:layout>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4C-4A76-9B33-339D9EA38A20}"/>
                </c:ext>
              </c:extLst>
            </c:dLbl>
            <c:dLbl>
              <c:idx val="3"/>
              <c:layout>
                <c:manualLayout>
                  <c:x val="0"/>
                  <c:y val="1.07830328729287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4C-4A76-9B33-339D9EA38A20}"/>
                </c:ext>
              </c:extLst>
            </c:dLbl>
            <c:dLbl>
              <c:idx val="4"/>
              <c:layout>
                <c:manualLayout>
                  <c:x val="-9.4744814199218552E-17"/>
                  <c:y val="3.33429265333418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4C-4A76-9B33-339D9EA38A20}"/>
                </c:ext>
              </c:extLst>
            </c:dLbl>
            <c:dLbl>
              <c:idx val="5"/>
              <c:layout>
                <c:manualLayout>
                  <c:x val="0"/>
                  <c:y val="6.681422250564722E-3"/>
                </c:manualLayout>
              </c:layout>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4C-4A76-9B33-339D9EA38A2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Sheet1!$B$10:$B$15</c:f>
              <c:strCache>
                <c:ptCount val="6"/>
                <c:pt idx="0">
                  <c:v>Общо мерки</c:v>
                </c:pt>
                <c:pt idx="1">
                  <c:v>Изпълнени</c:v>
                </c:pt>
                <c:pt idx="2">
                  <c:v>В процес на изпълнение</c:v>
                </c:pt>
                <c:pt idx="3">
                  <c:v>Удължени срокове</c:v>
                </c:pt>
                <c:pt idx="4">
                  <c:v>Отпаднали</c:v>
                </c:pt>
                <c:pt idx="5">
                  <c:v>Нови </c:v>
                </c:pt>
              </c:strCache>
            </c:strRef>
          </c:cat>
          <c:val>
            <c:numRef>
              <c:f>Sheet1!$C$10:$C$15</c:f>
              <c:numCache>
                <c:formatCode>General</c:formatCode>
                <c:ptCount val="6"/>
                <c:pt idx="0">
                  <c:v>72</c:v>
                </c:pt>
                <c:pt idx="1">
                  <c:v>28</c:v>
                </c:pt>
                <c:pt idx="2">
                  <c:v>34</c:v>
                </c:pt>
                <c:pt idx="3">
                  <c:v>24</c:v>
                </c:pt>
                <c:pt idx="4">
                  <c:v>5</c:v>
                </c:pt>
                <c:pt idx="5">
                  <c:v>4</c:v>
                </c:pt>
              </c:numCache>
            </c:numRef>
          </c:val>
          <c:extLst>
            <c:ext xmlns:c16="http://schemas.microsoft.com/office/drawing/2014/chart" uri="{C3380CC4-5D6E-409C-BE32-E72D297353CC}">
              <c16:uniqueId val="{0000000B-B54C-4A76-9B33-339D9EA38A20}"/>
            </c:ext>
          </c:extLst>
        </c:ser>
        <c:dLbls>
          <c:dLblPos val="inEnd"/>
          <c:showLegendKey val="0"/>
          <c:showVal val="1"/>
          <c:showCatName val="0"/>
          <c:showSerName val="0"/>
          <c:showPercent val="0"/>
          <c:showBubbleSize val="0"/>
        </c:dLbls>
        <c:gapWidth val="41"/>
        <c:axId val="542844912"/>
        <c:axId val="542843928"/>
      </c:barChart>
      <c:catAx>
        <c:axId val="542844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bg-BG"/>
          </a:p>
        </c:txPr>
        <c:crossAx val="542843928"/>
        <c:crosses val="autoZero"/>
        <c:auto val="1"/>
        <c:lblAlgn val="ctr"/>
        <c:lblOffset val="100"/>
        <c:noMultiLvlLbl val="0"/>
      </c:catAx>
      <c:valAx>
        <c:axId val="542843928"/>
        <c:scaling>
          <c:orientation val="minMax"/>
        </c:scaling>
        <c:delete val="1"/>
        <c:axPos val="l"/>
        <c:numFmt formatCode="General" sourceLinked="1"/>
        <c:majorTickMark val="none"/>
        <c:minorTickMark val="none"/>
        <c:tickLblPos val="nextTo"/>
        <c:crossAx val="54284491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bg-BG"/>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0.77878</cdr:x>
      <cdr:y>0.9122</cdr:y>
    </cdr:from>
    <cdr:to>
      <cdr:x>1</cdr:x>
      <cdr:y>1</cdr:y>
    </cdr:to>
    <cdr:sp macro="" textlink="">
      <cdr:nvSpPr>
        <cdr:cNvPr id="2" name="Text Box 1"/>
        <cdr:cNvSpPr txBox="1"/>
      </cdr:nvSpPr>
      <cdr:spPr>
        <a:xfrm xmlns:a="http://schemas.openxmlformats.org/drawingml/2006/main">
          <a:off x="5643880" y="3189605"/>
          <a:ext cx="1303020" cy="2508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spcAft>
              <a:spcPts val="0"/>
            </a:spcAft>
          </a:pPr>
          <a:r>
            <a:rPr lang="bg-BG" sz="900" b="1" i="1">
              <a:solidFill>
                <a:srgbClr val="C00000"/>
              </a:solidFill>
              <a:effectLst/>
              <a:latin typeface="Calibri" panose="020F0502020204030204" pitchFamily="34" charset="0"/>
              <a:ea typeface="Times New Roman" panose="02020603050405020304" pitchFamily="18" charset="0"/>
              <a:cs typeface="Times New Roman" panose="02020603050405020304" pitchFamily="18" charset="0"/>
            </a:rPr>
            <a:t>към декември 2021 г. г</a:t>
          </a:r>
          <a:r>
            <a:rPr lang="bg-BG" sz="1100" b="1" i="1">
              <a:solidFill>
                <a:srgbClr val="C00000"/>
              </a:solidFill>
              <a:effectLst/>
              <a:latin typeface="Calibri" panose="020F0502020204030204" pitchFamily="34" charset="0"/>
              <a:ea typeface="Times New Roman" panose="02020603050405020304" pitchFamily="18" charset="0"/>
              <a:cs typeface="Times New Roman" panose="02020603050405020304" pitchFamily="18" charset="0"/>
            </a:rPr>
            <a:t>.</a:t>
          </a:r>
          <a:endParaRPr lang="bg-BG"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F8497-F08C-4977-8EFA-FFB49AD6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3792</Words>
  <Characters>21619</Characters>
  <Application>Microsoft Office Word</Application>
  <DocSecurity>0</DocSecurity>
  <Lines>180</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 Dimova</dc:creator>
  <cp:keywords/>
  <dc:description/>
  <cp:lastModifiedBy>Nelly Stoyanova</cp:lastModifiedBy>
  <cp:revision>7</cp:revision>
  <dcterms:created xsi:type="dcterms:W3CDTF">2022-01-05T14:13:00Z</dcterms:created>
  <dcterms:modified xsi:type="dcterms:W3CDTF">2022-01-26T10:59:00Z</dcterms:modified>
</cp:coreProperties>
</file>