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5022" w:rsidRDefault="0075502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0" w:firstLine="0"/>
        <w:rPr>
          <w:color w:val="auto"/>
        </w:rPr>
      </w:pPr>
      <w:r>
        <w:object w:dxaOrig="2258" w:dyaOrig="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7.75pt" o:ole="">
            <v:imagedata r:id="rId8" o:title=""/>
          </v:shape>
          <o:OLEObject Type="Embed" ProgID="CorelDRAW.Graphic.11" ShapeID="_x0000_i1025" DrawAspect="Content" ObjectID="_1521553157" r:id="rId9"/>
        </w:object>
      </w:r>
    </w:p>
    <w:p w:rsidR="00755022" w:rsidRDefault="0075502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0" w:firstLine="0"/>
        <w:rPr>
          <w:color w:val="auto"/>
        </w:rPr>
      </w:pPr>
    </w:p>
    <w:p w:rsidR="00E40165" w:rsidRPr="00755022" w:rsidRDefault="00E40165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0" w:firstLine="0"/>
        <w:rPr>
          <w:color w:val="auto"/>
          <w:sz w:val="28"/>
          <w:szCs w:val="28"/>
        </w:rPr>
      </w:pPr>
      <w:r w:rsidRPr="00755022">
        <w:rPr>
          <w:color w:val="auto"/>
          <w:sz w:val="28"/>
          <w:szCs w:val="28"/>
        </w:rPr>
        <w:t xml:space="preserve">Р Е П У Б Л И К А  Б Ъ Л Г А Р И Я </w:t>
      </w:r>
    </w:p>
    <w:p w:rsidR="00E40165" w:rsidRPr="00755022" w:rsidRDefault="00E40165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0" w:firstLine="0"/>
        <w:rPr>
          <w:color w:val="auto"/>
          <w:sz w:val="28"/>
          <w:szCs w:val="28"/>
        </w:rPr>
      </w:pPr>
      <w:r w:rsidRPr="00755022">
        <w:rPr>
          <w:color w:val="auto"/>
          <w:sz w:val="28"/>
          <w:szCs w:val="28"/>
        </w:rPr>
        <w:t>М И Н И С Т Е Р С К И   С Ъ В Е Т</w:t>
      </w:r>
    </w:p>
    <w:p w:rsidR="00E40165" w:rsidRPr="00755022" w:rsidRDefault="00E40165">
      <w:pPr>
        <w:pStyle w:val="Heading2"/>
        <w:rPr>
          <w:szCs w:val="28"/>
        </w:rPr>
      </w:pPr>
      <w:r w:rsidRPr="00755022">
        <w:rPr>
          <w:szCs w:val="28"/>
        </w:rPr>
        <w:t>Проект</w:t>
      </w:r>
    </w:p>
    <w:p w:rsidR="00E40165" w:rsidRPr="00755022" w:rsidRDefault="00E40165">
      <w:pPr>
        <w:jc w:val="center"/>
        <w:rPr>
          <w:b/>
          <w:caps/>
          <w:sz w:val="28"/>
          <w:szCs w:val="28"/>
          <w:lang w:val="bg-BG"/>
        </w:rPr>
      </w:pPr>
    </w:p>
    <w:p w:rsidR="00E40165" w:rsidRPr="00755022" w:rsidRDefault="00E40165">
      <w:pPr>
        <w:jc w:val="center"/>
        <w:rPr>
          <w:b/>
          <w:sz w:val="28"/>
          <w:szCs w:val="28"/>
          <w:lang w:val="bg-BG"/>
        </w:rPr>
      </w:pPr>
      <w:r w:rsidRPr="00755022">
        <w:rPr>
          <w:b/>
          <w:caps/>
          <w:sz w:val="28"/>
          <w:szCs w:val="28"/>
          <w:lang w:val="bg-BG"/>
        </w:rPr>
        <w:t xml:space="preserve">П о с т а н о в л е н и е   </w:t>
      </w:r>
      <w:r w:rsidRPr="00755022">
        <w:rPr>
          <w:b/>
          <w:sz w:val="28"/>
          <w:szCs w:val="28"/>
          <w:lang w:val="bg-BG"/>
        </w:rPr>
        <w:t xml:space="preserve">№ </w:t>
      </w:r>
    </w:p>
    <w:p w:rsidR="00E40165" w:rsidRPr="002C52BE" w:rsidRDefault="00E40165">
      <w:pPr>
        <w:jc w:val="center"/>
        <w:rPr>
          <w:b/>
          <w:lang w:val="bg-BG"/>
        </w:rPr>
      </w:pPr>
    </w:p>
    <w:p w:rsidR="00E40165" w:rsidRPr="002C52BE" w:rsidRDefault="00E40165">
      <w:pPr>
        <w:jc w:val="center"/>
        <w:rPr>
          <w:b/>
          <w:lang w:val="bg-BG"/>
        </w:rPr>
      </w:pPr>
      <w:r w:rsidRPr="002C52BE">
        <w:rPr>
          <w:b/>
          <w:lang w:val="bg-BG"/>
        </w:rPr>
        <w:t xml:space="preserve">от </w:t>
      </w:r>
      <w:r w:rsidR="003028C1">
        <w:rPr>
          <w:b/>
          <w:lang w:val="bg-BG"/>
        </w:rPr>
        <w:t xml:space="preserve">                                </w:t>
      </w:r>
      <w:r w:rsidRPr="002C52BE">
        <w:rPr>
          <w:b/>
          <w:lang w:val="bg-BG"/>
        </w:rPr>
        <w:t>201</w:t>
      </w:r>
      <w:r w:rsidR="006B5A25" w:rsidRPr="002C52BE">
        <w:rPr>
          <w:b/>
          <w:lang w:val="bg-BG"/>
        </w:rPr>
        <w:t>6</w:t>
      </w:r>
      <w:r w:rsidRPr="002C52BE">
        <w:rPr>
          <w:b/>
          <w:lang w:val="bg-BG"/>
        </w:rPr>
        <w:t xml:space="preserve"> г.</w:t>
      </w:r>
    </w:p>
    <w:p w:rsidR="00E40165" w:rsidRPr="002C52BE" w:rsidRDefault="00E40165">
      <w:pPr>
        <w:rPr>
          <w:lang w:val="bg-BG"/>
        </w:rPr>
      </w:pPr>
    </w:p>
    <w:p w:rsidR="00E40165" w:rsidRPr="007C42F4" w:rsidRDefault="007C42F4" w:rsidP="007C42F4">
      <w:pPr>
        <w:pStyle w:val="BodyTextIndent"/>
        <w:ind w:left="0" w:firstLine="709"/>
        <w:jc w:val="both"/>
        <w:rPr>
          <w:lang w:val="bg-BG"/>
        </w:rPr>
      </w:pPr>
      <w:r>
        <w:rPr>
          <w:b/>
          <w:lang w:val="bg-BG"/>
        </w:rPr>
        <w:t>З</w:t>
      </w:r>
      <w:r w:rsidR="00E40165" w:rsidRPr="002C52BE">
        <w:rPr>
          <w:b/>
          <w:lang w:val="bg-BG"/>
        </w:rPr>
        <w:t>а изменение и допълнение на Наредбата за пенсиите и осигурителния стаж</w:t>
      </w:r>
      <w:r w:rsidR="003028C1">
        <w:rPr>
          <w:b/>
          <w:lang w:val="bg-BG"/>
        </w:rPr>
        <w:t>,</w:t>
      </w:r>
      <w:r w:rsidR="00A0190B">
        <w:rPr>
          <w:b/>
          <w:lang w:val="bg-BG"/>
        </w:rPr>
        <w:t xml:space="preserve"> </w:t>
      </w:r>
      <w:r w:rsidR="00E40165" w:rsidRPr="002C52BE">
        <w:rPr>
          <w:lang w:val="bg-BG"/>
        </w:rPr>
        <w:t>приета с Постановление № 30 н</w:t>
      </w:r>
      <w:r w:rsidR="003028C1">
        <w:rPr>
          <w:lang w:val="bg-BG"/>
        </w:rPr>
        <w:t xml:space="preserve">а Министерския съвет от 2000 г. </w:t>
      </w:r>
      <w:r w:rsidR="009A1C42">
        <w:rPr>
          <w:lang w:val="bg-BG"/>
        </w:rPr>
        <w:t>(</w:t>
      </w:r>
      <w:r w:rsidR="00E40165" w:rsidRPr="002C52BE">
        <w:rPr>
          <w:lang w:val="bg-BG"/>
        </w:rPr>
        <w:t xml:space="preserve">обн., ДВ, бр. 21 от 2000 г.; изм. и доп., бр. 43, 61 и 81 от 2000 г., бр. 36 от 2001 г., бр. 19 от 2002 г.; попр., бр. 21 от 2002 г.; доп., бр. 74 от 2002 г.; Решение № 7581 на Върховния административен съд от 2002 г. - бр. 76 от 2002 г.; Решение № 11701 на Върховния административен съд от 2002 г. - бр. 119 от 2002 г.; изм. и доп., бр. 19 от 2003 г., бр. 25 и 68 от </w:t>
      </w:r>
      <w:r w:rsidR="00E40165" w:rsidRPr="00755022">
        <w:rPr>
          <w:lang w:val="bg-BG"/>
        </w:rPr>
        <w:t xml:space="preserve">2004 г., бр. 24 от 2005 г., бр. 48 от 2006 г., бр. 15 от 2007 г., бр. 17 от 2008 г., бр. 1, 16, 79, 84 и 87 от 2009 г., бр. 2 от 2010 г. и бр. 13 от 2011 г., бр. 16 </w:t>
      </w:r>
      <w:r w:rsidR="00755022" w:rsidRPr="00755022">
        <w:rPr>
          <w:lang w:val="bg-BG"/>
        </w:rPr>
        <w:t>и бр.</w:t>
      </w:r>
      <w:r w:rsidR="00E40165" w:rsidRPr="00755022">
        <w:rPr>
          <w:lang w:val="bg-BG"/>
        </w:rPr>
        <w:t xml:space="preserve"> 80 от 2012 г., изм. и доп. бр. 33 от 2013 г., </w:t>
      </w:r>
      <w:r w:rsidR="00755022" w:rsidRPr="00755022">
        <w:rPr>
          <w:lang w:val="bg-BG"/>
        </w:rPr>
        <w:t xml:space="preserve">изм., </w:t>
      </w:r>
      <w:r w:rsidR="00E40165" w:rsidRPr="00755022">
        <w:rPr>
          <w:lang w:val="bg-BG"/>
        </w:rPr>
        <w:t xml:space="preserve">бр. 62 от 2013 г., изм. </w:t>
      </w:r>
      <w:r w:rsidR="008E64A7" w:rsidRPr="00755022">
        <w:rPr>
          <w:lang w:val="bg-BG"/>
        </w:rPr>
        <w:t>и</w:t>
      </w:r>
      <w:r w:rsidR="00E40165" w:rsidRPr="00755022">
        <w:rPr>
          <w:lang w:val="bg-BG"/>
        </w:rPr>
        <w:t xml:space="preserve"> доп. бр. 23 от 2014 г., бр. 19 от 2015 г.</w:t>
      </w:r>
      <w:r w:rsidR="00755022" w:rsidRPr="00755022">
        <w:rPr>
          <w:lang w:val="bg-BG"/>
        </w:rPr>
        <w:t xml:space="preserve"> изм., </w:t>
      </w:r>
      <w:r w:rsidR="00755022" w:rsidRPr="007C42F4">
        <w:rPr>
          <w:lang w:val="bg-BG"/>
        </w:rPr>
        <w:t>бр. 40 от</w:t>
      </w:r>
      <w:r>
        <w:rPr>
          <w:lang w:val="bg-BG"/>
        </w:rPr>
        <w:t xml:space="preserve"> </w:t>
      </w:r>
      <w:r w:rsidR="00755022" w:rsidRPr="007C42F4">
        <w:rPr>
          <w:lang w:val="bg-BG"/>
        </w:rPr>
        <w:t>2015 г.</w:t>
      </w:r>
      <w:r w:rsidRPr="007C42F4">
        <w:rPr>
          <w:lang w:val="bg-BG"/>
        </w:rPr>
        <w:t xml:space="preserve"> и бр. 17 от 2016г.</w:t>
      </w:r>
      <w:r w:rsidR="00E40165" w:rsidRPr="007C42F4">
        <w:rPr>
          <w:lang w:val="bg-BG"/>
        </w:rPr>
        <w:t>)</w:t>
      </w:r>
    </w:p>
    <w:p w:rsidR="00E40165" w:rsidRPr="002C52BE" w:rsidRDefault="00E40165">
      <w:pPr>
        <w:jc w:val="center"/>
        <w:rPr>
          <w:bCs/>
          <w:w w:val="130"/>
          <w:lang w:val="bg-BG"/>
        </w:rPr>
      </w:pPr>
    </w:p>
    <w:p w:rsidR="00E40165" w:rsidRPr="002C52BE" w:rsidRDefault="00E40165">
      <w:pPr>
        <w:jc w:val="center"/>
        <w:rPr>
          <w:b/>
          <w:bCs/>
          <w:lang w:val="bg-BG"/>
        </w:rPr>
      </w:pPr>
      <w:r w:rsidRPr="002C52BE">
        <w:rPr>
          <w:b/>
          <w:bCs/>
          <w:lang w:val="bg-BG"/>
        </w:rPr>
        <w:t>МИНИСТЕРСКИЯТ СЪВЕТ</w:t>
      </w:r>
    </w:p>
    <w:p w:rsidR="00E40165" w:rsidRPr="002C52BE" w:rsidRDefault="00E40165">
      <w:pPr>
        <w:jc w:val="center"/>
        <w:rPr>
          <w:b/>
          <w:bCs/>
          <w:spacing w:val="-6"/>
          <w:w w:val="130"/>
          <w:lang w:val="bg-BG"/>
        </w:rPr>
      </w:pPr>
      <w:r w:rsidRPr="002C52BE">
        <w:rPr>
          <w:b/>
          <w:bCs/>
          <w:spacing w:val="-6"/>
          <w:w w:val="130"/>
          <w:lang w:val="bg-BG"/>
        </w:rPr>
        <w:t>ПОСТАНОВИ:</w:t>
      </w:r>
    </w:p>
    <w:p w:rsidR="00E40165" w:rsidRPr="002C52BE" w:rsidRDefault="00E40165">
      <w:pPr>
        <w:jc w:val="center"/>
        <w:rPr>
          <w:b/>
          <w:bCs/>
          <w:spacing w:val="-6"/>
          <w:w w:val="130"/>
          <w:lang w:val="bg-BG"/>
        </w:rPr>
      </w:pP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/>
          <w:lang w:val="bg-BG" w:eastAsia="bg-BG"/>
        </w:rPr>
        <w:t xml:space="preserve">§ 1. </w:t>
      </w:r>
      <w:r w:rsidRPr="00C66879">
        <w:rPr>
          <w:lang w:val="bg-BG" w:eastAsia="bg-BG"/>
        </w:rPr>
        <w:t>В чл. 92 се правят следните изменения и допълнения:</w:t>
      </w:r>
    </w:p>
    <w:p w:rsidR="00C66879" w:rsidRPr="00C66879" w:rsidRDefault="007E1DED" w:rsidP="00C66879">
      <w:pPr>
        <w:numPr>
          <w:ilvl w:val="0"/>
          <w:numId w:val="11"/>
        </w:numPr>
        <w:ind w:left="0" w:firstLine="709"/>
        <w:jc w:val="both"/>
        <w:rPr>
          <w:lang w:val="bg-BG" w:eastAsia="bg-BG"/>
        </w:rPr>
      </w:pPr>
      <w:r>
        <w:rPr>
          <w:bCs/>
          <w:lang w:val="bg-BG" w:eastAsia="bg-BG"/>
        </w:rPr>
        <w:t xml:space="preserve">Алинеи </w:t>
      </w:r>
      <w:r w:rsidR="00C66879" w:rsidRPr="00C66879">
        <w:rPr>
          <w:bCs/>
          <w:lang w:val="bg-BG" w:eastAsia="bg-BG"/>
        </w:rPr>
        <w:t>2</w:t>
      </w:r>
      <w:r>
        <w:rPr>
          <w:bCs/>
          <w:lang w:val="bg-BG" w:eastAsia="bg-BG"/>
        </w:rPr>
        <w:t>, 3 и 4 се изменят така</w:t>
      </w:r>
      <w:r w:rsidR="00C66879" w:rsidRPr="00C66879">
        <w:rPr>
          <w:bCs/>
          <w:lang w:val="bg-BG" w:eastAsia="bg-BG"/>
        </w:rPr>
        <w:t>:</w:t>
      </w: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Cs/>
          <w:lang w:val="bg-BG" w:eastAsia="bg-BG"/>
        </w:rPr>
        <w:t>„</w:t>
      </w:r>
      <w:r w:rsidRPr="00C66879">
        <w:rPr>
          <w:bCs/>
          <w:lang w:val="en-US" w:eastAsia="bg-BG"/>
        </w:rPr>
        <w:t>(2)</w:t>
      </w:r>
      <w:r w:rsidRPr="00C66879">
        <w:rPr>
          <w:lang w:val="bg-BG" w:eastAsia="bg-BG"/>
        </w:rPr>
        <w:t xml:space="preserve"> За </w:t>
      </w:r>
      <w:r w:rsidRPr="00C66879">
        <w:rPr>
          <w:highlight w:val="white"/>
          <w:shd w:val="clear" w:color="auto" w:fill="FEFEFE"/>
          <w:lang w:val="bg-BG"/>
        </w:rPr>
        <w:t xml:space="preserve">компенсиране на разходите за изплащане на пенсии </w:t>
      </w:r>
      <w:r w:rsidRPr="00C66879">
        <w:rPr>
          <w:lang w:val="bg-BG" w:eastAsia="bg-BG"/>
        </w:rPr>
        <w:t xml:space="preserve">чрез пощенските станции, Националният осигурителен институт превежда авансово въз основа на данъчна фактура до 7-мо число на месеца на </w:t>
      </w:r>
      <w:r w:rsidRPr="00C66879">
        <w:rPr>
          <w:shd w:val="clear" w:color="auto" w:fill="FEFEFE"/>
          <w:lang w:val="bg-BG"/>
        </w:rPr>
        <w:t xml:space="preserve">дружеството, натоварено с извършването на </w:t>
      </w:r>
      <w:r w:rsidRPr="00C66879">
        <w:rPr>
          <w:highlight w:val="white"/>
          <w:shd w:val="clear" w:color="auto" w:fill="FEFEFE"/>
          <w:lang w:val="bg-BG"/>
        </w:rPr>
        <w:t xml:space="preserve">обществената услуга </w:t>
      </w:r>
      <w:r w:rsidRPr="00C66879">
        <w:rPr>
          <w:lang w:val="bg-BG"/>
        </w:rPr>
        <w:t>на територията на цялата страна</w:t>
      </w:r>
      <w:r w:rsidRPr="00C66879">
        <w:rPr>
          <w:lang w:val="bg-BG" w:eastAsia="bg-BG"/>
        </w:rPr>
        <w:t>,</w:t>
      </w:r>
      <w:r w:rsidRPr="00C66879">
        <w:rPr>
          <w:shd w:val="clear" w:color="auto" w:fill="FEFEFE"/>
          <w:lang w:val="bg-BG"/>
        </w:rPr>
        <w:t xml:space="preserve"> </w:t>
      </w:r>
      <w:r w:rsidRPr="00C66879">
        <w:rPr>
          <w:lang w:val="bg-BG" w:eastAsia="bg-BG"/>
        </w:rPr>
        <w:t>парична сума в размер равен на 1/12 част от компенсацията за предходната година.</w:t>
      </w:r>
      <w:r w:rsidRPr="00C66879">
        <w:rPr>
          <w:lang w:val="en-US" w:eastAsia="bg-BG"/>
        </w:rPr>
        <w:t xml:space="preserve"> 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bCs/>
          <w:shd w:val="clear" w:color="auto" w:fill="FEFEFE"/>
          <w:lang w:val="bg-BG"/>
        </w:rPr>
        <w:t>(3)</w:t>
      </w:r>
      <w:r w:rsidRPr="00C66879">
        <w:rPr>
          <w:shd w:val="clear" w:color="auto" w:fill="FEFEFE"/>
          <w:lang w:val="bg-BG"/>
        </w:rPr>
        <w:t xml:space="preserve"> В срок до </w:t>
      </w:r>
      <w:r w:rsidRPr="00C66879">
        <w:rPr>
          <w:lang w:val="bg-BG" w:eastAsia="bg-BG"/>
        </w:rPr>
        <w:t>31 май на текущата година дружеството по ал.</w:t>
      </w:r>
      <w:r w:rsidRPr="00C66879">
        <w:rPr>
          <w:lang w:val="ru-RU" w:eastAsia="bg-BG"/>
        </w:rPr>
        <w:t xml:space="preserve"> </w:t>
      </w:r>
      <w:r w:rsidRPr="00C66879">
        <w:rPr>
          <w:lang w:val="bg-BG" w:eastAsia="bg-BG"/>
        </w:rPr>
        <w:t xml:space="preserve">2 изготвя и представя на </w:t>
      </w:r>
      <w:r w:rsidRPr="00C66879">
        <w:rPr>
          <w:lang w:val="bg-BG"/>
        </w:rPr>
        <w:t>министъра на транспорта, информационните технологии и съобщенията</w:t>
      </w:r>
      <w:r w:rsidRPr="00C66879">
        <w:rPr>
          <w:lang w:val="bg-BG" w:eastAsia="bg-BG"/>
        </w:rPr>
        <w:t xml:space="preserve"> обобщен годишен доклад за действително направените </w:t>
      </w:r>
      <w:r w:rsidRPr="00C66879">
        <w:rPr>
          <w:highlight w:val="white"/>
          <w:shd w:val="clear" w:color="auto" w:fill="FEFEFE"/>
          <w:lang w:val="bg-BG"/>
        </w:rPr>
        <w:t xml:space="preserve">нетни разходи, </w:t>
      </w:r>
      <w:r w:rsidRPr="00C66879">
        <w:rPr>
          <w:shd w:val="clear" w:color="auto" w:fill="FEFEFE"/>
          <w:lang w:val="bg-BG"/>
        </w:rPr>
        <w:t xml:space="preserve">разходите за инвестиции </w:t>
      </w:r>
      <w:r w:rsidRPr="00C66879">
        <w:rPr>
          <w:highlight w:val="white"/>
          <w:shd w:val="clear" w:color="auto" w:fill="FEFEFE"/>
          <w:lang w:val="bg-BG"/>
        </w:rPr>
        <w:t>и разумната печалба</w:t>
      </w:r>
      <w:r w:rsidRPr="00C66879">
        <w:rPr>
          <w:lang w:val="bg-BG" w:eastAsia="bg-BG"/>
        </w:rPr>
        <w:t xml:space="preserve">, </w:t>
      </w:r>
      <w:r w:rsidRPr="00C66879">
        <w:rPr>
          <w:highlight w:val="white"/>
          <w:shd w:val="clear" w:color="auto" w:fill="FEFEFE"/>
          <w:lang w:val="bg-BG"/>
        </w:rPr>
        <w:t xml:space="preserve">за извършване на обществената услуга </w:t>
      </w:r>
      <w:r w:rsidRPr="00C66879">
        <w:rPr>
          <w:shd w:val="clear" w:color="auto" w:fill="FEFEFE"/>
          <w:lang w:val="bg-BG"/>
        </w:rPr>
        <w:t>по изплащане на пенсии</w:t>
      </w:r>
      <w:r w:rsidRPr="00C66879">
        <w:rPr>
          <w:color w:val="FF0000"/>
          <w:highlight w:val="white"/>
          <w:shd w:val="clear" w:color="auto" w:fill="FEFEFE"/>
          <w:lang w:val="bg-BG"/>
        </w:rPr>
        <w:t xml:space="preserve"> </w:t>
      </w:r>
      <w:r w:rsidRPr="00C66879">
        <w:rPr>
          <w:highlight w:val="white"/>
          <w:shd w:val="clear" w:color="auto" w:fill="FEFEFE"/>
          <w:lang w:val="bg-BG"/>
        </w:rPr>
        <w:t xml:space="preserve">през предходната година, </w:t>
      </w:r>
      <w:r w:rsidRPr="00C66879">
        <w:rPr>
          <w:shd w:val="clear" w:color="auto" w:fill="FEFEFE"/>
          <w:lang w:val="bg-BG"/>
        </w:rPr>
        <w:t>о</w:t>
      </w:r>
      <w:r w:rsidRPr="00C66879">
        <w:rPr>
          <w:highlight w:val="white"/>
          <w:shd w:val="clear" w:color="auto" w:fill="FEFEFE"/>
          <w:lang w:val="bg-BG"/>
        </w:rPr>
        <w:t>предел</w:t>
      </w:r>
      <w:r w:rsidRPr="00C66879">
        <w:rPr>
          <w:shd w:val="clear" w:color="auto" w:fill="FEFEFE"/>
          <w:lang w:val="bg-BG"/>
        </w:rPr>
        <w:t xml:space="preserve">ени в съответствие с изискванията на механизма посочен в </w:t>
      </w:r>
      <w:r w:rsidR="007E1DED">
        <w:rPr>
          <w:shd w:val="clear" w:color="auto" w:fill="FEFEFE"/>
          <w:lang w:val="bg-BG"/>
        </w:rPr>
        <w:t>п</w:t>
      </w:r>
      <w:r w:rsidRPr="00C66879">
        <w:rPr>
          <w:shd w:val="clear" w:color="auto" w:fill="FEFEFE"/>
          <w:lang w:val="bg-BG"/>
        </w:rPr>
        <w:t xml:space="preserve">риложение към Наредбата. Докладът съдържа и размера на исканата компенсация за наличието на несправедлива финансова тежест, определена  съгласно </w:t>
      </w:r>
      <w:r w:rsidR="007E1DED">
        <w:rPr>
          <w:shd w:val="clear" w:color="auto" w:fill="FEFEFE"/>
          <w:lang w:val="bg-BG"/>
        </w:rPr>
        <w:t>п</w:t>
      </w:r>
      <w:r w:rsidRPr="00C66879">
        <w:rPr>
          <w:shd w:val="clear" w:color="auto" w:fill="FEFEFE"/>
          <w:lang w:val="bg-BG"/>
        </w:rPr>
        <w:t>риложение</w:t>
      </w:r>
      <w:r w:rsidR="007E1DED">
        <w:rPr>
          <w:shd w:val="clear" w:color="auto" w:fill="FEFEFE"/>
          <w:lang w:val="bg-BG"/>
        </w:rPr>
        <w:t>то</w:t>
      </w:r>
      <w:r w:rsidRPr="00C66879">
        <w:rPr>
          <w:shd w:val="clear" w:color="auto" w:fill="FEFEFE"/>
          <w:lang w:val="bg-BG"/>
        </w:rPr>
        <w:t xml:space="preserve"> </w:t>
      </w:r>
      <w:r w:rsidR="007E1DED">
        <w:rPr>
          <w:shd w:val="clear" w:color="auto" w:fill="FEFEFE"/>
          <w:lang w:val="bg-BG"/>
        </w:rPr>
        <w:t>към наредбата.</w:t>
      </w: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Cs/>
          <w:lang w:val="bg-BG" w:eastAsia="bg-BG"/>
        </w:rPr>
        <w:t>(4)</w:t>
      </w:r>
      <w:r w:rsidRPr="00C66879">
        <w:rPr>
          <w:lang w:val="bg-BG" w:eastAsia="bg-BG"/>
        </w:rPr>
        <w:t xml:space="preserve"> </w:t>
      </w:r>
      <w:r w:rsidRPr="00C66879">
        <w:rPr>
          <w:lang w:val="bg-BG"/>
        </w:rPr>
        <w:t xml:space="preserve">Министърът на транспорта, информационните технологии и съобщенията </w:t>
      </w:r>
      <w:r w:rsidRPr="00C66879">
        <w:rPr>
          <w:lang w:val="bg-BG" w:eastAsia="bg-BG"/>
        </w:rPr>
        <w:t xml:space="preserve">ежегодно назначава </w:t>
      </w:r>
      <w:r w:rsidRPr="00C66879">
        <w:rPr>
          <w:lang w:val="bg-BG"/>
        </w:rPr>
        <w:t xml:space="preserve">независим одитор за </w:t>
      </w:r>
      <w:r w:rsidRPr="00C66879">
        <w:rPr>
          <w:lang w:val="bg-BG" w:eastAsia="bg-BG"/>
        </w:rPr>
        <w:t xml:space="preserve">проверка за съответствие на представения доклад и поискания размер по ал. 3 с изискванията на </w:t>
      </w:r>
      <w:r w:rsidRPr="00C66879">
        <w:rPr>
          <w:shd w:val="clear" w:color="auto" w:fill="FEFEFE"/>
          <w:lang w:val="bg-BG"/>
        </w:rPr>
        <w:t>механизма</w:t>
      </w:r>
      <w:r w:rsidR="007E1DED">
        <w:rPr>
          <w:shd w:val="clear" w:color="auto" w:fill="FEFEFE"/>
          <w:lang w:val="bg-BG"/>
        </w:rPr>
        <w:t>,</w:t>
      </w:r>
      <w:r w:rsidRPr="00C66879">
        <w:rPr>
          <w:shd w:val="clear" w:color="auto" w:fill="FEFEFE"/>
          <w:lang w:val="bg-BG"/>
        </w:rPr>
        <w:t xml:space="preserve"> посочен в </w:t>
      </w:r>
      <w:r w:rsidR="007E1DED">
        <w:rPr>
          <w:shd w:val="clear" w:color="auto" w:fill="FEFEFE"/>
          <w:lang w:val="bg-BG"/>
        </w:rPr>
        <w:t>п</w:t>
      </w:r>
      <w:r w:rsidRPr="00C66879">
        <w:rPr>
          <w:shd w:val="clear" w:color="auto" w:fill="FEFEFE"/>
          <w:lang w:val="bg-BG"/>
        </w:rPr>
        <w:t>риложение към Наредбата.</w:t>
      </w:r>
      <w:r w:rsidRPr="00C66879">
        <w:rPr>
          <w:lang w:val="bg-BG" w:eastAsia="bg-BG"/>
        </w:rPr>
        <w:t xml:space="preserve"> Разходите за одита се поемат ежегодно от Националния осигурителен институт, чрез извършване на трансфер към бюджета на Министерството на транспорта, информацион</w:t>
      </w:r>
      <w:r w:rsidR="007E1DED">
        <w:rPr>
          <w:lang w:val="bg-BG" w:eastAsia="bg-BG"/>
        </w:rPr>
        <w:t>ните технологии и съобщенията.“</w:t>
      </w:r>
    </w:p>
    <w:p w:rsidR="00C66879" w:rsidRPr="00C66879" w:rsidRDefault="00C66879" w:rsidP="00C66879">
      <w:pPr>
        <w:numPr>
          <w:ilvl w:val="0"/>
          <w:numId w:val="11"/>
        </w:numPr>
        <w:ind w:left="0" w:firstLine="709"/>
        <w:jc w:val="both"/>
        <w:rPr>
          <w:b/>
          <w:lang w:val="bg-BG" w:eastAsia="bg-BG"/>
        </w:rPr>
      </w:pPr>
      <w:r w:rsidRPr="00C66879">
        <w:rPr>
          <w:lang w:val="bg-BG" w:eastAsia="bg-BG"/>
        </w:rPr>
        <w:t>Създава</w:t>
      </w:r>
      <w:r w:rsidR="007E1DED">
        <w:rPr>
          <w:lang w:val="bg-BG" w:eastAsia="bg-BG"/>
        </w:rPr>
        <w:t>т</w:t>
      </w:r>
      <w:r w:rsidRPr="00C66879">
        <w:rPr>
          <w:lang w:val="bg-BG" w:eastAsia="bg-BG"/>
        </w:rPr>
        <w:t xml:space="preserve"> се нов</w:t>
      </w:r>
      <w:r w:rsidR="007E1DED">
        <w:rPr>
          <w:lang w:val="bg-BG" w:eastAsia="bg-BG"/>
        </w:rPr>
        <w:t>и</w:t>
      </w:r>
      <w:r w:rsidRPr="00C66879">
        <w:rPr>
          <w:lang w:val="bg-BG" w:eastAsia="bg-BG"/>
        </w:rPr>
        <w:t xml:space="preserve"> ал. 5</w:t>
      </w:r>
      <w:r w:rsidR="007E1DED">
        <w:rPr>
          <w:lang w:val="bg-BG" w:eastAsia="bg-BG"/>
        </w:rPr>
        <w:t>-11</w:t>
      </w:r>
      <w:r w:rsidRPr="00C66879">
        <w:rPr>
          <w:lang w:val="bg-BG" w:eastAsia="bg-BG"/>
        </w:rPr>
        <w:t xml:space="preserve">: </w:t>
      </w: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/>
          <w:bCs/>
          <w:lang w:val="bg-BG" w:eastAsia="bg-BG"/>
        </w:rPr>
        <w:t xml:space="preserve"> </w:t>
      </w:r>
      <w:r w:rsidRPr="00C66879">
        <w:rPr>
          <w:bCs/>
          <w:lang w:val="bg-BG" w:eastAsia="bg-BG"/>
        </w:rPr>
        <w:t>„(5)</w:t>
      </w:r>
      <w:r w:rsidRPr="00C66879">
        <w:rPr>
          <w:lang w:val="bg-BG" w:eastAsia="bg-BG"/>
        </w:rPr>
        <w:t xml:space="preserve"> В срок до три месеца от представяне на обобщения годишен доклад, </w:t>
      </w:r>
      <w:r w:rsidRPr="00C66879">
        <w:rPr>
          <w:lang w:val="bg-BG"/>
        </w:rPr>
        <w:t xml:space="preserve">министърът на транспорта, информационните технологии и съобщенията, въз основа на мотивиран доклад на одитора със заповед определя </w:t>
      </w:r>
      <w:r w:rsidRPr="00C66879">
        <w:rPr>
          <w:lang w:val="bg-BG" w:eastAsia="bg-BG"/>
        </w:rPr>
        <w:t xml:space="preserve">размера на компенсацията, дължима за </w:t>
      </w:r>
      <w:r w:rsidRPr="00C66879">
        <w:rPr>
          <w:highlight w:val="white"/>
          <w:shd w:val="clear" w:color="auto" w:fill="FEFEFE"/>
          <w:lang w:val="bg-BG"/>
        </w:rPr>
        <w:t xml:space="preserve">извършване на обществената услуга по изплащане на пенсии </w:t>
      </w:r>
      <w:r w:rsidRPr="00C66879">
        <w:rPr>
          <w:lang w:val="bg-BG" w:eastAsia="bg-BG"/>
        </w:rPr>
        <w:t>чрез пощенските с</w:t>
      </w:r>
      <w:r w:rsidR="007E1DED">
        <w:rPr>
          <w:lang w:val="bg-BG" w:eastAsia="bg-BG"/>
        </w:rPr>
        <w:t>танции, за предходната година.“</w:t>
      </w:r>
    </w:p>
    <w:p w:rsidR="00C66879" w:rsidRPr="00C66879" w:rsidRDefault="00C66879" w:rsidP="00C66879">
      <w:pPr>
        <w:ind w:firstLine="709"/>
        <w:jc w:val="both"/>
        <w:rPr>
          <w:lang w:val="bg-BG"/>
        </w:rPr>
      </w:pPr>
      <w:r w:rsidRPr="00C66879">
        <w:rPr>
          <w:lang w:val="bg-BG" w:eastAsia="bg-BG"/>
        </w:rPr>
        <w:lastRenderedPageBreak/>
        <w:t>(6</w:t>
      </w:r>
      <w:r w:rsidRPr="00C66879">
        <w:rPr>
          <w:lang w:val="ru-RU" w:eastAsia="bg-BG"/>
        </w:rPr>
        <w:t>)</w:t>
      </w:r>
      <w:r w:rsidRPr="00C66879">
        <w:rPr>
          <w:lang w:val="bg-BG"/>
        </w:rPr>
        <w:t xml:space="preserve"> Компенсацията за извършване на обществената услуга по изплащане на пенсии чрез пощенските станции не може да  надвишава размера, определен </w:t>
      </w:r>
      <w:r w:rsidRPr="00C66879">
        <w:rPr>
          <w:lang w:val="ru-RU"/>
        </w:rPr>
        <w:t xml:space="preserve"> в</w:t>
      </w:r>
      <w:r w:rsidRPr="00C66879">
        <w:rPr>
          <w:lang w:val="bg-BG"/>
        </w:rPr>
        <w:t xml:space="preserve"> чл.</w:t>
      </w:r>
      <w:r w:rsidRPr="00C66879">
        <w:rPr>
          <w:lang w:val="ru-RU"/>
        </w:rPr>
        <w:t xml:space="preserve"> </w:t>
      </w:r>
      <w:r w:rsidRPr="00C66879">
        <w:rPr>
          <w:lang w:val="bg-BG"/>
        </w:rPr>
        <w:t xml:space="preserve">2, параграф 1, буква “а” от </w:t>
      </w:r>
      <w:r w:rsidRPr="00C66879">
        <w:rPr>
          <w:lang w:val="en"/>
        </w:rPr>
        <w:t xml:space="preserve">Решение 2012/21/EC на Европейската комисия от 20 декември 2011 г. относно прилагането на чл.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 (ОВ, L 7, 11.01.2012 г.), наричано </w:t>
      </w:r>
      <w:r w:rsidR="007E1DED">
        <w:rPr>
          <w:lang w:val="en"/>
        </w:rPr>
        <w:t>по-нататък "Решение 2012/21/ЕС"</w:t>
      </w:r>
      <w:r w:rsidR="007E1DED">
        <w:rPr>
          <w:lang w:val="bg-BG"/>
        </w:rPr>
        <w:t xml:space="preserve"> </w:t>
      </w:r>
      <w:r w:rsidRPr="00C66879">
        <w:rPr>
          <w:lang w:val="bg-BG"/>
        </w:rPr>
        <w:t>- левовата равностойнос</w:t>
      </w:r>
      <w:r w:rsidR="007E1DED">
        <w:rPr>
          <w:lang w:val="bg-BG"/>
        </w:rPr>
        <w:t>т на 15 милиона евро без ДДС.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bCs/>
          <w:lang w:val="ru-RU"/>
        </w:rPr>
        <w:t>(7)</w:t>
      </w:r>
      <w:r w:rsidRPr="00C66879">
        <w:rPr>
          <w:lang w:val="bg-BG"/>
        </w:rPr>
        <w:t xml:space="preserve"> В случай че е установен размер над 15 млн. евро без ДДС компенсацията подлежи на нотифициране на държавна помощ и не се изплаща преди получаване на положително решение от Европейската комисия.</w:t>
      </w:r>
      <w:r w:rsidRPr="00C66879">
        <w:rPr>
          <w:color w:val="FF0000"/>
          <w:lang w:val="bg-BG"/>
        </w:rPr>
        <w:t xml:space="preserve"> </w:t>
      </w:r>
      <w:r w:rsidRPr="00C66879">
        <w:rPr>
          <w:shd w:val="clear" w:color="auto" w:fill="FEFEFE"/>
          <w:lang w:val="bg-BG"/>
        </w:rPr>
        <w:t>В тези случаи, министърът на транспорта, информационните технологии и съобщенията публикува на интернет страницата на министерството информация за размера на помощта, предоставена на дружеството, на годишна основа след одоб</w:t>
      </w:r>
      <w:r w:rsidR="007E1DED">
        <w:rPr>
          <w:shd w:val="clear" w:color="auto" w:fill="FEFEFE"/>
          <w:lang w:val="bg-BG"/>
        </w:rPr>
        <w:t>рение от Европейската комисия.</w:t>
      </w: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Cs/>
          <w:lang w:val="ru-RU"/>
        </w:rPr>
        <w:t>(8)</w:t>
      </w:r>
      <w:r w:rsidRPr="00C66879">
        <w:rPr>
          <w:lang w:val="ru-RU"/>
        </w:rPr>
        <w:t xml:space="preserve"> </w:t>
      </w:r>
      <w:r w:rsidRPr="00C66879">
        <w:rPr>
          <w:lang w:val="bg-BG"/>
        </w:rPr>
        <w:t>Министърът на транспорта, информационните технологии и съобщенията в хода на бюджетната процедура</w:t>
      </w:r>
      <w:r w:rsidRPr="00C66879">
        <w:rPr>
          <w:lang w:val="bg-BG" w:eastAsia="bg-BG"/>
        </w:rPr>
        <w:t xml:space="preserve"> представя заповедта по ал. 5 и документите въз основа на които е издадена на министъра на финансите и на</w:t>
      </w:r>
      <w:r w:rsidRPr="00C66879">
        <w:rPr>
          <w:color w:val="FF0000"/>
          <w:lang w:val="bg-BG" w:eastAsia="bg-BG"/>
        </w:rPr>
        <w:t xml:space="preserve"> </w:t>
      </w:r>
      <w:r w:rsidRPr="00C66879">
        <w:rPr>
          <w:lang w:val="bg-BG" w:eastAsia="bg-BG"/>
        </w:rPr>
        <w:t>управителя на Националния осигурителен институт с предложение за включване на размера на компенсацията в проекта на закона за бюджета на държавното обществено осигуряване за следващата година</w:t>
      </w:r>
      <w:r w:rsidR="007E1DED">
        <w:rPr>
          <w:lang w:val="bg-BG" w:eastAsia="bg-BG"/>
        </w:rPr>
        <w:t>.</w:t>
      </w:r>
      <w:r w:rsidRPr="00C66879">
        <w:rPr>
          <w:lang w:val="bg-BG" w:eastAsia="bg-BG"/>
        </w:rPr>
        <w:t xml:space="preserve"> </w:t>
      </w:r>
    </w:p>
    <w:p w:rsidR="00C66879" w:rsidRPr="00C66879" w:rsidRDefault="00C66879" w:rsidP="00C66879">
      <w:pPr>
        <w:ind w:firstLine="709"/>
        <w:jc w:val="both"/>
        <w:rPr>
          <w:highlight w:val="white"/>
          <w:shd w:val="clear" w:color="auto" w:fill="FEFEFE"/>
          <w:lang w:val="bg-BG"/>
        </w:rPr>
      </w:pPr>
      <w:r w:rsidRPr="00C66879">
        <w:rPr>
          <w:bCs/>
          <w:highlight w:val="white"/>
          <w:shd w:val="clear" w:color="auto" w:fill="FEFEFE"/>
          <w:lang w:val="bg-BG"/>
        </w:rPr>
        <w:t>(</w:t>
      </w:r>
      <w:r w:rsidRPr="00C66879">
        <w:rPr>
          <w:bCs/>
          <w:highlight w:val="white"/>
          <w:shd w:val="clear" w:color="auto" w:fill="FEFEFE"/>
          <w:lang w:val="ru-RU"/>
        </w:rPr>
        <w:t>9</w:t>
      </w:r>
      <w:r w:rsidRPr="00C66879">
        <w:rPr>
          <w:bCs/>
          <w:highlight w:val="white"/>
          <w:shd w:val="clear" w:color="auto" w:fill="FEFEFE"/>
          <w:lang w:val="bg-BG"/>
        </w:rPr>
        <w:t>)</w:t>
      </w:r>
      <w:r w:rsidRPr="00C66879">
        <w:rPr>
          <w:b/>
          <w:bCs/>
          <w:highlight w:val="white"/>
          <w:shd w:val="clear" w:color="auto" w:fill="FEFEFE"/>
          <w:lang w:val="bg-BG"/>
        </w:rPr>
        <w:t xml:space="preserve"> </w:t>
      </w:r>
      <w:r w:rsidRPr="00C66879">
        <w:rPr>
          <w:highlight w:val="white"/>
          <w:shd w:val="clear" w:color="auto" w:fill="FEFEFE"/>
          <w:lang w:val="bg-BG"/>
        </w:rPr>
        <w:t xml:space="preserve">При условие, че </w:t>
      </w:r>
      <w:r w:rsidRPr="00C66879">
        <w:rPr>
          <w:lang w:val="bg-BG" w:eastAsia="bg-BG"/>
        </w:rPr>
        <w:t xml:space="preserve">окончателния размер на </w:t>
      </w:r>
      <w:r w:rsidRPr="00C66879">
        <w:rPr>
          <w:highlight w:val="white"/>
          <w:shd w:val="clear" w:color="auto" w:fill="FEFEFE"/>
          <w:lang w:val="bg-BG"/>
        </w:rPr>
        <w:t>компенсацията превишава получените средства по ал. 2, Националният осигурителен институт  в едномесечен срок от получаване на заповед</w:t>
      </w:r>
      <w:r w:rsidR="007E1DED">
        <w:rPr>
          <w:highlight w:val="white"/>
          <w:shd w:val="clear" w:color="auto" w:fill="FEFEFE"/>
          <w:lang w:val="bg-BG"/>
        </w:rPr>
        <w:t>та по ал. 5 доплаща разликата.</w:t>
      </w:r>
    </w:p>
    <w:p w:rsidR="00C66879" w:rsidRPr="00C66879" w:rsidRDefault="00C66879" w:rsidP="00C66879">
      <w:pPr>
        <w:ind w:firstLine="709"/>
        <w:jc w:val="both"/>
        <w:rPr>
          <w:highlight w:val="white"/>
          <w:shd w:val="clear" w:color="auto" w:fill="FEFEFE"/>
          <w:lang w:val="bg-BG"/>
        </w:rPr>
      </w:pPr>
      <w:r w:rsidRPr="00C66879">
        <w:rPr>
          <w:bCs/>
          <w:highlight w:val="white"/>
          <w:shd w:val="clear" w:color="auto" w:fill="FEFEFE"/>
          <w:lang w:val="bg-BG"/>
        </w:rPr>
        <w:t>(</w:t>
      </w:r>
      <w:r w:rsidRPr="00C66879">
        <w:rPr>
          <w:bCs/>
          <w:highlight w:val="white"/>
          <w:shd w:val="clear" w:color="auto" w:fill="FEFEFE"/>
          <w:lang w:val="ru-RU"/>
        </w:rPr>
        <w:t>10</w:t>
      </w:r>
      <w:r w:rsidRPr="00C66879">
        <w:rPr>
          <w:bCs/>
          <w:highlight w:val="white"/>
          <w:shd w:val="clear" w:color="auto" w:fill="FEFEFE"/>
          <w:lang w:val="bg-BG"/>
        </w:rPr>
        <w:t>)</w:t>
      </w:r>
      <w:r w:rsidRPr="00C66879">
        <w:rPr>
          <w:highlight w:val="white"/>
          <w:shd w:val="clear" w:color="auto" w:fill="FEFEFE"/>
          <w:lang w:val="bg-BG"/>
        </w:rPr>
        <w:t xml:space="preserve"> В случай, че получените средства по ал. 2 превишават </w:t>
      </w:r>
      <w:r w:rsidRPr="00C66879">
        <w:rPr>
          <w:lang w:val="bg-BG" w:eastAsia="bg-BG"/>
        </w:rPr>
        <w:t xml:space="preserve">размера на компенсацията с не повече от 10 %, </w:t>
      </w:r>
      <w:r w:rsidRPr="00C66879">
        <w:rPr>
          <w:shd w:val="clear" w:color="auto" w:fill="FEFEFE"/>
          <w:lang w:val="bg-BG"/>
        </w:rPr>
        <w:t>размерът на превишението</w:t>
      </w:r>
      <w:r w:rsidRPr="00C66879">
        <w:rPr>
          <w:lang w:val="bg-BG" w:eastAsia="bg-BG"/>
        </w:rPr>
        <w:t xml:space="preserve"> се приспада пропорционално от размера на </w:t>
      </w:r>
      <w:r w:rsidRPr="00C66879">
        <w:rPr>
          <w:highlight w:val="white"/>
          <w:shd w:val="clear" w:color="auto" w:fill="FEFEFE"/>
          <w:lang w:val="bg-BG"/>
        </w:rPr>
        <w:t>компенсация</w:t>
      </w:r>
      <w:r w:rsidR="007E1DED">
        <w:rPr>
          <w:highlight w:val="white"/>
          <w:shd w:val="clear" w:color="auto" w:fill="FEFEFE"/>
          <w:lang w:val="bg-BG"/>
        </w:rPr>
        <w:t>та до края на текущата година.</w:t>
      </w: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Cs/>
          <w:highlight w:val="white"/>
          <w:shd w:val="clear" w:color="auto" w:fill="FEFEFE"/>
          <w:lang w:val="bg-BG"/>
        </w:rPr>
        <w:t>(</w:t>
      </w:r>
      <w:r w:rsidRPr="00C66879">
        <w:rPr>
          <w:bCs/>
          <w:highlight w:val="white"/>
          <w:shd w:val="clear" w:color="auto" w:fill="FEFEFE"/>
          <w:lang w:val="ru-RU"/>
        </w:rPr>
        <w:t>11</w:t>
      </w:r>
      <w:r w:rsidRPr="00C66879">
        <w:rPr>
          <w:bCs/>
          <w:highlight w:val="white"/>
          <w:shd w:val="clear" w:color="auto" w:fill="FEFEFE"/>
          <w:lang w:val="bg-BG"/>
        </w:rPr>
        <w:t>)</w:t>
      </w:r>
      <w:r w:rsidRPr="00C66879">
        <w:rPr>
          <w:highlight w:val="white"/>
          <w:shd w:val="clear" w:color="auto" w:fill="FEFEFE"/>
          <w:lang w:val="bg-BG"/>
        </w:rPr>
        <w:t xml:space="preserve"> В случай, че получените средства по ал. 2 превишават </w:t>
      </w:r>
      <w:r w:rsidRPr="00C66879">
        <w:rPr>
          <w:lang w:val="bg-BG" w:eastAsia="bg-BG"/>
        </w:rPr>
        <w:t xml:space="preserve">размера на компенсацията с повече от 10 %, </w:t>
      </w:r>
      <w:r w:rsidRPr="00C66879">
        <w:rPr>
          <w:shd w:val="clear" w:color="auto" w:fill="FEFEFE"/>
          <w:lang w:val="bg-BG"/>
        </w:rPr>
        <w:t>пълният размер на превишението</w:t>
      </w:r>
      <w:r w:rsidRPr="00C66879">
        <w:rPr>
          <w:lang w:val="bg-BG" w:eastAsia="bg-BG"/>
        </w:rPr>
        <w:t xml:space="preserve"> се възстановява от дружеството на Националния осигурителен институт в едномесечен срок от изда</w:t>
      </w:r>
      <w:r w:rsidR="007E1DED">
        <w:rPr>
          <w:lang w:val="bg-BG" w:eastAsia="bg-BG"/>
        </w:rPr>
        <w:t>ването на заповедта по ал. 5.“</w:t>
      </w:r>
    </w:p>
    <w:p w:rsidR="00C66879" w:rsidRPr="00C66879" w:rsidRDefault="00C66879" w:rsidP="00C66879">
      <w:pPr>
        <w:numPr>
          <w:ilvl w:val="0"/>
          <w:numId w:val="11"/>
        </w:numPr>
        <w:ind w:left="0" w:firstLine="709"/>
        <w:jc w:val="both"/>
        <w:rPr>
          <w:lang w:val="bg-BG" w:eastAsia="bg-BG"/>
        </w:rPr>
      </w:pPr>
      <w:r w:rsidRPr="00C66879">
        <w:rPr>
          <w:lang w:val="bg-BG" w:eastAsia="bg-BG"/>
        </w:rPr>
        <w:t>Досегашн</w:t>
      </w:r>
      <w:r w:rsidR="008D49BB">
        <w:rPr>
          <w:lang w:val="bg-BG" w:eastAsia="bg-BG"/>
        </w:rPr>
        <w:t>ите</w:t>
      </w:r>
      <w:r w:rsidRPr="00C66879">
        <w:rPr>
          <w:lang w:val="bg-BG" w:eastAsia="bg-BG"/>
        </w:rPr>
        <w:t xml:space="preserve"> ал. </w:t>
      </w:r>
      <w:r w:rsidR="008D49BB">
        <w:rPr>
          <w:lang w:val="bg-BG" w:eastAsia="bg-BG"/>
        </w:rPr>
        <w:t>5 и 6</w:t>
      </w:r>
      <w:r w:rsidRPr="00C66879">
        <w:rPr>
          <w:lang w:val="bg-BG" w:eastAsia="bg-BG"/>
        </w:rPr>
        <w:t xml:space="preserve"> става</w:t>
      </w:r>
      <w:r w:rsidR="008D49BB">
        <w:rPr>
          <w:lang w:val="bg-BG" w:eastAsia="bg-BG"/>
        </w:rPr>
        <w:t xml:space="preserve">т съответно </w:t>
      </w:r>
      <w:r w:rsidRPr="00C66879">
        <w:rPr>
          <w:lang w:val="bg-BG" w:eastAsia="bg-BG"/>
        </w:rPr>
        <w:t>ал. 12</w:t>
      </w:r>
      <w:r w:rsidR="008D49BB">
        <w:rPr>
          <w:lang w:val="bg-BG" w:eastAsia="bg-BG"/>
        </w:rPr>
        <w:t xml:space="preserve"> и 13.</w:t>
      </w:r>
    </w:p>
    <w:p w:rsidR="00C66879" w:rsidRPr="00C66879" w:rsidRDefault="00C66879" w:rsidP="00C66879">
      <w:pPr>
        <w:ind w:firstLine="709"/>
        <w:jc w:val="both"/>
        <w:rPr>
          <w:lang w:val="bg-BG"/>
        </w:rPr>
      </w:pPr>
    </w:p>
    <w:p w:rsidR="00C66879" w:rsidRPr="00C66879" w:rsidRDefault="00C66879" w:rsidP="00C66879">
      <w:pPr>
        <w:ind w:firstLine="709"/>
        <w:jc w:val="both"/>
        <w:rPr>
          <w:bCs/>
          <w:lang w:val="bg-BG" w:eastAsia="bg-BG"/>
        </w:rPr>
      </w:pPr>
      <w:r w:rsidRPr="00C66879">
        <w:rPr>
          <w:b/>
          <w:bCs/>
          <w:lang w:val="bg-BG" w:eastAsia="bg-BG"/>
        </w:rPr>
        <w:t xml:space="preserve">§2. </w:t>
      </w:r>
      <w:r w:rsidRPr="00C66879">
        <w:rPr>
          <w:bCs/>
          <w:lang w:val="bg-BG" w:eastAsia="bg-BG"/>
        </w:rPr>
        <w:t>Създава се чл. 92а: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highlight w:val="white"/>
          <w:shd w:val="clear" w:color="auto" w:fill="FEFEFE"/>
          <w:lang w:val="bg-BG"/>
        </w:rPr>
        <w:t xml:space="preserve"> „(1) Размерът на компенсацията за извършване на обществената услуга </w:t>
      </w:r>
      <w:r w:rsidRPr="00C66879">
        <w:rPr>
          <w:lang w:val="bg-BG"/>
        </w:rPr>
        <w:t xml:space="preserve">на територията на цялата страна </w:t>
      </w:r>
      <w:r w:rsidRPr="00C66879">
        <w:rPr>
          <w:highlight w:val="white"/>
          <w:shd w:val="clear" w:color="auto" w:fill="FEFEFE"/>
          <w:lang w:val="bg-BG"/>
        </w:rPr>
        <w:t xml:space="preserve">по изплащане на пенсии </w:t>
      </w:r>
      <w:r w:rsidRPr="00C66879">
        <w:rPr>
          <w:lang w:val="bg-BG" w:eastAsia="bg-BG"/>
        </w:rPr>
        <w:t>чрез пощенските станции</w:t>
      </w:r>
      <w:r w:rsidRPr="00C66879">
        <w:rPr>
          <w:highlight w:val="white"/>
          <w:shd w:val="clear" w:color="auto" w:fill="FEFEFE"/>
          <w:lang w:val="bg-BG"/>
        </w:rPr>
        <w:t xml:space="preserve">, необходима за покриване на сумата на извършените нетни разходи, включително размер на разумна печалба и разходите за инвестиции, свързани с дейността се </w:t>
      </w:r>
      <w:r w:rsidRPr="00C66879">
        <w:rPr>
          <w:shd w:val="clear" w:color="auto" w:fill="FEFEFE"/>
          <w:lang w:val="bg-BG"/>
        </w:rPr>
        <w:t>о</w:t>
      </w:r>
      <w:r w:rsidRPr="00C66879">
        <w:rPr>
          <w:highlight w:val="white"/>
          <w:shd w:val="clear" w:color="auto" w:fill="FEFEFE"/>
          <w:lang w:val="bg-BG"/>
        </w:rPr>
        <w:t>пределя</w:t>
      </w:r>
      <w:r w:rsidRPr="00C66879">
        <w:rPr>
          <w:shd w:val="clear" w:color="auto" w:fill="FEFEFE"/>
          <w:lang w:val="bg-BG"/>
        </w:rPr>
        <w:t xml:space="preserve"> по механизъм</w:t>
      </w:r>
      <w:r w:rsidR="007E1DED">
        <w:rPr>
          <w:shd w:val="clear" w:color="auto" w:fill="FEFEFE"/>
          <w:lang w:val="bg-BG"/>
        </w:rPr>
        <w:t>,</w:t>
      </w:r>
      <w:r w:rsidRPr="00C66879">
        <w:rPr>
          <w:shd w:val="clear" w:color="auto" w:fill="FEFEFE"/>
          <w:lang w:val="bg-BG"/>
        </w:rPr>
        <w:t xml:space="preserve"> посочен в приложение към Наредбата. Прилагането на механизма се извършва </w:t>
      </w:r>
      <w:r w:rsidRPr="00C66879">
        <w:rPr>
          <w:highlight w:val="white"/>
          <w:shd w:val="clear" w:color="auto" w:fill="FEFEFE"/>
          <w:lang w:val="bg-BG"/>
        </w:rPr>
        <w:t xml:space="preserve">при спазване изискванията на </w:t>
      </w:r>
      <w:r w:rsidRPr="00C66879">
        <w:rPr>
          <w:lang w:val="en"/>
        </w:rPr>
        <w:t>Решение 2012/21/ЕС</w:t>
      </w:r>
      <w:r w:rsidRPr="00C66879">
        <w:rPr>
          <w:shd w:val="clear" w:color="auto" w:fill="FEFEFE"/>
          <w:lang w:val="bg-BG"/>
        </w:rPr>
        <w:t>.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shd w:val="clear" w:color="auto" w:fill="FEFEFE"/>
          <w:lang w:val="bg-BG"/>
        </w:rPr>
        <w:t>(2) Нетните разходи</w:t>
      </w:r>
      <w:r w:rsidRPr="00C66879">
        <w:rPr>
          <w:shd w:val="clear" w:color="auto" w:fill="FEFEFE"/>
          <w:lang w:val="ru-RU"/>
        </w:rPr>
        <w:t xml:space="preserve"> </w:t>
      </w:r>
      <w:r w:rsidRPr="00C66879">
        <w:rPr>
          <w:shd w:val="clear" w:color="auto" w:fill="FEFEFE"/>
          <w:lang w:val="bg-BG"/>
        </w:rPr>
        <w:t>представляват разлика между нетните разходи, при работа със задължение за изплащане на пенсиите и нетните разходи при работа без задължение за изплащане на пенсиите и с</w:t>
      </w:r>
      <w:r w:rsidRPr="00C66879">
        <w:rPr>
          <w:shd w:val="clear" w:color="auto" w:fill="FEFEFE"/>
          <w:lang w:val="en-US"/>
        </w:rPr>
        <w:t>e</w:t>
      </w:r>
      <w:r w:rsidRPr="00C66879">
        <w:rPr>
          <w:shd w:val="clear" w:color="auto" w:fill="FEFEFE"/>
          <w:lang w:val="ru-RU"/>
        </w:rPr>
        <w:t xml:space="preserve"> </w:t>
      </w:r>
      <w:r w:rsidRPr="00C66879">
        <w:rPr>
          <w:shd w:val="clear" w:color="auto" w:fill="FEFEFE"/>
          <w:lang w:val="bg-BG"/>
        </w:rPr>
        <w:t xml:space="preserve">изчисляват по механизма, посочен в приложение към </w:t>
      </w:r>
      <w:r w:rsidR="00361A44">
        <w:rPr>
          <w:shd w:val="clear" w:color="auto" w:fill="FEFEFE"/>
          <w:lang w:val="bg-BG"/>
        </w:rPr>
        <w:t>н</w:t>
      </w:r>
      <w:r w:rsidRPr="00C66879">
        <w:rPr>
          <w:shd w:val="clear" w:color="auto" w:fill="FEFEFE"/>
          <w:lang w:val="bg-BG"/>
        </w:rPr>
        <w:t>аредбата.</w:t>
      </w:r>
    </w:p>
    <w:p w:rsidR="00C66879" w:rsidRPr="00C66879" w:rsidRDefault="00C66879" w:rsidP="00C66879">
      <w:pPr>
        <w:ind w:firstLine="709"/>
        <w:jc w:val="both"/>
        <w:rPr>
          <w:lang w:val="bg-BG"/>
        </w:rPr>
      </w:pPr>
      <w:r w:rsidRPr="00C66879">
        <w:rPr>
          <w:shd w:val="clear" w:color="auto" w:fill="FEFEFE"/>
          <w:lang w:val="bg-BG"/>
        </w:rPr>
        <w:t xml:space="preserve">(3) </w:t>
      </w:r>
      <w:r w:rsidRPr="00C66879">
        <w:rPr>
          <w:highlight w:val="white"/>
          <w:shd w:val="clear" w:color="auto" w:fill="FEFEFE"/>
          <w:lang w:val="bg-BG"/>
        </w:rPr>
        <w:t>Разходите за инвестиции</w:t>
      </w:r>
      <w:r w:rsidRPr="00C66879">
        <w:rPr>
          <w:shd w:val="clear" w:color="auto" w:fill="FEFEFE"/>
          <w:lang w:val="bg-BG"/>
        </w:rPr>
        <w:t xml:space="preserve">, пряко или косвено свързани с </w:t>
      </w:r>
      <w:r w:rsidRPr="00C66879">
        <w:rPr>
          <w:highlight w:val="white"/>
          <w:shd w:val="clear" w:color="auto" w:fill="FEFEFE"/>
          <w:lang w:val="bg-BG"/>
        </w:rPr>
        <w:t xml:space="preserve">извършване на услугата от общ икономически интерес </w:t>
      </w:r>
      <w:r w:rsidRPr="00C66879">
        <w:rPr>
          <w:shd w:val="clear" w:color="auto" w:fill="FEFEFE"/>
          <w:lang w:val="bg-BG"/>
        </w:rPr>
        <w:t>се отнасят пряко или се преразпределят на база фактическото им участие в процесите по предоставянето на услугата.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lang w:val="ru-RU" w:eastAsia="bg-BG"/>
        </w:rPr>
        <w:t xml:space="preserve">(4) </w:t>
      </w:r>
      <w:r w:rsidRPr="00C66879">
        <w:rPr>
          <w:lang w:val="bg-BG" w:eastAsia="bg-BG"/>
        </w:rPr>
        <w:t>Министърът на транспорта, информационните технологии и съобщенията осъществява контрол върху цялостния процес на компенсиране с цел недопускане на свръхкомпенсиране на дружеството при осъществяване на обществената услуга по изплащане на пенсии.</w:t>
      </w:r>
      <w:r w:rsidRPr="00C66879">
        <w:rPr>
          <w:shd w:val="clear" w:color="auto" w:fill="FEFEFE"/>
          <w:lang w:val="bg-BG"/>
        </w:rPr>
        <w:t xml:space="preserve"> В случай че са констатирани несъответствия министърът на транспорта, информационните технологии и съобщенията и</w:t>
      </w:r>
      <w:r w:rsidR="00361A44">
        <w:rPr>
          <w:shd w:val="clear" w:color="auto" w:fill="FEFEFE"/>
          <w:lang w:val="bg-BG"/>
        </w:rPr>
        <w:t>здава съответните предписания.“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</w:p>
    <w:p w:rsidR="00C66879" w:rsidRPr="00C66879" w:rsidRDefault="00C66879" w:rsidP="00C66879">
      <w:pPr>
        <w:ind w:firstLine="709"/>
        <w:jc w:val="both"/>
        <w:rPr>
          <w:lang w:val="bg-BG" w:eastAsia="bg-BG"/>
        </w:rPr>
      </w:pPr>
      <w:r w:rsidRPr="00C66879">
        <w:rPr>
          <w:b/>
          <w:shd w:val="clear" w:color="auto" w:fill="FEFEFE"/>
          <w:lang w:val="bg-BG"/>
        </w:rPr>
        <w:t xml:space="preserve">§3. </w:t>
      </w:r>
      <w:r w:rsidRPr="00C66879">
        <w:rPr>
          <w:shd w:val="clear" w:color="auto" w:fill="FEFEFE"/>
          <w:lang w:val="bg-BG"/>
        </w:rPr>
        <w:t xml:space="preserve">Създава се чл. 92б: 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lang w:val="bg-BG" w:eastAsia="bg-BG"/>
        </w:rPr>
        <w:lastRenderedPageBreak/>
        <w:t>„(1) И</w:t>
      </w:r>
      <w:r w:rsidRPr="00C66879">
        <w:rPr>
          <w:shd w:val="clear" w:color="auto" w:fill="FEFEFE"/>
          <w:lang w:val="bg-BG"/>
        </w:rPr>
        <w:t xml:space="preserve">звършването на </w:t>
      </w:r>
      <w:r w:rsidRPr="00C66879">
        <w:rPr>
          <w:highlight w:val="white"/>
          <w:shd w:val="clear" w:color="auto" w:fill="FEFEFE"/>
          <w:lang w:val="bg-BG"/>
        </w:rPr>
        <w:t xml:space="preserve">обществената услуга </w:t>
      </w:r>
      <w:r w:rsidRPr="00C66879">
        <w:rPr>
          <w:lang w:val="bg-BG"/>
        </w:rPr>
        <w:t xml:space="preserve">на територията на цялата страна </w:t>
      </w:r>
      <w:r w:rsidRPr="00C66879">
        <w:rPr>
          <w:highlight w:val="white"/>
          <w:shd w:val="clear" w:color="auto" w:fill="FEFEFE"/>
          <w:lang w:val="bg-BG"/>
        </w:rPr>
        <w:t xml:space="preserve">по изплащане на пенсии </w:t>
      </w:r>
      <w:r w:rsidRPr="00C66879">
        <w:rPr>
          <w:lang w:val="bg-BG" w:eastAsia="bg-BG"/>
        </w:rPr>
        <w:t>чрез пощенските станции</w:t>
      </w:r>
      <w:r w:rsidRPr="00C66879">
        <w:rPr>
          <w:shd w:val="clear" w:color="auto" w:fill="FEFEFE"/>
          <w:lang w:val="bg-BG"/>
        </w:rPr>
        <w:t xml:space="preserve"> се възлага на „Български пощи” ЕАД </w:t>
      </w:r>
      <w:r w:rsidRPr="00C66879">
        <w:rPr>
          <w:shd w:val="clear" w:color="auto" w:fill="FEFEFE"/>
          <w:lang w:val="ru-RU"/>
        </w:rPr>
        <w:t>(</w:t>
      </w:r>
      <w:r w:rsidRPr="00C66879">
        <w:rPr>
          <w:shd w:val="clear" w:color="auto" w:fill="FEFEFE"/>
          <w:lang w:val="bg-BG"/>
        </w:rPr>
        <w:t>дружеството</w:t>
      </w:r>
      <w:r w:rsidRPr="00C66879">
        <w:rPr>
          <w:shd w:val="clear" w:color="auto" w:fill="FEFEFE"/>
          <w:lang w:val="ru-RU"/>
        </w:rPr>
        <w:t xml:space="preserve">) </w:t>
      </w:r>
      <w:r w:rsidRPr="00C66879">
        <w:rPr>
          <w:shd w:val="clear" w:color="auto" w:fill="FEFEFE"/>
          <w:lang w:val="bg-BG"/>
        </w:rPr>
        <w:t>за срок от 10 години, считано от 01.07.2016 г.</w:t>
      </w:r>
    </w:p>
    <w:p w:rsidR="00C66879" w:rsidRPr="00C66879" w:rsidRDefault="00C66879" w:rsidP="00C66879">
      <w:pPr>
        <w:ind w:firstLine="709"/>
        <w:jc w:val="both"/>
        <w:rPr>
          <w:strike/>
          <w:shd w:val="clear" w:color="auto" w:fill="FEFEFE"/>
          <w:lang w:val="bg-BG"/>
        </w:rPr>
      </w:pPr>
      <w:r w:rsidRPr="00C66879">
        <w:rPr>
          <w:lang w:val="en-US"/>
        </w:rPr>
        <w:t xml:space="preserve">(2) </w:t>
      </w:r>
      <w:r w:rsidRPr="00C66879">
        <w:rPr>
          <w:lang w:val="en"/>
        </w:rPr>
        <w:t xml:space="preserve">Дейността по </w:t>
      </w:r>
      <w:r w:rsidRPr="00C66879">
        <w:rPr>
          <w:lang w:val="bg-BG"/>
        </w:rPr>
        <w:t>изплащане на пенсии се осъществява</w:t>
      </w:r>
      <w:r w:rsidRPr="00C66879">
        <w:rPr>
          <w:lang w:val="en"/>
        </w:rPr>
        <w:t xml:space="preserve"> при спазване </w:t>
      </w:r>
      <w:r w:rsidRPr="00C66879">
        <w:rPr>
          <w:lang w:val="bg-BG"/>
        </w:rPr>
        <w:t xml:space="preserve">на </w:t>
      </w:r>
      <w:r w:rsidRPr="00C66879">
        <w:rPr>
          <w:lang w:val="en"/>
        </w:rPr>
        <w:t>разпоредбите на Решение 2012/21/EC.</w:t>
      </w:r>
    </w:p>
    <w:p w:rsid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C66879">
        <w:rPr>
          <w:shd w:val="clear" w:color="auto" w:fill="FEFEFE"/>
          <w:lang w:val="bg-BG"/>
        </w:rPr>
        <w:t>(</w:t>
      </w:r>
      <w:r w:rsidRPr="00C66879">
        <w:rPr>
          <w:shd w:val="clear" w:color="auto" w:fill="FEFEFE"/>
          <w:lang w:val="en-US"/>
        </w:rPr>
        <w:t>3</w:t>
      </w:r>
      <w:r w:rsidRPr="00C66879">
        <w:rPr>
          <w:shd w:val="clear" w:color="auto" w:fill="FEFEFE"/>
          <w:lang w:val="bg-BG"/>
        </w:rPr>
        <w:t>) Изпълнението на задължението по ал. 1 подлежи на редовна проверка от Националния осигурителен институт.“.</w:t>
      </w:r>
    </w:p>
    <w:p w:rsidR="007C42F4" w:rsidRDefault="007C42F4" w:rsidP="00C66879">
      <w:pPr>
        <w:ind w:firstLine="709"/>
        <w:jc w:val="both"/>
        <w:rPr>
          <w:b/>
          <w:shd w:val="clear" w:color="auto" w:fill="FEFEFE"/>
          <w:lang w:val="bg-BG"/>
        </w:rPr>
      </w:pPr>
    </w:p>
    <w:p w:rsidR="00BE5DE7" w:rsidRDefault="00BE5DE7" w:rsidP="00C66879">
      <w:pPr>
        <w:ind w:firstLine="709"/>
        <w:jc w:val="both"/>
        <w:rPr>
          <w:shd w:val="clear" w:color="auto" w:fill="FEFEFE"/>
          <w:lang w:val="bg-BG"/>
        </w:rPr>
      </w:pPr>
      <w:r w:rsidRPr="007C42F4">
        <w:rPr>
          <w:b/>
          <w:shd w:val="clear" w:color="auto" w:fill="FEFEFE"/>
          <w:lang w:val="bg-BG"/>
        </w:rPr>
        <w:t>§ 4.</w:t>
      </w:r>
      <w:r>
        <w:rPr>
          <w:shd w:val="clear" w:color="auto" w:fill="FEFEFE"/>
          <w:lang w:val="bg-BG"/>
        </w:rPr>
        <w:t xml:space="preserve"> Създава се Приложение към чл. 92, ал. 3.</w:t>
      </w:r>
    </w:p>
    <w:p w:rsidR="007E1DED" w:rsidRDefault="007E1DED" w:rsidP="00BE5DE7">
      <w:pPr>
        <w:ind w:firstLine="6096"/>
        <w:jc w:val="both"/>
        <w:rPr>
          <w:b/>
          <w:bCs/>
          <w:iCs/>
          <w:shd w:val="clear" w:color="auto" w:fill="FEFEFE"/>
          <w:lang w:val="bg-BG"/>
        </w:rPr>
      </w:pPr>
    </w:p>
    <w:p w:rsidR="00BE5DE7" w:rsidRDefault="00BE5DE7" w:rsidP="00BE5DE7">
      <w:pPr>
        <w:ind w:firstLine="6096"/>
        <w:jc w:val="both"/>
        <w:rPr>
          <w:b/>
          <w:bCs/>
          <w:iCs/>
          <w:shd w:val="clear" w:color="auto" w:fill="FEFEFE"/>
          <w:lang w:val="bg-BG"/>
        </w:rPr>
      </w:pPr>
      <w:r>
        <w:rPr>
          <w:b/>
          <w:bCs/>
          <w:iCs/>
          <w:shd w:val="clear" w:color="auto" w:fill="FEFEFE"/>
          <w:lang w:val="bg-BG"/>
        </w:rPr>
        <w:t>„</w:t>
      </w:r>
      <w:r w:rsidRPr="00BE5DE7">
        <w:rPr>
          <w:b/>
          <w:bCs/>
          <w:iCs/>
          <w:shd w:val="clear" w:color="auto" w:fill="FEFEFE"/>
          <w:lang w:val="bg-BG"/>
        </w:rPr>
        <w:t xml:space="preserve">Приложение </w:t>
      </w:r>
      <w:r>
        <w:rPr>
          <w:b/>
          <w:bCs/>
          <w:iCs/>
          <w:shd w:val="clear" w:color="auto" w:fill="FEFEFE"/>
          <w:lang w:val="bg-BG"/>
        </w:rPr>
        <w:t>към чл. 92, ал. 3</w:t>
      </w:r>
    </w:p>
    <w:p w:rsidR="00BE5DE7" w:rsidRPr="00BE5DE7" w:rsidRDefault="00BE5DE7" w:rsidP="00BE5DE7">
      <w:pPr>
        <w:jc w:val="center"/>
        <w:rPr>
          <w:b/>
          <w:bCs/>
          <w:shd w:val="clear" w:color="auto" w:fill="FEFEFE"/>
          <w:lang w:val="bg-BG"/>
        </w:rPr>
      </w:pPr>
      <w:r>
        <w:rPr>
          <w:b/>
          <w:bCs/>
          <w:iCs/>
          <w:shd w:val="clear" w:color="auto" w:fill="FEFEFE"/>
          <w:lang w:val="bg-BG"/>
        </w:rPr>
        <w:t>М</w:t>
      </w:r>
      <w:r w:rsidRPr="00BE5DE7">
        <w:rPr>
          <w:b/>
          <w:bCs/>
          <w:iCs/>
          <w:shd w:val="clear" w:color="auto" w:fill="FEFEFE"/>
          <w:lang w:val="bg-BG"/>
        </w:rPr>
        <w:t>еханизъм за определяне на нетни разходи</w:t>
      </w:r>
      <w:r w:rsidRPr="00BE5DE7">
        <w:rPr>
          <w:b/>
          <w:bCs/>
          <w:iCs/>
          <w:highlight w:val="white"/>
          <w:shd w:val="clear" w:color="auto" w:fill="FEFEFE"/>
          <w:lang w:val="bg-BG"/>
        </w:rPr>
        <w:t xml:space="preserve"> при предоставяне на обществената услуга за изплащане на пенсии </w:t>
      </w:r>
      <w:r w:rsidRPr="00BE5DE7">
        <w:rPr>
          <w:b/>
          <w:bCs/>
          <w:iCs/>
          <w:lang w:val="bg-BG"/>
        </w:rPr>
        <w:t xml:space="preserve">на територията на цялата страна, </w:t>
      </w:r>
      <w:r w:rsidRPr="00BE5DE7">
        <w:rPr>
          <w:b/>
          <w:bCs/>
          <w:iCs/>
          <w:lang w:val="bg-BG" w:eastAsia="bg-BG"/>
        </w:rPr>
        <w:t>чрез пощенските станции</w:t>
      </w:r>
      <w:r w:rsidRPr="00BE5DE7">
        <w:rPr>
          <w:b/>
          <w:bCs/>
          <w:iCs/>
          <w:shd w:val="clear" w:color="auto" w:fill="FEFEFE"/>
          <w:lang w:val="bg-BG"/>
        </w:rPr>
        <w:t xml:space="preserve">, подлежащи на компенсация, когато това води до несправедлива финансова тежест </w:t>
      </w:r>
    </w:p>
    <w:p w:rsidR="00BE5DE7" w:rsidRPr="00BE5DE7" w:rsidRDefault="00BE5DE7" w:rsidP="00BE5DE7">
      <w:pPr>
        <w:ind w:firstLine="850"/>
        <w:jc w:val="center"/>
        <w:rPr>
          <w:i/>
          <w:iCs/>
          <w:shd w:val="clear" w:color="auto" w:fill="FEFEFE"/>
          <w:lang w:val="bg-BG"/>
        </w:rPr>
      </w:pPr>
    </w:p>
    <w:p w:rsidR="00BE5DE7" w:rsidRPr="00BE5DE7" w:rsidRDefault="00BE5DE7" w:rsidP="00BE5DE7">
      <w:pPr>
        <w:ind w:firstLine="709"/>
        <w:jc w:val="both"/>
        <w:rPr>
          <w:iCs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 xml:space="preserve">1. При изчисляване на приходите и разходите по предоставяне на обществената услуга </w:t>
      </w:r>
      <w:r w:rsidRPr="00BE5DE7">
        <w:rPr>
          <w:iCs/>
          <w:lang w:val="bg-BG"/>
        </w:rPr>
        <w:t xml:space="preserve">на територията на цялата страна </w:t>
      </w:r>
      <w:r w:rsidRPr="00BE5DE7">
        <w:rPr>
          <w:iCs/>
          <w:highlight w:val="white"/>
          <w:shd w:val="clear" w:color="auto" w:fill="FEFEFE"/>
          <w:lang w:val="bg-BG"/>
        </w:rPr>
        <w:t xml:space="preserve">по изплащане на пенсии </w:t>
      </w:r>
      <w:r w:rsidRPr="00BE5DE7">
        <w:rPr>
          <w:iCs/>
          <w:lang w:val="bg-BG" w:eastAsia="bg-BG"/>
        </w:rPr>
        <w:t xml:space="preserve">чрез пощенските станции </w:t>
      </w:r>
      <w:r w:rsidRPr="00BE5DE7">
        <w:rPr>
          <w:iCs/>
          <w:shd w:val="clear" w:color="auto" w:fill="FEFEFE"/>
          <w:lang w:val="bg-BG"/>
        </w:rPr>
        <w:t>се вземат предвид само разходите, имащи отношение към услугата - всички преки и подходящ дял от непреките  разходи;</w:t>
      </w:r>
    </w:p>
    <w:p w:rsidR="00BE5DE7" w:rsidRPr="00BE5DE7" w:rsidRDefault="00BE5DE7" w:rsidP="00BE5DE7">
      <w:pPr>
        <w:ind w:firstLine="708"/>
        <w:jc w:val="both"/>
        <w:rPr>
          <w:iCs/>
          <w:highlight w:val="white"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>2. За отделяне на услугата от останалите услуги се води разделно аналитично счетоводство по елементи на разходите и по видове услуги, съгласно счетоводната система за разпределение на разходите</w:t>
      </w:r>
      <w:r w:rsidRPr="00BE5DE7">
        <w:rPr>
          <w:iCs/>
          <w:highlight w:val="white"/>
          <w:shd w:val="clear" w:color="auto" w:fill="FEFEFE"/>
          <w:lang w:val="ru-RU"/>
        </w:rPr>
        <w:t>;</w:t>
      </w:r>
      <w:r w:rsidRPr="00BE5DE7">
        <w:rPr>
          <w:iCs/>
          <w:highlight w:val="white"/>
          <w:shd w:val="clear" w:color="auto" w:fill="FEFEFE"/>
          <w:lang w:val="bg-BG"/>
        </w:rPr>
        <w:t xml:space="preserve"> </w:t>
      </w:r>
    </w:p>
    <w:p w:rsidR="00BE5DE7" w:rsidRPr="00BE5DE7" w:rsidRDefault="00BE5DE7" w:rsidP="00BE5DE7">
      <w:pPr>
        <w:ind w:firstLine="708"/>
        <w:jc w:val="both"/>
        <w:rPr>
          <w:iCs/>
          <w:u w:val="single"/>
          <w:shd w:val="clear" w:color="auto" w:fill="FEFEFE"/>
          <w:lang w:val="bg-BG"/>
        </w:rPr>
      </w:pPr>
      <w:r w:rsidRPr="00BE5DE7">
        <w:rPr>
          <w:iCs/>
          <w:shd w:val="clear" w:color="auto" w:fill="FEFEFE"/>
          <w:lang w:val="bg-BG"/>
        </w:rPr>
        <w:t xml:space="preserve">3. За изчисляване на </w:t>
      </w:r>
      <w:r w:rsidRPr="00BE5DE7">
        <w:rPr>
          <w:iCs/>
          <w:highlight w:val="white"/>
          <w:shd w:val="clear" w:color="auto" w:fill="FEFEFE"/>
          <w:lang w:val="bg-BG"/>
        </w:rPr>
        <w:t xml:space="preserve">нетните разходи </w:t>
      </w:r>
      <w:r w:rsidRPr="00BE5DE7">
        <w:rPr>
          <w:iCs/>
          <w:shd w:val="clear" w:color="auto" w:fill="FEFEFE"/>
          <w:lang w:val="bg-BG"/>
        </w:rPr>
        <w:t>задълженото дружество разработва хипотетичен сценарий при работа без задължение за изплащане на пенсии.</w:t>
      </w:r>
    </w:p>
    <w:p w:rsidR="00BE5DE7" w:rsidRPr="00BE5DE7" w:rsidRDefault="00BE5DE7" w:rsidP="00BE5DE7">
      <w:pPr>
        <w:ind w:firstLine="708"/>
        <w:jc w:val="both"/>
        <w:rPr>
          <w:iCs/>
          <w:highlight w:val="white"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 xml:space="preserve">4. Размерът на нетните разходи </w:t>
      </w:r>
      <w:r w:rsidRPr="00BE5DE7">
        <w:rPr>
          <w:iCs/>
          <w:shd w:val="clear" w:color="auto" w:fill="FEFEFE"/>
          <w:lang w:val="bg-BG"/>
        </w:rPr>
        <w:t>за задължението за изплащане на пенсии се изчислява по следната формула:</w:t>
      </w:r>
    </w:p>
    <w:p w:rsidR="00BE5DE7" w:rsidRPr="00BE5DE7" w:rsidRDefault="00BE5DE7" w:rsidP="00BE5DE7">
      <w:pPr>
        <w:ind w:left="142" w:firstLine="708"/>
        <w:jc w:val="both"/>
        <w:rPr>
          <w:b/>
          <w:bCs/>
          <w:iCs/>
          <w:lang w:val="bg-BG"/>
        </w:rPr>
      </w:pPr>
      <w:r w:rsidRPr="00BE5DE7">
        <w:rPr>
          <w:b/>
          <w:bCs/>
          <w:iCs/>
          <w:lang w:val="bg-BG"/>
        </w:rPr>
        <w:t xml:space="preserve">НР = </w:t>
      </w:r>
      <w:r w:rsidRPr="00BE5DE7">
        <w:rPr>
          <w:b/>
          <w:bCs/>
          <w:iCs/>
          <w:lang w:val="ru-RU"/>
        </w:rPr>
        <w:t>(</w:t>
      </w:r>
      <w:r w:rsidRPr="00BE5DE7">
        <w:rPr>
          <w:b/>
          <w:bCs/>
          <w:iCs/>
          <w:lang w:val="bg-BG"/>
        </w:rPr>
        <w:t>П-Р</w:t>
      </w:r>
      <w:r w:rsidRPr="00BE5DE7">
        <w:rPr>
          <w:b/>
          <w:bCs/>
          <w:iCs/>
          <w:lang w:val="ru-RU"/>
        </w:rPr>
        <w:t>)</w:t>
      </w:r>
      <w:r w:rsidRPr="00BE5DE7">
        <w:rPr>
          <w:b/>
          <w:bCs/>
          <w:iCs/>
          <w:lang w:val="bg-BG"/>
        </w:rPr>
        <w:t xml:space="preserve">зип – </w:t>
      </w:r>
      <w:r w:rsidRPr="00BE5DE7">
        <w:rPr>
          <w:b/>
          <w:bCs/>
          <w:iCs/>
          <w:lang w:val="ru-RU"/>
        </w:rPr>
        <w:t>(</w:t>
      </w:r>
      <w:r w:rsidRPr="00BE5DE7">
        <w:rPr>
          <w:b/>
          <w:bCs/>
          <w:iCs/>
          <w:lang w:val="bg-BG"/>
        </w:rPr>
        <w:t>П-</w:t>
      </w:r>
      <w:r w:rsidRPr="00BE5DE7">
        <w:rPr>
          <w:b/>
          <w:bCs/>
          <w:iCs/>
          <w:lang w:val="en-US"/>
        </w:rPr>
        <w:t>P</w:t>
      </w:r>
      <w:r w:rsidRPr="00BE5DE7">
        <w:rPr>
          <w:b/>
          <w:bCs/>
          <w:iCs/>
          <w:lang w:val="ru-RU"/>
        </w:rPr>
        <w:t>)</w:t>
      </w:r>
      <w:r w:rsidRPr="00BE5DE7">
        <w:rPr>
          <w:b/>
          <w:bCs/>
          <w:iCs/>
          <w:lang w:val="bg-BG"/>
        </w:rPr>
        <w:t>бзип,</w:t>
      </w:r>
    </w:p>
    <w:p w:rsidR="00BE5DE7" w:rsidRPr="00BE5DE7" w:rsidRDefault="00BE5DE7" w:rsidP="00BE5DE7">
      <w:pPr>
        <w:ind w:firstLine="850"/>
        <w:jc w:val="both"/>
        <w:rPr>
          <w:iCs/>
          <w:highlight w:val="white"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>където:</w:t>
      </w:r>
    </w:p>
    <w:p w:rsidR="00BE5DE7" w:rsidRPr="00BE5DE7" w:rsidRDefault="00BE5DE7" w:rsidP="00BE5DE7">
      <w:pPr>
        <w:numPr>
          <w:ilvl w:val="0"/>
          <w:numId w:val="12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lang w:val="bg-BG"/>
        </w:rPr>
        <w:t xml:space="preserve">НР е размерът нетните разходи </w:t>
      </w:r>
      <w:r w:rsidRPr="00BE5DE7">
        <w:rPr>
          <w:iCs/>
          <w:shd w:val="clear" w:color="auto" w:fill="FEFEFE"/>
          <w:lang w:val="bg-BG"/>
        </w:rPr>
        <w:t>за съответната година;</w:t>
      </w:r>
    </w:p>
    <w:p w:rsidR="00BE5DE7" w:rsidRPr="00BE5DE7" w:rsidRDefault="00BE5DE7" w:rsidP="00BE5DE7">
      <w:pPr>
        <w:numPr>
          <w:ilvl w:val="0"/>
          <w:numId w:val="12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lang w:val="bg-BG"/>
        </w:rPr>
        <w:t xml:space="preserve">Пзип са приходите </w:t>
      </w:r>
      <w:r w:rsidRPr="00BE5DE7">
        <w:rPr>
          <w:iCs/>
          <w:shd w:val="clear" w:color="auto" w:fill="FEFEFE"/>
          <w:lang w:val="bg-BG"/>
        </w:rPr>
        <w:t>в лева</w:t>
      </w:r>
      <w:r w:rsidRPr="00BE5DE7">
        <w:rPr>
          <w:iCs/>
          <w:lang w:val="bg-BG"/>
        </w:rPr>
        <w:t xml:space="preserve"> при работа със задължение за изплащане на пенсии, изчислени въз основа на действащи потребителски цени</w:t>
      </w:r>
      <w:r w:rsidRPr="00BE5DE7">
        <w:rPr>
          <w:iCs/>
          <w:shd w:val="clear" w:color="auto" w:fill="FEFEFE"/>
          <w:lang w:val="bg-BG"/>
        </w:rPr>
        <w:t>;</w:t>
      </w:r>
    </w:p>
    <w:p w:rsidR="00BE5DE7" w:rsidRPr="00BE5DE7" w:rsidRDefault="00BE5DE7" w:rsidP="00BE5DE7">
      <w:pPr>
        <w:numPr>
          <w:ilvl w:val="0"/>
          <w:numId w:val="12"/>
        </w:numPr>
        <w:ind w:left="1276" w:hanging="425"/>
        <w:jc w:val="both"/>
        <w:rPr>
          <w:iCs/>
          <w:lang w:val="ru-RU"/>
        </w:rPr>
      </w:pPr>
      <w:r w:rsidRPr="00BE5DE7">
        <w:rPr>
          <w:iCs/>
          <w:lang w:val="bg-BG"/>
        </w:rPr>
        <w:t>Рзип са разходите при работа със задължение за изплащане на пенсии в лева, изчислени въз основа на отчетени и разпределени разходи от счетоводната система за разпределение на разходите  по видове услуги</w:t>
      </w:r>
      <w:r w:rsidRPr="00BE5DE7">
        <w:rPr>
          <w:iCs/>
          <w:lang w:val="ru-RU"/>
        </w:rPr>
        <w:t>;</w:t>
      </w:r>
      <w:r w:rsidRPr="00BE5DE7">
        <w:rPr>
          <w:iCs/>
          <w:lang w:val="bg-BG"/>
        </w:rPr>
        <w:t xml:space="preserve"> </w:t>
      </w:r>
    </w:p>
    <w:p w:rsidR="00BE5DE7" w:rsidRPr="00BE5DE7" w:rsidRDefault="00BE5DE7" w:rsidP="00BE5DE7">
      <w:pPr>
        <w:numPr>
          <w:ilvl w:val="0"/>
          <w:numId w:val="12"/>
        </w:numPr>
        <w:ind w:left="1276" w:hanging="425"/>
        <w:jc w:val="both"/>
        <w:rPr>
          <w:iCs/>
          <w:lang w:val="ru-RU"/>
        </w:rPr>
      </w:pPr>
      <w:r w:rsidRPr="00BE5DE7">
        <w:rPr>
          <w:iCs/>
          <w:lang w:val="bg-BG"/>
        </w:rPr>
        <w:t>Пбзип</w:t>
      </w:r>
      <w:r w:rsidRPr="00BE5DE7">
        <w:rPr>
          <w:iCs/>
          <w:lang w:val="ru-RU"/>
        </w:rPr>
        <w:t xml:space="preserve"> </w:t>
      </w:r>
      <w:r w:rsidRPr="00BE5DE7">
        <w:rPr>
          <w:iCs/>
          <w:lang w:val="bg-BG"/>
        </w:rPr>
        <w:t>са приходите при работа без задължение за изплащане на пенсии</w:t>
      </w:r>
      <w:r w:rsidRPr="00BE5DE7">
        <w:rPr>
          <w:iCs/>
          <w:lang w:val="ru-RU"/>
        </w:rPr>
        <w:t xml:space="preserve"> </w:t>
      </w:r>
      <w:r w:rsidRPr="00BE5DE7">
        <w:rPr>
          <w:iCs/>
          <w:lang w:val="bg-BG"/>
        </w:rPr>
        <w:t>в лева, изчислени въз основа на цени, определени в хипотетичния сценарий</w:t>
      </w:r>
      <w:r w:rsidRPr="00BE5DE7">
        <w:rPr>
          <w:iCs/>
          <w:lang w:val="ru-RU"/>
        </w:rPr>
        <w:t>;</w:t>
      </w:r>
    </w:p>
    <w:p w:rsidR="00BE5DE7" w:rsidRPr="00BE5DE7" w:rsidRDefault="00BE5DE7" w:rsidP="00BE5DE7">
      <w:pPr>
        <w:numPr>
          <w:ilvl w:val="0"/>
          <w:numId w:val="12"/>
        </w:numPr>
        <w:ind w:left="1276" w:hanging="425"/>
        <w:jc w:val="both"/>
        <w:rPr>
          <w:iCs/>
          <w:lang w:val="bg-BG"/>
        </w:rPr>
      </w:pPr>
      <w:r w:rsidRPr="00BE5DE7">
        <w:rPr>
          <w:iCs/>
          <w:lang w:val="en-US"/>
        </w:rPr>
        <w:t>P</w:t>
      </w:r>
      <w:r w:rsidRPr="00BE5DE7">
        <w:rPr>
          <w:iCs/>
          <w:lang w:val="bg-BG"/>
        </w:rPr>
        <w:t>бзип са разходите при работа без задължение за изплащане на пенсии в лева, изчислени въз основа на разходите, определени в хипотетичния сценарий.</w:t>
      </w:r>
    </w:p>
    <w:p w:rsidR="00BE5DE7" w:rsidRPr="00BE5DE7" w:rsidRDefault="00BE5DE7" w:rsidP="00BE5DE7">
      <w:pPr>
        <w:ind w:firstLine="708"/>
        <w:jc w:val="both"/>
        <w:rPr>
          <w:iCs/>
          <w:lang w:val="bg-BG"/>
        </w:rPr>
      </w:pPr>
      <w:r w:rsidRPr="00BE5DE7">
        <w:rPr>
          <w:iCs/>
          <w:shd w:val="clear" w:color="auto" w:fill="FEFEFE"/>
          <w:lang w:val="bg-BG"/>
        </w:rPr>
        <w:t xml:space="preserve">5. В случаите, когато </w:t>
      </w:r>
      <w:r w:rsidRPr="00BE5DE7">
        <w:rPr>
          <w:iCs/>
          <w:lang w:val="bg-BG"/>
        </w:rPr>
        <w:t xml:space="preserve">нетните разходи от </w:t>
      </w:r>
      <w:r w:rsidRPr="00BE5DE7">
        <w:rPr>
          <w:iCs/>
          <w:lang w:val="bg-BG" w:eastAsia="bg-BG"/>
        </w:rPr>
        <w:t>извършване на</w:t>
      </w:r>
      <w:r w:rsidRPr="00BE5DE7">
        <w:rPr>
          <w:iCs/>
          <w:highlight w:val="white"/>
          <w:shd w:val="clear" w:color="auto" w:fill="FEFEFE"/>
          <w:lang w:val="bg-BG"/>
        </w:rPr>
        <w:t xml:space="preserve"> обществената услуга </w:t>
      </w:r>
      <w:r w:rsidRPr="00BE5DE7">
        <w:rPr>
          <w:iCs/>
          <w:lang w:val="bg-BG"/>
        </w:rPr>
        <w:t xml:space="preserve">на територията на цялата страна </w:t>
      </w:r>
      <w:r w:rsidRPr="00BE5DE7">
        <w:rPr>
          <w:iCs/>
          <w:highlight w:val="white"/>
          <w:shd w:val="clear" w:color="auto" w:fill="FEFEFE"/>
          <w:lang w:val="bg-BG"/>
        </w:rPr>
        <w:t xml:space="preserve">по изплащане на пенсии </w:t>
      </w:r>
      <w:r w:rsidRPr="00BE5DE7">
        <w:rPr>
          <w:iCs/>
          <w:lang w:val="bg-BG" w:eastAsia="bg-BG"/>
        </w:rPr>
        <w:t>чрез пощенските станции</w:t>
      </w:r>
      <w:r w:rsidRPr="00BE5DE7">
        <w:rPr>
          <w:iCs/>
          <w:shd w:val="clear" w:color="auto" w:fill="FEFEFE"/>
          <w:lang w:val="bg-BG"/>
        </w:rPr>
        <w:t xml:space="preserve"> са по-големи от нетните разходи без изпълнение на това задължение</w:t>
      </w:r>
      <w:r w:rsidRPr="00BE5DE7">
        <w:rPr>
          <w:iCs/>
          <w:lang w:val="bg-BG"/>
        </w:rPr>
        <w:t>, то е налице несправедлива финансова тежест и същата подлежи на компенсиране.</w:t>
      </w:r>
    </w:p>
    <w:p w:rsidR="00BE5DE7" w:rsidRPr="00BE5DE7" w:rsidRDefault="00BE5DE7" w:rsidP="00BE5DE7">
      <w:pPr>
        <w:ind w:firstLine="708"/>
        <w:jc w:val="both"/>
        <w:rPr>
          <w:iCs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 xml:space="preserve">6. Размерът на компенсацията </w:t>
      </w:r>
      <w:r w:rsidRPr="00BE5DE7">
        <w:rPr>
          <w:iCs/>
          <w:shd w:val="clear" w:color="auto" w:fill="FEFEFE"/>
          <w:lang w:val="bg-BG"/>
        </w:rPr>
        <w:t>се изчислява по следната формула:</w:t>
      </w:r>
    </w:p>
    <w:p w:rsidR="00BE5DE7" w:rsidRPr="00BE5DE7" w:rsidRDefault="00BE5DE7" w:rsidP="00BE5DE7">
      <w:pPr>
        <w:ind w:firstLine="850"/>
        <w:jc w:val="both"/>
        <w:rPr>
          <w:b/>
          <w:bCs/>
          <w:iCs/>
          <w:highlight w:val="white"/>
          <w:shd w:val="clear" w:color="auto" w:fill="FEFEFE"/>
          <w:lang w:val="bg-BG"/>
        </w:rPr>
      </w:pPr>
      <w:r w:rsidRPr="00BE5DE7">
        <w:rPr>
          <w:b/>
          <w:bCs/>
          <w:iCs/>
          <w:shd w:val="clear" w:color="auto" w:fill="FEFEFE"/>
          <w:lang w:val="bg-BG"/>
        </w:rPr>
        <w:t>Кип = НРип + РПип + ИР,</w:t>
      </w:r>
    </w:p>
    <w:p w:rsidR="00BE5DE7" w:rsidRPr="00BE5DE7" w:rsidRDefault="00BE5DE7" w:rsidP="00BE5DE7">
      <w:pPr>
        <w:ind w:firstLine="850"/>
        <w:jc w:val="both"/>
        <w:rPr>
          <w:iCs/>
          <w:highlight w:val="white"/>
          <w:shd w:val="clear" w:color="auto" w:fill="FEFEFE"/>
          <w:lang w:val="bg-BG"/>
        </w:rPr>
      </w:pPr>
      <w:r w:rsidRPr="00BE5DE7">
        <w:rPr>
          <w:iCs/>
          <w:highlight w:val="white"/>
          <w:shd w:val="clear" w:color="auto" w:fill="FEFEFE"/>
          <w:lang w:val="bg-BG"/>
        </w:rPr>
        <w:t>където:</w:t>
      </w:r>
    </w:p>
    <w:p w:rsidR="00BE5DE7" w:rsidRPr="00BE5DE7" w:rsidRDefault="00BE5DE7" w:rsidP="00BE5DE7">
      <w:pPr>
        <w:numPr>
          <w:ilvl w:val="0"/>
          <w:numId w:val="14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shd w:val="clear" w:color="auto" w:fill="FEFEFE"/>
          <w:lang w:val="bg-BG"/>
        </w:rPr>
        <w:t>Кип е размера на компенсацията за съответната година</w:t>
      </w:r>
      <w:r w:rsidRPr="00BE5DE7">
        <w:rPr>
          <w:iCs/>
          <w:shd w:val="clear" w:color="auto" w:fill="FEFEFE"/>
          <w:lang w:val="ru-RU"/>
        </w:rPr>
        <w:t>;</w:t>
      </w:r>
    </w:p>
    <w:p w:rsidR="00BE5DE7" w:rsidRPr="00BE5DE7" w:rsidRDefault="00BE5DE7" w:rsidP="00BE5DE7">
      <w:pPr>
        <w:numPr>
          <w:ilvl w:val="2"/>
          <w:numId w:val="14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shd w:val="clear" w:color="auto" w:fill="FEFEFE"/>
          <w:lang w:val="bg-BG"/>
        </w:rPr>
        <w:t>НРип е размера на нетните разходи за съответната година</w:t>
      </w:r>
      <w:r w:rsidRPr="00BE5DE7">
        <w:rPr>
          <w:iCs/>
          <w:shd w:val="clear" w:color="auto" w:fill="FEFEFE"/>
          <w:lang w:val="ru-RU"/>
        </w:rPr>
        <w:t>;</w:t>
      </w:r>
    </w:p>
    <w:p w:rsidR="00BE5DE7" w:rsidRPr="00BE5DE7" w:rsidRDefault="00BE5DE7" w:rsidP="00BE5DE7">
      <w:pPr>
        <w:numPr>
          <w:ilvl w:val="0"/>
          <w:numId w:val="13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shd w:val="clear" w:color="auto" w:fill="FEFEFE"/>
          <w:lang w:val="bg-BG"/>
        </w:rPr>
        <w:t>РПип е размера</w:t>
      </w:r>
      <w:r w:rsidRPr="00BE5DE7">
        <w:rPr>
          <w:iCs/>
          <w:shd w:val="clear" w:color="auto" w:fill="FEFEFE"/>
          <w:lang w:val="ru-RU"/>
        </w:rPr>
        <w:t xml:space="preserve"> </w:t>
      </w:r>
      <w:r w:rsidRPr="00BE5DE7">
        <w:rPr>
          <w:iCs/>
          <w:shd w:val="clear" w:color="auto" w:fill="FEFEFE"/>
          <w:lang w:val="bg-BG"/>
        </w:rPr>
        <w:t>на разумната печалба за съответната година;</w:t>
      </w:r>
    </w:p>
    <w:p w:rsidR="00BE5DE7" w:rsidRPr="00BE5DE7" w:rsidRDefault="00BE5DE7" w:rsidP="00BE5DE7">
      <w:pPr>
        <w:numPr>
          <w:ilvl w:val="0"/>
          <w:numId w:val="13"/>
        </w:numPr>
        <w:ind w:left="1276" w:hanging="425"/>
        <w:jc w:val="both"/>
        <w:rPr>
          <w:iCs/>
          <w:shd w:val="clear" w:color="auto" w:fill="FEFEFE"/>
          <w:lang w:val="bg-BG"/>
        </w:rPr>
      </w:pPr>
      <w:r w:rsidRPr="00BE5DE7">
        <w:rPr>
          <w:iCs/>
          <w:shd w:val="clear" w:color="auto" w:fill="FEFEFE"/>
          <w:lang w:val="bg-BG"/>
        </w:rPr>
        <w:t>ИР е размера на одитираните инвестиционни разходи, пряко или косвено свързани с извършване на услугата за изплащане на пенсиите за съответната година.</w:t>
      </w:r>
    </w:p>
    <w:p w:rsidR="00BE5DE7" w:rsidRPr="00BE5DE7" w:rsidRDefault="00BE5DE7" w:rsidP="00BE5DE7">
      <w:pPr>
        <w:ind w:firstLine="708"/>
        <w:jc w:val="both"/>
        <w:rPr>
          <w:lang w:val="bg-BG"/>
        </w:rPr>
      </w:pPr>
      <w:r w:rsidRPr="00BE5DE7">
        <w:rPr>
          <w:iCs/>
          <w:shd w:val="clear" w:color="auto" w:fill="FEFEFE"/>
          <w:lang w:val="bg-BG"/>
        </w:rPr>
        <w:t xml:space="preserve">7. </w:t>
      </w:r>
      <w:r w:rsidRPr="00BE5DE7">
        <w:rPr>
          <w:lang w:val="bg-BG"/>
        </w:rPr>
        <w:t xml:space="preserve">Разумната печалба се определя в съответствие с изискванията на чл. 5, пар. 5 от </w:t>
      </w:r>
      <w:r w:rsidRPr="00BE5DE7">
        <w:rPr>
          <w:lang w:val="en"/>
        </w:rPr>
        <w:t>Решение 2012/21/EC</w:t>
      </w:r>
      <w:r w:rsidRPr="00BE5DE7">
        <w:rPr>
          <w:lang w:val="bg-BG"/>
        </w:rPr>
        <w:t>.</w:t>
      </w:r>
      <w:r>
        <w:rPr>
          <w:lang w:val="bg-BG"/>
        </w:rPr>
        <w:t>“</w:t>
      </w:r>
    </w:p>
    <w:p w:rsidR="00BE5DE7" w:rsidRPr="00BE5DE7" w:rsidRDefault="00BE5DE7" w:rsidP="00BE5DE7">
      <w:pPr>
        <w:ind w:left="851"/>
        <w:jc w:val="both"/>
        <w:rPr>
          <w:iCs/>
          <w:shd w:val="clear" w:color="auto" w:fill="FEFEFE"/>
          <w:lang w:val="bg-BG"/>
        </w:rPr>
      </w:pPr>
    </w:p>
    <w:p w:rsidR="00BE5DE7" w:rsidRPr="00BE5DE7" w:rsidRDefault="00BE5DE7" w:rsidP="00BE5DE7">
      <w:pPr>
        <w:ind w:left="850" w:firstLine="566"/>
        <w:jc w:val="both"/>
        <w:rPr>
          <w:iCs/>
          <w:shd w:val="clear" w:color="auto" w:fill="FEFEFE"/>
          <w:lang w:val="bg-BG"/>
        </w:rPr>
      </w:pPr>
    </w:p>
    <w:p w:rsidR="00E40165" w:rsidRDefault="00C66879" w:rsidP="00BE5DE7">
      <w:pPr>
        <w:jc w:val="center"/>
        <w:rPr>
          <w:b/>
          <w:bCs/>
          <w:highlight w:val="white"/>
          <w:shd w:val="clear" w:color="auto" w:fill="FEFEFE"/>
          <w:lang w:val="bg-BG"/>
        </w:rPr>
      </w:pPr>
      <w:r>
        <w:rPr>
          <w:b/>
          <w:bCs/>
          <w:highlight w:val="white"/>
          <w:shd w:val="clear" w:color="auto" w:fill="FEFEFE"/>
          <w:lang w:val="bg-BG"/>
        </w:rPr>
        <w:t xml:space="preserve">ПРЕХОДНИ И </w:t>
      </w:r>
      <w:r w:rsidR="00E40165" w:rsidRPr="002C52BE">
        <w:rPr>
          <w:b/>
          <w:bCs/>
          <w:highlight w:val="white"/>
          <w:shd w:val="clear" w:color="auto" w:fill="FEFEFE"/>
          <w:lang w:val="bg-BG"/>
        </w:rPr>
        <w:t>ЗАКЛЮЧИТЕЛН</w:t>
      </w:r>
      <w:r>
        <w:rPr>
          <w:b/>
          <w:bCs/>
          <w:highlight w:val="white"/>
          <w:shd w:val="clear" w:color="auto" w:fill="FEFEFE"/>
          <w:lang w:val="bg-BG"/>
        </w:rPr>
        <w:t>И</w:t>
      </w:r>
      <w:r w:rsidR="00E40165" w:rsidRPr="002C52BE">
        <w:rPr>
          <w:b/>
          <w:bCs/>
          <w:highlight w:val="white"/>
          <w:shd w:val="clear" w:color="auto" w:fill="FEFEFE"/>
          <w:lang w:val="bg-BG"/>
        </w:rPr>
        <w:t xml:space="preserve"> РАЗПОРЕДБ</w:t>
      </w:r>
      <w:r>
        <w:rPr>
          <w:b/>
          <w:bCs/>
          <w:highlight w:val="white"/>
          <w:shd w:val="clear" w:color="auto" w:fill="FEFEFE"/>
          <w:lang w:val="bg-BG"/>
        </w:rPr>
        <w:t>И</w:t>
      </w:r>
    </w:p>
    <w:p w:rsidR="00F159C5" w:rsidRDefault="00F159C5" w:rsidP="00C66879">
      <w:pPr>
        <w:ind w:firstLine="709"/>
        <w:jc w:val="both"/>
        <w:rPr>
          <w:b/>
          <w:bCs/>
          <w:shd w:val="clear" w:color="auto" w:fill="FEFEFE"/>
          <w:lang w:val="bg-BG"/>
        </w:rPr>
      </w:pPr>
    </w:p>
    <w:p w:rsidR="00C66879" w:rsidRPr="00C66879" w:rsidRDefault="00C66879" w:rsidP="00C66879">
      <w:pPr>
        <w:ind w:firstLine="709"/>
        <w:jc w:val="both"/>
        <w:rPr>
          <w:lang w:val="bg-BG"/>
        </w:rPr>
      </w:pPr>
      <w:r w:rsidRPr="007C42F4">
        <w:rPr>
          <w:b/>
          <w:bCs/>
          <w:shd w:val="clear" w:color="auto" w:fill="FEFEFE"/>
          <w:lang w:val="bg-BG"/>
        </w:rPr>
        <w:t xml:space="preserve">§ </w:t>
      </w:r>
      <w:r w:rsidR="00BE5DE7" w:rsidRPr="007C42F4">
        <w:rPr>
          <w:b/>
          <w:bCs/>
          <w:shd w:val="clear" w:color="auto" w:fill="FEFEFE"/>
          <w:lang w:val="bg-BG"/>
        </w:rPr>
        <w:t>5</w:t>
      </w:r>
      <w:r w:rsidRPr="007C42F4">
        <w:rPr>
          <w:b/>
          <w:bCs/>
          <w:shd w:val="clear" w:color="auto" w:fill="FEFEFE"/>
          <w:lang w:val="bg-BG"/>
        </w:rPr>
        <w:t>.</w:t>
      </w:r>
      <w:r w:rsidRPr="00C66879">
        <w:rPr>
          <w:lang w:val="bg-BG"/>
        </w:rPr>
        <w:t xml:space="preserve"> Компенсацията за извършване на обществената услуга по изплащане на пенсии чрез пощенските станции </w:t>
      </w:r>
      <w:r w:rsidRPr="00C66879">
        <w:rPr>
          <w:bCs/>
          <w:lang w:val="bg-BG"/>
        </w:rPr>
        <w:t>за 2016 г.</w:t>
      </w:r>
      <w:r w:rsidRPr="00C66879">
        <w:rPr>
          <w:lang w:val="bg-BG"/>
        </w:rPr>
        <w:t xml:space="preserve"> не може да надвишава размера, определен в чл. 92, ал. 6.</w:t>
      </w:r>
    </w:p>
    <w:p w:rsidR="00C66879" w:rsidRPr="00C66879" w:rsidRDefault="00C66879" w:rsidP="00C66879">
      <w:pPr>
        <w:ind w:firstLine="709"/>
        <w:jc w:val="both"/>
        <w:rPr>
          <w:shd w:val="clear" w:color="auto" w:fill="FEFEFE"/>
          <w:lang w:val="bg-BG"/>
        </w:rPr>
      </w:pPr>
      <w:r w:rsidRPr="007C42F4">
        <w:rPr>
          <w:b/>
          <w:bCs/>
          <w:lang w:val="bg-BG" w:eastAsia="bg-BG"/>
        </w:rPr>
        <w:t xml:space="preserve">§ </w:t>
      </w:r>
      <w:r w:rsidR="00BE5DE7" w:rsidRPr="007C42F4">
        <w:rPr>
          <w:b/>
          <w:bCs/>
          <w:lang w:val="bg-BG" w:eastAsia="bg-BG"/>
        </w:rPr>
        <w:t>6</w:t>
      </w:r>
      <w:r w:rsidRPr="007C42F4">
        <w:rPr>
          <w:b/>
          <w:bCs/>
          <w:lang w:val="bg-BG" w:eastAsia="bg-BG"/>
        </w:rPr>
        <w:t>.</w:t>
      </w:r>
      <w:r w:rsidRPr="00C66879">
        <w:rPr>
          <w:lang w:val="bg-BG" w:eastAsia="bg-BG"/>
        </w:rPr>
        <w:t xml:space="preserve"> </w:t>
      </w:r>
      <w:r w:rsidRPr="00C66879">
        <w:rPr>
          <w:shd w:val="clear" w:color="auto" w:fill="FEFEFE"/>
          <w:lang w:val="bg-BG"/>
        </w:rPr>
        <w:t xml:space="preserve">В срок до 15.09.2016 г. министърът на транспорта, информационните технологии и съобщенията предлага на министъра на финансите и на управителя на Националния осигурителен институт </w:t>
      </w:r>
      <w:r w:rsidRPr="00C66879">
        <w:rPr>
          <w:shd w:val="clear" w:color="auto" w:fill="FEFEFE"/>
          <w:lang w:val="ru-RU"/>
        </w:rPr>
        <w:t xml:space="preserve"> </w:t>
      </w:r>
      <w:r w:rsidRPr="00C66879">
        <w:rPr>
          <w:shd w:val="clear" w:color="auto" w:fill="FEFEFE"/>
          <w:lang w:val="bg-BG"/>
        </w:rPr>
        <w:t>размера на компенсацията за извършване на обществената услуга по изплащане на пенсиите чрез пощенските станции, определен на база фактически изплатените суми до 01.07.2016 г., за включване в проекта на закона за бюджета на държавното обществено осигуряване за 2017 г.</w:t>
      </w:r>
    </w:p>
    <w:p w:rsidR="00C66879" w:rsidRPr="00C66879" w:rsidRDefault="00C66879" w:rsidP="00C66879">
      <w:pPr>
        <w:ind w:firstLine="709"/>
        <w:jc w:val="both"/>
        <w:rPr>
          <w:szCs w:val="22"/>
          <w:lang w:val="bg-BG"/>
        </w:rPr>
      </w:pPr>
      <w:r w:rsidRPr="007C42F4">
        <w:rPr>
          <w:b/>
          <w:bCs/>
          <w:szCs w:val="22"/>
          <w:shd w:val="clear" w:color="auto" w:fill="FEFEFE"/>
          <w:lang w:val="bg-BG"/>
        </w:rPr>
        <w:t xml:space="preserve">§ </w:t>
      </w:r>
      <w:r w:rsidR="00BE5DE7" w:rsidRPr="007C42F4">
        <w:rPr>
          <w:b/>
          <w:bCs/>
          <w:szCs w:val="22"/>
          <w:shd w:val="clear" w:color="auto" w:fill="FEFEFE"/>
          <w:lang w:val="bg-BG"/>
        </w:rPr>
        <w:t>7</w:t>
      </w:r>
      <w:r w:rsidRPr="007C42F4">
        <w:rPr>
          <w:b/>
          <w:bCs/>
          <w:szCs w:val="22"/>
          <w:shd w:val="clear" w:color="auto" w:fill="FEFEFE"/>
          <w:lang w:val="bg-BG"/>
        </w:rPr>
        <w:t>.</w:t>
      </w:r>
      <w:r w:rsidRPr="00C66879">
        <w:rPr>
          <w:szCs w:val="22"/>
          <w:lang w:val="bg-BG"/>
        </w:rPr>
        <w:t xml:space="preserve"> Компенсацията за извършване на обществената услуга  по изплащане на пенсиите чрез пощенските станции за периода 01.07.2016 г. - 31.12.2016 г. е в размер на разликата от левовата равностойност на 15 милиона евро без ДДС и преведените от Националния осигурителен институт на дружеството средства до 01.07.2016 г. Сумата се изплаща  от Националния осигурителен институт  на дружеството ежемесечно до 7-мо число на месеца на равни вноски.</w:t>
      </w:r>
    </w:p>
    <w:p w:rsidR="00C66879" w:rsidRPr="00C66879" w:rsidRDefault="00C66879" w:rsidP="00C66879">
      <w:pPr>
        <w:ind w:firstLine="709"/>
        <w:jc w:val="both"/>
        <w:rPr>
          <w:lang w:val="bg-BG"/>
        </w:rPr>
      </w:pPr>
      <w:r w:rsidRPr="007C42F4">
        <w:rPr>
          <w:b/>
          <w:bCs/>
          <w:lang w:val="bg-BG" w:eastAsia="bg-BG"/>
        </w:rPr>
        <w:t xml:space="preserve">§ </w:t>
      </w:r>
      <w:r w:rsidR="00BE5DE7" w:rsidRPr="007C42F4">
        <w:rPr>
          <w:b/>
          <w:bCs/>
          <w:lang w:val="bg-BG" w:eastAsia="bg-BG"/>
        </w:rPr>
        <w:t>8</w:t>
      </w:r>
      <w:r w:rsidRPr="007C42F4">
        <w:rPr>
          <w:b/>
          <w:bCs/>
          <w:lang w:val="bg-BG" w:eastAsia="bg-BG"/>
        </w:rPr>
        <w:t>.</w:t>
      </w:r>
      <w:r w:rsidRPr="00C66879">
        <w:rPr>
          <w:lang w:val="bg-BG" w:eastAsia="bg-BG"/>
        </w:rPr>
        <w:t xml:space="preserve">  </w:t>
      </w:r>
      <w:r w:rsidRPr="00C66879">
        <w:rPr>
          <w:lang w:val="bg-BG"/>
        </w:rPr>
        <w:t xml:space="preserve">Окончателният размер на компенсацията за 2016 г. се определя по </w:t>
      </w:r>
      <w:r w:rsidR="0095134A">
        <w:rPr>
          <w:lang w:val="bg-BG"/>
        </w:rPr>
        <w:t>реда и</w:t>
      </w:r>
      <w:r w:rsidR="007C42F4">
        <w:rPr>
          <w:lang w:val="bg-BG"/>
        </w:rPr>
        <w:t xml:space="preserve"> в</w:t>
      </w:r>
      <w:r w:rsidR="0095134A">
        <w:rPr>
          <w:lang w:val="bg-BG"/>
        </w:rPr>
        <w:t xml:space="preserve"> сроковете </w:t>
      </w:r>
      <w:r w:rsidR="007C42F4">
        <w:rPr>
          <w:lang w:val="bg-BG"/>
        </w:rPr>
        <w:t>по</w:t>
      </w:r>
      <w:r w:rsidR="0095134A">
        <w:rPr>
          <w:lang w:val="bg-BG"/>
        </w:rPr>
        <w:t xml:space="preserve"> чл. 92.</w:t>
      </w:r>
    </w:p>
    <w:p w:rsidR="004C3FD2" w:rsidRDefault="00E40165" w:rsidP="00C66879">
      <w:pPr>
        <w:tabs>
          <w:tab w:val="left" w:pos="0"/>
        </w:tabs>
        <w:ind w:firstLine="709"/>
        <w:jc w:val="both"/>
        <w:rPr>
          <w:lang w:val="bg-BG"/>
        </w:rPr>
      </w:pPr>
      <w:r w:rsidRPr="002C52BE">
        <w:rPr>
          <w:b/>
          <w:bCs/>
          <w:lang w:val="bg-BG"/>
        </w:rPr>
        <w:t xml:space="preserve">§ </w:t>
      </w:r>
      <w:r w:rsidR="00BE5DE7">
        <w:rPr>
          <w:b/>
          <w:bCs/>
          <w:lang w:val="bg-BG"/>
        </w:rPr>
        <w:t>9</w:t>
      </w:r>
      <w:r w:rsidRPr="002C52BE">
        <w:rPr>
          <w:b/>
          <w:bCs/>
          <w:lang w:val="bg-BG"/>
        </w:rPr>
        <w:t>.</w:t>
      </w:r>
      <w:r w:rsidRPr="002C52BE">
        <w:rPr>
          <w:lang w:val="bg-BG"/>
        </w:rPr>
        <w:t xml:space="preserve"> </w:t>
      </w:r>
      <w:r w:rsidR="00C66879" w:rsidRPr="00C66879">
        <w:rPr>
          <w:lang w:val="bg-BG"/>
        </w:rPr>
        <w:t>Постановлението влиза в сила от 1 юли 2016 г.</w:t>
      </w:r>
    </w:p>
    <w:p w:rsidR="004C3FD2" w:rsidRDefault="004C3FD2" w:rsidP="00C66879">
      <w:pPr>
        <w:tabs>
          <w:tab w:val="left" w:pos="0"/>
        </w:tabs>
        <w:ind w:firstLine="709"/>
        <w:jc w:val="both"/>
        <w:rPr>
          <w:lang w:val="bg-BG"/>
        </w:rPr>
      </w:pPr>
    </w:p>
    <w:p w:rsidR="00C66879" w:rsidRDefault="00C66879" w:rsidP="0050419F">
      <w:pPr>
        <w:tabs>
          <w:tab w:val="left" w:pos="0"/>
        </w:tabs>
        <w:ind w:firstLine="709"/>
        <w:jc w:val="both"/>
        <w:rPr>
          <w:b/>
          <w:szCs w:val="20"/>
          <w:lang w:val="bg-BG"/>
        </w:rPr>
      </w:pPr>
    </w:p>
    <w:p w:rsidR="007C42F4" w:rsidRDefault="007C42F4" w:rsidP="0050419F">
      <w:pPr>
        <w:tabs>
          <w:tab w:val="left" w:pos="0"/>
        </w:tabs>
        <w:ind w:firstLine="709"/>
        <w:jc w:val="both"/>
        <w:rPr>
          <w:b/>
          <w:szCs w:val="20"/>
          <w:lang w:val="bg-BG"/>
        </w:rPr>
      </w:pPr>
    </w:p>
    <w:p w:rsidR="004C3FD2" w:rsidRPr="004C3FD2" w:rsidRDefault="004C3FD2" w:rsidP="0050419F">
      <w:pPr>
        <w:tabs>
          <w:tab w:val="left" w:pos="0"/>
        </w:tabs>
        <w:ind w:firstLine="709"/>
        <w:jc w:val="both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>МИНИСТЪР-ПРЕДСЕДАТЕЛ:</w:t>
      </w:r>
    </w:p>
    <w:p w:rsidR="004C3FD2" w:rsidRPr="004C3FD2" w:rsidRDefault="004C3FD2" w:rsidP="0050419F">
      <w:pPr>
        <w:ind w:firstLine="709"/>
        <w:jc w:val="center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 xml:space="preserve">                                         </w:t>
      </w:r>
    </w:p>
    <w:p w:rsidR="004C3FD2" w:rsidRPr="004C3FD2" w:rsidRDefault="004C3FD2" w:rsidP="0050419F">
      <w:pPr>
        <w:ind w:left="2880" w:firstLine="709"/>
        <w:jc w:val="center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>БОЙКО БОРИСОВ</w:t>
      </w:r>
    </w:p>
    <w:p w:rsidR="004C3FD2" w:rsidRPr="004C3FD2" w:rsidRDefault="004C3FD2" w:rsidP="0050419F">
      <w:pPr>
        <w:ind w:firstLine="709"/>
        <w:rPr>
          <w:b/>
          <w:szCs w:val="20"/>
          <w:lang w:val="ru-RU"/>
        </w:rPr>
      </w:pPr>
    </w:p>
    <w:p w:rsidR="004C3FD2" w:rsidRPr="004C3FD2" w:rsidRDefault="004C3FD2" w:rsidP="0050419F">
      <w:pPr>
        <w:keepNext/>
        <w:ind w:firstLine="709"/>
        <w:outlineLvl w:val="1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>ЗА ГЛАВЕН СЕКРЕТАР НА</w:t>
      </w:r>
    </w:p>
    <w:p w:rsidR="004C3FD2" w:rsidRPr="004C3FD2" w:rsidRDefault="004C3FD2" w:rsidP="0050419F">
      <w:pPr>
        <w:ind w:firstLine="709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>МИНИСТЕРСКИЯ СЪВЕТ:</w:t>
      </w:r>
    </w:p>
    <w:p w:rsidR="004C3FD2" w:rsidRPr="004C3FD2" w:rsidRDefault="004C3FD2" w:rsidP="0050419F">
      <w:pPr>
        <w:ind w:firstLine="709"/>
        <w:jc w:val="center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 xml:space="preserve">            </w:t>
      </w:r>
    </w:p>
    <w:p w:rsidR="004C3FD2" w:rsidRPr="004C3FD2" w:rsidRDefault="004C3FD2" w:rsidP="0050419F">
      <w:pPr>
        <w:tabs>
          <w:tab w:val="left" w:pos="5387"/>
        </w:tabs>
        <w:ind w:firstLine="709"/>
        <w:jc w:val="center"/>
        <w:rPr>
          <w:b/>
          <w:szCs w:val="20"/>
          <w:lang w:val="bg-BG"/>
        </w:rPr>
      </w:pPr>
      <w:r w:rsidRPr="004C3FD2">
        <w:rPr>
          <w:b/>
          <w:szCs w:val="20"/>
          <w:lang w:val="bg-BG"/>
        </w:rPr>
        <w:t xml:space="preserve">                                           </w:t>
      </w:r>
      <w:r w:rsidR="0050419F">
        <w:rPr>
          <w:b/>
          <w:szCs w:val="20"/>
          <w:lang w:val="bg-BG"/>
        </w:rPr>
        <w:t xml:space="preserve">     </w:t>
      </w:r>
      <w:r w:rsidRPr="004C3FD2">
        <w:rPr>
          <w:b/>
          <w:szCs w:val="20"/>
          <w:lang w:val="bg-BG"/>
        </w:rPr>
        <w:t>ВЕСЕЛИН ДАКОВ</w:t>
      </w:r>
    </w:p>
    <w:p w:rsidR="004C3FD2" w:rsidRPr="004C3FD2" w:rsidRDefault="004C3FD2" w:rsidP="0050419F">
      <w:pPr>
        <w:pBdr>
          <w:bottom w:val="single" w:sz="12" w:space="1" w:color="auto"/>
        </w:pBdr>
        <w:ind w:firstLine="709"/>
        <w:jc w:val="right"/>
        <w:rPr>
          <w:rFonts w:ascii="NewSaturionModernCyr" w:hAnsi="NewSaturionModernCyr"/>
          <w:szCs w:val="20"/>
          <w:lang w:val="ru-RU"/>
        </w:rPr>
      </w:pPr>
    </w:p>
    <w:p w:rsidR="00027278" w:rsidRDefault="00027278" w:rsidP="001B3FCA">
      <w:pPr>
        <w:tabs>
          <w:tab w:val="left" w:pos="0"/>
        </w:tabs>
        <w:spacing w:after="120"/>
        <w:ind w:firstLine="709"/>
        <w:jc w:val="both"/>
        <w:rPr>
          <w:b/>
          <w:lang w:val="bg-BG"/>
        </w:rPr>
      </w:pPr>
    </w:p>
    <w:p w:rsidR="001B3FCA" w:rsidRDefault="001B3FCA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  <w:r>
        <w:rPr>
          <w:b/>
          <w:lang w:val="bg-BG"/>
        </w:rPr>
        <w:t>ГЛАВЕН СЕКРЕТАР</w:t>
      </w:r>
      <w:r w:rsidR="007C42F4">
        <w:rPr>
          <w:b/>
          <w:lang w:val="bg-BG"/>
        </w:rPr>
        <w:t xml:space="preserve"> НА МТСП</w:t>
      </w:r>
      <w:r>
        <w:rPr>
          <w:b/>
          <w:lang w:val="bg-BG"/>
        </w:rPr>
        <w:t>:</w:t>
      </w:r>
      <w:r w:rsidR="007C42F4">
        <w:rPr>
          <w:b/>
          <w:lang w:val="bg-BG"/>
        </w:rPr>
        <w:t xml:space="preserve">                  ГЛАВЕН СЕКРЕТАР НА МТИТС:</w:t>
      </w:r>
    </w:p>
    <w:p w:rsidR="001B3FCA" w:rsidRDefault="001B3FCA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  <w:r>
        <w:rPr>
          <w:b/>
          <w:lang w:val="bg-BG"/>
        </w:rPr>
        <w:t>ДИМИТЪР ХАДЖИЕВ</w:t>
      </w:r>
      <w:r w:rsidR="0091140F">
        <w:rPr>
          <w:b/>
          <w:lang w:val="bg-BG"/>
        </w:rPr>
        <w:t xml:space="preserve">                                     ИВАН МАРКОВ</w:t>
      </w:r>
    </w:p>
    <w:p w:rsidR="00F159C5" w:rsidRDefault="00F159C5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</w:p>
    <w:p w:rsidR="00F159C5" w:rsidRDefault="001B3FCA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  <w:r>
        <w:rPr>
          <w:b/>
          <w:lang w:val="bg-BG"/>
        </w:rPr>
        <w:t xml:space="preserve">НАЧАЛНИК </w:t>
      </w:r>
      <w:r w:rsidR="00F159C5">
        <w:rPr>
          <w:b/>
          <w:lang w:val="bg-BG"/>
        </w:rPr>
        <w:t xml:space="preserve">НА </w:t>
      </w:r>
      <w:r>
        <w:rPr>
          <w:b/>
          <w:lang w:val="bg-BG"/>
        </w:rPr>
        <w:t xml:space="preserve">ОТДЕЛ </w:t>
      </w:r>
      <w:r w:rsidR="00F159C5">
        <w:rPr>
          <w:b/>
          <w:lang w:val="bg-BG"/>
        </w:rPr>
        <w:t xml:space="preserve">                                 </w:t>
      </w:r>
      <w:r w:rsidR="0091140F">
        <w:rPr>
          <w:b/>
          <w:lang w:val="bg-BG"/>
        </w:rPr>
        <w:t xml:space="preserve">ДИРЕКТОР НА ДИРЕКЦИЯ </w:t>
      </w:r>
      <w:r w:rsidR="00F159C5">
        <w:rPr>
          <w:b/>
          <w:lang w:val="bg-BG"/>
        </w:rPr>
        <w:t>„</w:t>
      </w:r>
      <w:r w:rsidR="0091140F">
        <w:rPr>
          <w:b/>
          <w:lang w:val="bg-BG"/>
        </w:rPr>
        <w:t>ПРАВНА</w:t>
      </w:r>
      <w:r w:rsidR="00F159C5">
        <w:rPr>
          <w:b/>
          <w:lang w:val="bg-BG"/>
        </w:rPr>
        <w:t>“</w:t>
      </w:r>
      <w:r w:rsidR="0091140F">
        <w:rPr>
          <w:b/>
          <w:lang w:val="bg-BG"/>
        </w:rPr>
        <w:t>:</w:t>
      </w:r>
    </w:p>
    <w:p w:rsidR="00F159C5" w:rsidRDefault="00F159C5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  <w:r>
        <w:rPr>
          <w:b/>
          <w:lang w:val="bg-BG"/>
        </w:rPr>
        <w:t>„ПРАВНО ОБСЛУЖВАНЕ“:                           КРАСИМИРА СТОЯНОВА</w:t>
      </w:r>
    </w:p>
    <w:p w:rsidR="001B3FCA" w:rsidRDefault="001B3FCA" w:rsidP="007C42F4">
      <w:pPr>
        <w:tabs>
          <w:tab w:val="left" w:pos="0"/>
        </w:tabs>
        <w:spacing w:after="120"/>
        <w:jc w:val="both"/>
        <w:rPr>
          <w:b/>
          <w:lang w:val="bg-BG"/>
        </w:rPr>
      </w:pPr>
      <w:r>
        <w:rPr>
          <w:b/>
          <w:lang w:val="bg-BG"/>
        </w:rPr>
        <w:t xml:space="preserve">МОМЧИЛ МАСЛАРОВ </w:t>
      </w:r>
      <w:r w:rsidR="0091140F">
        <w:rPr>
          <w:b/>
          <w:lang w:val="bg-BG"/>
        </w:rPr>
        <w:t xml:space="preserve">                                 </w:t>
      </w:r>
    </w:p>
    <w:p w:rsidR="00AC52DC" w:rsidRPr="002C52BE" w:rsidRDefault="00AC52DC" w:rsidP="0050419F">
      <w:pPr>
        <w:ind w:firstLine="709"/>
        <w:rPr>
          <w:lang w:val="bg-BG"/>
        </w:rPr>
      </w:pPr>
    </w:p>
    <w:sectPr w:rsidR="00AC52DC" w:rsidRPr="002C52BE" w:rsidSect="00027278">
      <w:footerReference w:type="even" r:id="rId10"/>
      <w:foot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9C" w:rsidRDefault="00EF6D9C">
      <w:r>
        <w:separator/>
      </w:r>
    </w:p>
  </w:endnote>
  <w:endnote w:type="continuationSeparator" w:id="0">
    <w:p w:rsidR="00EF6D9C" w:rsidRDefault="00E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5" w:rsidRDefault="00E40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165" w:rsidRDefault="00E401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098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C41" w:rsidRDefault="002B1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165" w:rsidRDefault="00E40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9C" w:rsidRDefault="00EF6D9C">
      <w:r>
        <w:separator/>
      </w:r>
    </w:p>
  </w:footnote>
  <w:footnote w:type="continuationSeparator" w:id="0">
    <w:p w:rsidR="00EF6D9C" w:rsidRDefault="00EF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998"/>
    <w:multiLevelType w:val="hybridMultilevel"/>
    <w:tmpl w:val="2EBEAF74"/>
    <w:lvl w:ilvl="0" w:tplc="20BC34F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1F497D"/>
      </w:r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C02DC"/>
    <w:multiLevelType w:val="hybridMultilevel"/>
    <w:tmpl w:val="D1542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5390E30"/>
    <w:multiLevelType w:val="hybridMultilevel"/>
    <w:tmpl w:val="C492910C"/>
    <w:lvl w:ilvl="0" w:tplc="794E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4697D"/>
    <w:multiLevelType w:val="hybridMultilevel"/>
    <w:tmpl w:val="EB1C4F90"/>
    <w:lvl w:ilvl="0" w:tplc="C3785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CE10A0"/>
    <w:multiLevelType w:val="hybridMultilevel"/>
    <w:tmpl w:val="48B83492"/>
    <w:lvl w:ilvl="0" w:tplc="90B29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13ECF"/>
    <w:multiLevelType w:val="hybridMultilevel"/>
    <w:tmpl w:val="4E64E48A"/>
    <w:lvl w:ilvl="0" w:tplc="04020001">
      <w:start w:val="1"/>
      <w:numFmt w:val="bullet"/>
      <w:lvlText w:val=""/>
      <w:lvlJc w:val="left"/>
      <w:pPr>
        <w:ind w:left="1570" w:hanging="360"/>
      </w:pPr>
      <w:rPr>
        <w:rFonts w:ascii="Symbol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0" w:hanging="360"/>
      </w:pPr>
      <w:rPr>
        <w:rFonts w:ascii="Wingdings" w:hAnsi="Wingdings" w:cs="Times New Roman" w:hint="default"/>
      </w:rPr>
    </w:lvl>
    <w:lvl w:ilvl="3" w:tplc="04020001">
      <w:start w:val="1"/>
      <w:numFmt w:val="bullet"/>
      <w:lvlText w:val=""/>
      <w:lvlJc w:val="left"/>
      <w:pPr>
        <w:ind w:left="3730" w:hanging="360"/>
      </w:pPr>
      <w:rPr>
        <w:rFonts w:ascii="Symbol" w:hAnsi="Symbol" w:cs="Times New Roman" w:hint="default"/>
      </w:rPr>
    </w:lvl>
    <w:lvl w:ilvl="4" w:tplc="0402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0" w:hanging="360"/>
      </w:pPr>
      <w:rPr>
        <w:rFonts w:ascii="Wingdings" w:hAnsi="Wingdings" w:cs="Times New Roman" w:hint="default"/>
      </w:rPr>
    </w:lvl>
    <w:lvl w:ilvl="6" w:tplc="04020001">
      <w:start w:val="1"/>
      <w:numFmt w:val="bullet"/>
      <w:lvlText w:val=""/>
      <w:lvlJc w:val="left"/>
      <w:pPr>
        <w:ind w:left="5890" w:hanging="360"/>
      </w:pPr>
      <w:rPr>
        <w:rFonts w:ascii="Symbol" w:hAnsi="Symbol" w:cs="Times New Roman" w:hint="default"/>
      </w:rPr>
    </w:lvl>
    <w:lvl w:ilvl="7" w:tplc="0402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21D0C68"/>
    <w:multiLevelType w:val="hybridMultilevel"/>
    <w:tmpl w:val="BCCA063A"/>
    <w:lvl w:ilvl="0" w:tplc="5E5A2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BF4416"/>
    <w:multiLevelType w:val="hybridMultilevel"/>
    <w:tmpl w:val="252EDC1C"/>
    <w:lvl w:ilvl="0" w:tplc="18C0CE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DD069D"/>
    <w:multiLevelType w:val="hybridMultilevel"/>
    <w:tmpl w:val="80BAFAF8"/>
    <w:lvl w:ilvl="0" w:tplc="15DE6224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2B93E9D"/>
    <w:multiLevelType w:val="hybridMultilevel"/>
    <w:tmpl w:val="AFC25B90"/>
    <w:lvl w:ilvl="0" w:tplc="04020001">
      <w:start w:val="1"/>
      <w:numFmt w:val="bullet"/>
      <w:lvlText w:val=""/>
      <w:lvlJc w:val="left"/>
      <w:pPr>
        <w:ind w:left="2278" w:hanging="360"/>
      </w:pPr>
      <w:rPr>
        <w:rFonts w:ascii="Symbol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18" w:hanging="360"/>
      </w:pPr>
      <w:rPr>
        <w:rFonts w:ascii="Wingdings" w:hAnsi="Wingdings" w:cs="Times New Roman" w:hint="default"/>
      </w:rPr>
    </w:lvl>
    <w:lvl w:ilvl="3" w:tplc="04020001">
      <w:start w:val="1"/>
      <w:numFmt w:val="bullet"/>
      <w:lvlText w:val=""/>
      <w:lvlJc w:val="left"/>
      <w:pPr>
        <w:ind w:left="4438" w:hanging="360"/>
      </w:pPr>
      <w:rPr>
        <w:rFonts w:ascii="Symbol" w:hAnsi="Symbol" w:cs="Times New Roman" w:hint="default"/>
      </w:rPr>
    </w:lvl>
    <w:lvl w:ilvl="4" w:tplc="04020003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78" w:hanging="360"/>
      </w:pPr>
      <w:rPr>
        <w:rFonts w:ascii="Wingdings" w:hAnsi="Wingdings" w:cs="Times New Roman" w:hint="default"/>
      </w:rPr>
    </w:lvl>
    <w:lvl w:ilvl="6" w:tplc="04020001">
      <w:start w:val="1"/>
      <w:numFmt w:val="bullet"/>
      <w:lvlText w:val=""/>
      <w:lvlJc w:val="left"/>
      <w:pPr>
        <w:ind w:left="6598" w:hanging="360"/>
      </w:pPr>
      <w:rPr>
        <w:rFonts w:ascii="Symbol" w:hAnsi="Symbol" w:cs="Times New Roman" w:hint="default"/>
      </w:rPr>
    </w:lvl>
    <w:lvl w:ilvl="7" w:tplc="0402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0BA1111"/>
    <w:multiLevelType w:val="hybridMultilevel"/>
    <w:tmpl w:val="A4028D8C"/>
    <w:lvl w:ilvl="0" w:tplc="47C00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642D3C"/>
    <w:multiLevelType w:val="hybridMultilevel"/>
    <w:tmpl w:val="DE120158"/>
    <w:lvl w:ilvl="0" w:tplc="582E66C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1A55A0"/>
    <w:multiLevelType w:val="hybridMultilevel"/>
    <w:tmpl w:val="C36A63D0"/>
    <w:lvl w:ilvl="0" w:tplc="A5E02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7"/>
    <w:rsid w:val="00001313"/>
    <w:rsid w:val="0001321D"/>
    <w:rsid w:val="00027278"/>
    <w:rsid w:val="00036DBE"/>
    <w:rsid w:val="000424CF"/>
    <w:rsid w:val="000868B8"/>
    <w:rsid w:val="00092A8E"/>
    <w:rsid w:val="000B7CCE"/>
    <w:rsid w:val="000C6B80"/>
    <w:rsid w:val="000D2EFA"/>
    <w:rsid w:val="000F2F76"/>
    <w:rsid w:val="00105815"/>
    <w:rsid w:val="00111292"/>
    <w:rsid w:val="00113F5F"/>
    <w:rsid w:val="001614CF"/>
    <w:rsid w:val="001879EB"/>
    <w:rsid w:val="001956A2"/>
    <w:rsid w:val="001A7987"/>
    <w:rsid w:val="001B3FCA"/>
    <w:rsid w:val="001C4A81"/>
    <w:rsid w:val="001C645C"/>
    <w:rsid w:val="001E15A9"/>
    <w:rsid w:val="002509CA"/>
    <w:rsid w:val="00274690"/>
    <w:rsid w:val="00280E58"/>
    <w:rsid w:val="00296689"/>
    <w:rsid w:val="002A71CD"/>
    <w:rsid w:val="002B1C41"/>
    <w:rsid w:val="002C52BE"/>
    <w:rsid w:val="002D7FF5"/>
    <w:rsid w:val="003006AD"/>
    <w:rsid w:val="003028C1"/>
    <w:rsid w:val="0031053F"/>
    <w:rsid w:val="0032311A"/>
    <w:rsid w:val="003566F0"/>
    <w:rsid w:val="00361A44"/>
    <w:rsid w:val="00364783"/>
    <w:rsid w:val="003B6B58"/>
    <w:rsid w:val="003F6E0F"/>
    <w:rsid w:val="003F7DD0"/>
    <w:rsid w:val="00423AA8"/>
    <w:rsid w:val="004822D4"/>
    <w:rsid w:val="004A25D9"/>
    <w:rsid w:val="004B3AF0"/>
    <w:rsid w:val="004C176E"/>
    <w:rsid w:val="004C3FD2"/>
    <w:rsid w:val="004D322D"/>
    <w:rsid w:val="0050419F"/>
    <w:rsid w:val="00511791"/>
    <w:rsid w:val="00514038"/>
    <w:rsid w:val="00516C00"/>
    <w:rsid w:val="005505BE"/>
    <w:rsid w:val="005512DE"/>
    <w:rsid w:val="00557E32"/>
    <w:rsid w:val="00560EE3"/>
    <w:rsid w:val="005913A7"/>
    <w:rsid w:val="005B68FB"/>
    <w:rsid w:val="005D3094"/>
    <w:rsid w:val="00601AAF"/>
    <w:rsid w:val="00602B58"/>
    <w:rsid w:val="0063572C"/>
    <w:rsid w:val="006B5A25"/>
    <w:rsid w:val="006D7CFC"/>
    <w:rsid w:val="006E0827"/>
    <w:rsid w:val="006E4FAF"/>
    <w:rsid w:val="006E5DD7"/>
    <w:rsid w:val="007067F1"/>
    <w:rsid w:val="00723ED4"/>
    <w:rsid w:val="00755022"/>
    <w:rsid w:val="00756E3E"/>
    <w:rsid w:val="0076167F"/>
    <w:rsid w:val="00784B95"/>
    <w:rsid w:val="007A64EA"/>
    <w:rsid w:val="007B5DDB"/>
    <w:rsid w:val="007C07F7"/>
    <w:rsid w:val="007C42F4"/>
    <w:rsid w:val="007D37C1"/>
    <w:rsid w:val="007E1DED"/>
    <w:rsid w:val="007F7903"/>
    <w:rsid w:val="00847D9A"/>
    <w:rsid w:val="0087014A"/>
    <w:rsid w:val="00873AE6"/>
    <w:rsid w:val="00886C99"/>
    <w:rsid w:val="008908D5"/>
    <w:rsid w:val="008A28C5"/>
    <w:rsid w:val="008B5E67"/>
    <w:rsid w:val="008B5F72"/>
    <w:rsid w:val="008C0611"/>
    <w:rsid w:val="008D0141"/>
    <w:rsid w:val="008D49BB"/>
    <w:rsid w:val="008E64A7"/>
    <w:rsid w:val="008F3D6C"/>
    <w:rsid w:val="0091140F"/>
    <w:rsid w:val="00937BAD"/>
    <w:rsid w:val="0095134A"/>
    <w:rsid w:val="009652B0"/>
    <w:rsid w:val="0099440A"/>
    <w:rsid w:val="009A1C42"/>
    <w:rsid w:val="009B4691"/>
    <w:rsid w:val="009B5FFB"/>
    <w:rsid w:val="009B6059"/>
    <w:rsid w:val="009D556C"/>
    <w:rsid w:val="009F2753"/>
    <w:rsid w:val="00A0190B"/>
    <w:rsid w:val="00A25E87"/>
    <w:rsid w:val="00A33582"/>
    <w:rsid w:val="00A571EB"/>
    <w:rsid w:val="00A76713"/>
    <w:rsid w:val="00A81B23"/>
    <w:rsid w:val="00A828CC"/>
    <w:rsid w:val="00AA4526"/>
    <w:rsid w:val="00AA5610"/>
    <w:rsid w:val="00AA7175"/>
    <w:rsid w:val="00AC52DC"/>
    <w:rsid w:val="00AD0287"/>
    <w:rsid w:val="00AE1CC1"/>
    <w:rsid w:val="00AF6727"/>
    <w:rsid w:val="00B222E2"/>
    <w:rsid w:val="00B25874"/>
    <w:rsid w:val="00B27AE7"/>
    <w:rsid w:val="00B53453"/>
    <w:rsid w:val="00B56433"/>
    <w:rsid w:val="00B8527F"/>
    <w:rsid w:val="00BB2F83"/>
    <w:rsid w:val="00BC55DF"/>
    <w:rsid w:val="00BD0FA2"/>
    <w:rsid w:val="00BD5EE1"/>
    <w:rsid w:val="00BD698E"/>
    <w:rsid w:val="00BE5DE7"/>
    <w:rsid w:val="00C37EFF"/>
    <w:rsid w:val="00C417CD"/>
    <w:rsid w:val="00C66879"/>
    <w:rsid w:val="00C73F0D"/>
    <w:rsid w:val="00C82F83"/>
    <w:rsid w:val="00C91C31"/>
    <w:rsid w:val="00C9554E"/>
    <w:rsid w:val="00CB31FD"/>
    <w:rsid w:val="00CB3C7B"/>
    <w:rsid w:val="00CD3492"/>
    <w:rsid w:val="00D01788"/>
    <w:rsid w:val="00D84F41"/>
    <w:rsid w:val="00D86D52"/>
    <w:rsid w:val="00D9190C"/>
    <w:rsid w:val="00DB071D"/>
    <w:rsid w:val="00DB58AC"/>
    <w:rsid w:val="00DD4486"/>
    <w:rsid w:val="00DD58AD"/>
    <w:rsid w:val="00E37293"/>
    <w:rsid w:val="00E40165"/>
    <w:rsid w:val="00E54BFA"/>
    <w:rsid w:val="00E57977"/>
    <w:rsid w:val="00E82262"/>
    <w:rsid w:val="00EF6D9C"/>
    <w:rsid w:val="00F07D87"/>
    <w:rsid w:val="00F159C5"/>
    <w:rsid w:val="00F71D5F"/>
    <w:rsid w:val="00F945F9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EC89136-814A-4D26-B869-12A48C43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42"/>
      <w:ind w:right="5" w:firstLine="810"/>
      <w:jc w:val="center"/>
      <w:outlineLvl w:val="0"/>
    </w:pPr>
    <w:rPr>
      <w:b/>
      <w:bCs/>
      <w:color w:val="353535"/>
      <w:spacing w:val="-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ap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uppressAutoHyphens/>
      <w:spacing w:after="120"/>
      <w:ind w:left="283"/>
    </w:pPr>
    <w:rPr>
      <w:lang w:val="en-US" w:eastAsia="ar-SA"/>
    </w:rPr>
  </w:style>
  <w:style w:type="paragraph" w:styleId="BodyText">
    <w:name w:val="Body Text"/>
    <w:basedOn w:val="Normal"/>
    <w:semiHidden/>
    <w:pPr>
      <w:jc w:val="both"/>
    </w:pPr>
    <w:rPr>
      <w:lang w:val="bg-BG"/>
    </w:rPr>
  </w:style>
  <w:style w:type="paragraph" w:styleId="BodyTextIndent2">
    <w:name w:val="Body Text Indent 2"/>
    <w:basedOn w:val="Normal"/>
    <w:link w:val="BodyTextIndent2Char"/>
    <w:semiHidden/>
    <w:pPr>
      <w:tabs>
        <w:tab w:val="num" w:pos="0"/>
      </w:tabs>
      <w:ind w:firstLine="720"/>
      <w:jc w:val="both"/>
    </w:pPr>
    <w:rPr>
      <w:bCs/>
      <w:szCs w:val="28"/>
      <w:lang w:val="x-none"/>
    </w:rPr>
  </w:style>
  <w:style w:type="paragraph" w:styleId="BodyText2">
    <w:name w:val="Body Text 2"/>
    <w:basedOn w:val="Normal"/>
    <w:semiHidden/>
    <w:pPr>
      <w:jc w:val="both"/>
    </w:pPr>
    <w:rPr>
      <w:i/>
      <w:iCs/>
      <w:sz w:val="22"/>
      <w:lang w:val="bg-BG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A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58A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semiHidden/>
    <w:unhideWhenUsed/>
    <w:rsid w:val="00B56433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571EB"/>
    <w:pPr>
      <w:spacing w:before="100" w:beforeAutospacing="1" w:after="100" w:afterAutospacing="1"/>
    </w:pPr>
    <w:rPr>
      <w:rFonts w:eastAsia="Calibri"/>
      <w:lang w:val="bg-BG" w:eastAsia="bg-BG"/>
    </w:rPr>
  </w:style>
  <w:style w:type="character" w:customStyle="1" w:styleId="BodyTextIndent2Char">
    <w:name w:val="Body Text Indent 2 Char"/>
    <w:link w:val="BodyTextIndent2"/>
    <w:semiHidden/>
    <w:rsid w:val="00F945F9"/>
    <w:rPr>
      <w:bCs/>
      <w:sz w:val="24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12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1292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1C4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93EE-8FA1-4C4D-A8BF-87BF4999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9594</Characters>
  <Application>Microsoft Office Word</Application>
  <DocSecurity>4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Б Ъ Л Г А Р И Я</vt:lpstr>
      <vt:lpstr>Р Е П У Б Л И К А  Б Ъ Л Г А Р И Я</vt:lpstr>
    </vt:vector>
  </TitlesOfParts>
  <Company>nssi</Company>
  <LinksUpToDate>false</LinksUpToDate>
  <CharactersWithSpaces>11254</CharactersWithSpaces>
  <SharedDoc>false</SharedDoc>
  <HLinks>
    <vt:vector size="6" baseType="variant"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apis://Base=NARH&amp;DocCode=2016&amp;ToPar=Art6_Al9&amp;Type=201/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Galina</dc:creator>
  <cp:lastModifiedBy>Iliyana Karafizieva</cp:lastModifiedBy>
  <cp:revision>2</cp:revision>
  <cp:lastPrinted>2016-04-06T06:57:00Z</cp:lastPrinted>
  <dcterms:created xsi:type="dcterms:W3CDTF">2016-04-07T13:53:00Z</dcterms:created>
  <dcterms:modified xsi:type="dcterms:W3CDTF">2016-04-07T13:53:00Z</dcterms:modified>
</cp:coreProperties>
</file>