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3238" w14:textId="01DB1213" w:rsidR="000C2531" w:rsidRPr="008A1DCA" w:rsidRDefault="008A1DCA" w:rsidP="007176EA">
      <w:pPr>
        <w:pStyle w:val="Default"/>
        <w:spacing w:before="120" w:line="276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</w:pPr>
      <w:r w:rsidRPr="00CB125B">
        <w:rPr>
          <w:rFonts w:ascii="Times New Roman" w:eastAsia="Microsoft Sans Serif" w:hAnsi="Times New Roman" w:cstheme="majorBidi"/>
          <w:b/>
          <w:i/>
          <w:iCs/>
          <w:lang w:eastAsia="bg-BG" w:bidi="bg-BG"/>
        </w:rPr>
        <w:t>Приложение</w:t>
      </w:r>
      <w:r>
        <w:rPr>
          <w:rFonts w:ascii="Times New Roman" w:eastAsia="Microsoft Sans Serif" w:hAnsi="Times New Roman" w:cstheme="majorBidi"/>
          <w:b/>
          <w:i/>
          <w:iCs/>
          <w:lang w:val="en-US" w:eastAsia="bg-BG" w:bidi="bg-BG"/>
        </w:rPr>
        <w:t xml:space="preserve"> 3</w:t>
      </w:r>
    </w:p>
    <w:p w14:paraId="7D918A5B" w14:textId="77777777" w:rsidR="007176EA" w:rsidRDefault="008A3D62" w:rsidP="007176EA">
      <w:pPr>
        <w:pStyle w:val="Default"/>
        <w:spacing w:before="12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</w:pPr>
      <w:r w:rsidRPr="008A1DCA"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  <w:t>Индекс на цифров</w:t>
      </w:r>
      <w:r w:rsidR="00C67529" w:rsidRPr="008A1DCA">
        <w:rPr>
          <w:rFonts w:ascii="Times New Roman" w:hAnsi="Times New Roman" w:cs="Times New Roman"/>
          <w:b/>
          <w:bCs/>
          <w:noProof/>
          <w:sz w:val="28"/>
          <w:szCs w:val="28"/>
        </w:rPr>
        <w:t>ата</w:t>
      </w:r>
      <w:r w:rsidRPr="008A1DCA"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  <w:t xml:space="preserve"> икономика и общество (DESI) 2021</w:t>
      </w:r>
    </w:p>
    <w:p w14:paraId="4741F54C" w14:textId="5747EE65" w:rsidR="00F715FA" w:rsidRPr="008A1DCA" w:rsidRDefault="008A3D62" w:rsidP="007176EA">
      <w:pPr>
        <w:pStyle w:val="Default"/>
        <w:spacing w:before="12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</w:pPr>
      <w:r w:rsidRPr="008A1DCA"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  <w:t>ИКТ сектор</w:t>
      </w:r>
      <w:r w:rsidR="00294CAD" w:rsidRPr="008A1DCA">
        <w:rPr>
          <w:rFonts w:ascii="Times New Roman" w:hAnsi="Times New Roman" w:cs="Times New Roman"/>
          <w:b/>
          <w:bCs/>
          <w:noProof/>
          <w:sz w:val="28"/>
          <w:szCs w:val="28"/>
        </w:rPr>
        <w:t>ът</w:t>
      </w:r>
      <w:r w:rsidR="007004A4" w:rsidRPr="008A1DCA">
        <w:rPr>
          <w:rFonts w:ascii="Times New Roman" w:hAnsi="Times New Roman" w:cs="Times New Roman"/>
          <w:b/>
          <w:bCs/>
          <w:noProof/>
          <w:sz w:val="28"/>
          <w:szCs w:val="28"/>
          <w:lang w:val="en-GB"/>
        </w:rPr>
        <w:t xml:space="preserve"> и НИРД</w:t>
      </w:r>
      <w:r w:rsidR="00294CAD" w:rsidRPr="008A1D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на ЕС</w:t>
      </w:r>
    </w:p>
    <w:p w14:paraId="3AFD2BED" w14:textId="77777777" w:rsidR="006A7CEA" w:rsidRPr="00656468" w:rsidRDefault="003A0D61" w:rsidP="003231AA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i/>
          <w:noProof/>
          <w:color w:val="auto"/>
          <w:u w:val="single"/>
          <w:lang w:val="en-GB"/>
        </w:rPr>
      </w:pPr>
      <w:r w:rsidRPr="00656468">
        <w:rPr>
          <w:rFonts w:ascii="Times New Roman" w:hAnsi="Times New Roman" w:cs="Times New Roman"/>
          <w:b/>
          <w:i/>
          <w:noProof/>
          <w:color w:val="auto"/>
          <w:u w:val="single"/>
          <w:lang w:val="en-GB"/>
        </w:rPr>
        <w:t>Добавена стойност</w:t>
      </w:r>
    </w:p>
    <w:p w14:paraId="76B1E4E5" w14:textId="77777777" w:rsidR="00656468" w:rsidRDefault="00656468" w:rsidP="003231AA">
      <w:pPr>
        <w:pStyle w:val="Default"/>
        <w:spacing w:before="120" w:line="276" w:lineRule="auto"/>
        <w:jc w:val="both"/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</w:rPr>
        <w:t>Д</w:t>
      </w:r>
      <w:r w:rsidRPr="00656468">
        <w:rPr>
          <w:rFonts w:ascii="Times New Roman" w:hAnsi="Times New Roman" w:cs="Times New Roman"/>
          <w:noProof/>
          <w:lang w:val="en-GB"/>
        </w:rPr>
        <w:t>обавената стойност на ИКТ сектора възлиза на 4,4% от БВП на ЕС през 2018 г. според изчерпате</w:t>
      </w:r>
      <w:r w:rsidR="00294CAD">
        <w:rPr>
          <w:rFonts w:ascii="Times New Roman" w:hAnsi="Times New Roman" w:cs="Times New Roman"/>
          <w:noProof/>
          <w:lang w:val="en-GB"/>
        </w:rPr>
        <w:t>лната дефиниция (вж. Методически бележки</w:t>
      </w:r>
      <w:r>
        <w:rPr>
          <w:rFonts w:ascii="Times New Roman" w:hAnsi="Times New Roman" w:cs="Times New Roman"/>
          <w:noProof/>
        </w:rPr>
        <w:t xml:space="preserve"> накрая </w:t>
      </w:r>
      <w:r w:rsidRPr="00656468">
        <w:rPr>
          <w:rFonts w:ascii="Times New Roman" w:hAnsi="Times New Roman" w:cs="Times New Roman"/>
          <w:noProof/>
          <w:lang w:val="en-GB"/>
        </w:rPr>
        <w:t>). Според оператив</w:t>
      </w:r>
      <w:r w:rsidR="00294CAD">
        <w:rPr>
          <w:rFonts w:ascii="Times New Roman" w:hAnsi="Times New Roman" w:cs="Times New Roman"/>
          <w:noProof/>
          <w:lang w:val="en-GB"/>
        </w:rPr>
        <w:t>ната дефиниция (виж Методически бележки накрая</w:t>
      </w:r>
      <w:r w:rsidRPr="00656468">
        <w:rPr>
          <w:rFonts w:ascii="Times New Roman" w:hAnsi="Times New Roman" w:cs="Times New Roman"/>
          <w:noProof/>
          <w:lang w:val="en-GB"/>
        </w:rPr>
        <w:t>), която позволява световни сравнения, добавената стойност на сектора на ИКТ в ЕС27 (4,0%) е по-ниска от тази на САЩ (5,9%), Япония (5,8%), Китай ( 4,9%) и Обединеното кралство (4,7%) през 2018 г. ИКТ секторът на ЕС нарасна само незначително като процент от БВП през 2018 г. в сравнение с 2016 г., но това направи</w:t>
      </w:r>
      <w:r>
        <w:rPr>
          <w:rFonts w:ascii="Times New Roman" w:hAnsi="Times New Roman" w:cs="Times New Roman"/>
          <w:noProof/>
        </w:rPr>
        <w:t>ха</w:t>
      </w:r>
      <w:r w:rsidRPr="00656468">
        <w:rPr>
          <w:rFonts w:ascii="Times New Roman" w:hAnsi="Times New Roman" w:cs="Times New Roman"/>
          <w:noProof/>
          <w:lang w:val="en-GB"/>
        </w:rPr>
        <w:t xml:space="preserve"> и повечето от неговите конкуренти. Изключение правят Китай и Япония, където секторът на ИКТ като процент от БВП намалява. Още през 2017 г. Япония беше изпреварена от САЩ като страната, в която ИКТ секторът представлява най-висок процент от БВП.</w:t>
      </w:r>
    </w:p>
    <w:p w14:paraId="0AABECC1" w14:textId="77777777" w:rsidR="00D10DA7" w:rsidRPr="00656468" w:rsidRDefault="003A0D61" w:rsidP="007176EA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auto"/>
        </w:rPr>
      </w:pPr>
      <w:r w:rsidRPr="00656468">
        <w:rPr>
          <w:rFonts w:ascii="Times New Roman" w:hAnsi="Times New Roman" w:cs="Times New Roman"/>
          <w:b/>
          <w:bCs/>
          <w:noProof/>
          <w:color w:val="auto"/>
        </w:rPr>
        <w:t>Дял на ИКТ  сектора от БВП 2006-2018</w:t>
      </w:r>
      <w:r w:rsidR="00294CAD">
        <w:rPr>
          <w:rFonts w:ascii="Times New Roman" w:hAnsi="Times New Roman" w:cs="Times New Roman"/>
          <w:b/>
          <w:bCs/>
          <w:noProof/>
          <w:color w:val="auto"/>
        </w:rPr>
        <w:t>г.</w:t>
      </w:r>
    </w:p>
    <w:p w14:paraId="3D6E1200" w14:textId="77777777" w:rsidR="00D10DA7" w:rsidRPr="003A0D61" w:rsidRDefault="00D10DA7" w:rsidP="007176EA">
      <w:pPr>
        <w:pStyle w:val="Default"/>
        <w:spacing w:before="120" w:line="276" w:lineRule="auto"/>
        <w:ind w:left="-284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lang w:eastAsia="bg-BG"/>
        </w:rPr>
        <w:drawing>
          <wp:inline distT="0" distB="0" distL="0" distR="0" wp14:anchorId="0145047B" wp14:editId="4FC98D51">
            <wp:extent cx="5280660" cy="181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472E" w14:textId="77777777" w:rsidR="003A0D61" w:rsidRPr="003A0D61" w:rsidRDefault="003A0D61" w:rsidP="003231AA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604E339A" w14:textId="77777777" w:rsidR="00656468" w:rsidRPr="00656468" w:rsidRDefault="00656468" w:rsidP="003231A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65646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В ЕС27 Германия, Франция, Италия, Испания и Холандия са петте с най-голям принос за добавената стойност в сектора на ИКТ през 2018 г.: Германия (143 милиарда евро или 24% от добавената стойност на ЕС в ИКТ), Франция (110 милиарда евро или 19 %), Италия (62 милиарда евро или 10%), Испания (40 милиарда евро или 7%) и Холандия (38 милиарда евро или 6%). Заедно тези пет държави представляват 66% от общата добавена стойност на ИКТ сектора на ЕС през 2018 г.</w:t>
      </w:r>
    </w:p>
    <w:p w14:paraId="331E8319" w14:textId="77777777" w:rsidR="00656468" w:rsidRDefault="00656468" w:rsidP="003231A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65646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Ирландия обаче имаше най-големия сектор на ИКТ като процент от БВП – 11,6% през 2014 г. (последната година, за която има налични данни), докато Гърция изостава с 2,9%. След Ирландия страните с най-голям ИКТ сектор като процент от БВП са Люксембург (7%), Малта (6,5%), Швеция (6,2%), Естония (5,6%) и Кипър, Чехия и </w:t>
      </w:r>
      <w:r w:rsidRPr="00656468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  <w:t>България</w:t>
      </w:r>
      <w:r w:rsidRPr="0065646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(всички с 5,5%) ). Румъния, Финландия, Унгария и Латвия също имат голям ИКТ като процент от БВП (5% или повече). ИКТ като процент от БВП останаха като цяло непроменени между 2006 и 2018 г., с изключение на Ирландия, където нарасна с 3,7 процентни пункта и във Финландия, където падна с 3,5 процентни пункта.</w:t>
      </w:r>
    </w:p>
    <w:p w14:paraId="449D6241" w14:textId="77777777" w:rsidR="00D10DA7" w:rsidRPr="005C0F46" w:rsidRDefault="00656468" w:rsidP="003231AA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auto"/>
        </w:rPr>
      </w:pPr>
      <w:r w:rsidRPr="005C0F46">
        <w:rPr>
          <w:rFonts w:ascii="Times New Roman" w:hAnsi="Times New Roman" w:cs="Times New Roman"/>
          <w:b/>
          <w:bCs/>
          <w:noProof/>
          <w:color w:val="auto"/>
        </w:rPr>
        <w:lastRenderedPageBreak/>
        <w:t>Добавена стойност на сектора на ИКТ, ЕС27, милиарди евро, 2018 г. (лява ос) и дял на сектора на ИКТ от БВП, ЕС27, процент, 2018 г. (дясна ос)</w:t>
      </w:r>
    </w:p>
    <w:p w14:paraId="64EC4238" w14:textId="77777777" w:rsidR="00D10DA7" w:rsidRPr="003A0D61" w:rsidRDefault="00D10DA7" w:rsidP="007176EA">
      <w:pPr>
        <w:pStyle w:val="Default"/>
        <w:spacing w:before="120" w:line="276" w:lineRule="auto"/>
        <w:ind w:left="-284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lang w:eastAsia="bg-BG"/>
        </w:rPr>
        <w:drawing>
          <wp:inline distT="0" distB="0" distL="0" distR="0" wp14:anchorId="023F43D5" wp14:editId="5019F46E">
            <wp:extent cx="5410200" cy="1920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7B00" w14:textId="77777777" w:rsidR="00656468" w:rsidRPr="003A0D61" w:rsidRDefault="00656468" w:rsidP="005551E3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1C6C2D91" w14:textId="77777777" w:rsidR="00656468" w:rsidRDefault="00656468" w:rsidP="005551E3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i/>
          <w:noProof/>
          <w:color w:val="auto"/>
          <w:u w:val="single"/>
        </w:rPr>
      </w:pPr>
      <w:r>
        <w:rPr>
          <w:rFonts w:ascii="Times New Roman" w:hAnsi="Times New Roman" w:cs="Times New Roman"/>
          <w:b/>
          <w:i/>
          <w:noProof/>
          <w:color w:val="auto"/>
          <w:u w:val="single"/>
          <w:lang w:val="en-GB"/>
        </w:rPr>
        <w:t>Заетос</w:t>
      </w:r>
      <w:r w:rsidR="00740E3D">
        <w:rPr>
          <w:rFonts w:ascii="Times New Roman" w:hAnsi="Times New Roman" w:cs="Times New Roman"/>
          <w:b/>
          <w:i/>
          <w:noProof/>
          <w:color w:val="auto"/>
          <w:u w:val="single"/>
        </w:rPr>
        <w:t>т</w:t>
      </w:r>
    </w:p>
    <w:p w14:paraId="67DF94F8" w14:textId="77777777" w:rsidR="00D10DA7" w:rsidRPr="005C0F46" w:rsidRDefault="00740E3D" w:rsidP="003231AA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auto"/>
          <w:lang w:val="en-GB"/>
        </w:rPr>
      </w:pPr>
      <w:r w:rsidRPr="005C0F46">
        <w:rPr>
          <w:rFonts w:ascii="Times New Roman" w:hAnsi="Times New Roman" w:cs="Times New Roman"/>
          <w:b/>
          <w:bCs/>
          <w:noProof/>
          <w:color w:val="auto"/>
          <w:lang w:val="en-GB"/>
        </w:rPr>
        <w:t>Заетост в сектора на ИКТ, ЕС27, милиони лица, 2018 г. (лява ос) и дял на ИКТ сектора от общата заетост, ЕС27, процент, 2018 г. (дясна ос)</w:t>
      </w:r>
    </w:p>
    <w:p w14:paraId="0762E289" w14:textId="77777777" w:rsidR="00D10DA7" w:rsidRPr="003A0D61" w:rsidRDefault="00D10DA7" w:rsidP="007176EA">
      <w:pPr>
        <w:pStyle w:val="Default"/>
        <w:spacing w:before="120" w:line="276" w:lineRule="auto"/>
        <w:ind w:left="-284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lang w:eastAsia="bg-BG"/>
        </w:rPr>
        <w:drawing>
          <wp:inline distT="0" distB="0" distL="0" distR="0" wp14:anchorId="0EC306B1" wp14:editId="6AE47FE7">
            <wp:extent cx="5280660" cy="1935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5F95" w14:textId="77777777" w:rsidR="00294CAD" w:rsidRPr="003A0D61" w:rsidRDefault="00294CAD" w:rsidP="007176EA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51F4D1B6" w14:textId="77777777" w:rsidR="006A7CEA" w:rsidRPr="003F1601" w:rsidRDefault="003F1601" w:rsidP="007176EA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i/>
          <w:iCs/>
          <w:noProof/>
          <w:u w:val="single"/>
        </w:rPr>
      </w:pPr>
      <w:r w:rsidRPr="003F1601">
        <w:rPr>
          <w:rFonts w:ascii="Times New Roman" w:hAnsi="Times New Roman" w:cs="Times New Roman"/>
          <w:b/>
          <w:i/>
          <w:iCs/>
          <w:noProof/>
          <w:u w:val="single"/>
        </w:rPr>
        <w:t>Производителност</w:t>
      </w:r>
    </w:p>
    <w:p w14:paraId="74D559CF" w14:textId="77777777" w:rsidR="003F1601" w:rsidRPr="00972AE3" w:rsidRDefault="003F1601" w:rsidP="007176EA">
      <w:pPr>
        <w:pStyle w:val="Default"/>
        <w:spacing w:before="120" w:line="276" w:lineRule="auto"/>
        <w:jc w:val="both"/>
        <w:rPr>
          <w:rFonts w:ascii="Times New Roman" w:hAnsi="Times New Roman" w:cs="Times New Roman"/>
          <w:noProof/>
        </w:rPr>
      </w:pPr>
      <w:r w:rsidRPr="00972AE3">
        <w:rPr>
          <w:rFonts w:ascii="Times New Roman" w:hAnsi="Times New Roman" w:cs="Times New Roman"/>
          <w:noProof/>
        </w:rPr>
        <w:t xml:space="preserve">По отношение на производителността на труда в сектора на ИКТ Ирландия (254 000 евро на заето лице) е водеща през 2014 г. (последната година, за която има налични данни), но Люксембург (175 000 евро на заето лице) и Белгия ( </w:t>
      </w:r>
      <w:r w:rsidRPr="003F1601">
        <w:rPr>
          <w:rFonts w:ascii="Times New Roman" w:hAnsi="Times New Roman" w:cs="Times New Roman"/>
          <w:noProof/>
          <w:lang w:val="en-GB"/>
        </w:rPr>
        <w:t>PPS</w:t>
      </w:r>
      <w:r w:rsidRPr="00972AE3">
        <w:rPr>
          <w:rFonts w:ascii="Times New Roman" w:hAnsi="Times New Roman" w:cs="Times New Roman"/>
          <w:noProof/>
        </w:rPr>
        <w:t xml:space="preserve"> 125 000 </w:t>
      </w:r>
      <w:r w:rsidRPr="003F1601">
        <w:rPr>
          <w:rFonts w:ascii="Times New Roman" w:hAnsi="Times New Roman" w:cs="Times New Roman"/>
          <w:noProof/>
          <w:lang w:val="en-GB"/>
        </w:rPr>
        <w:t>EUR</w:t>
      </w:r>
      <w:r w:rsidRPr="00972AE3">
        <w:rPr>
          <w:rFonts w:ascii="Times New Roman" w:hAnsi="Times New Roman" w:cs="Times New Roman"/>
          <w:noProof/>
        </w:rPr>
        <w:t xml:space="preserve"> на заето лице) също се представи</w:t>
      </w:r>
      <w:r>
        <w:rPr>
          <w:rFonts w:ascii="Times New Roman" w:hAnsi="Times New Roman" w:cs="Times New Roman"/>
          <w:noProof/>
        </w:rPr>
        <w:t>ха</w:t>
      </w:r>
      <w:r w:rsidRPr="00972AE3">
        <w:rPr>
          <w:rFonts w:ascii="Times New Roman" w:hAnsi="Times New Roman" w:cs="Times New Roman"/>
          <w:noProof/>
        </w:rPr>
        <w:t xml:space="preserve"> добре през 2018 г. На противоположния край на скалата бяха Унгария (</w:t>
      </w:r>
      <w:r w:rsidRPr="003F1601">
        <w:rPr>
          <w:rFonts w:ascii="Times New Roman" w:hAnsi="Times New Roman" w:cs="Times New Roman"/>
          <w:noProof/>
          <w:lang w:val="en-GB"/>
        </w:rPr>
        <w:t>PPS</w:t>
      </w:r>
      <w:r w:rsidRPr="00972AE3">
        <w:rPr>
          <w:rFonts w:ascii="Times New Roman" w:hAnsi="Times New Roman" w:cs="Times New Roman"/>
          <w:noProof/>
        </w:rPr>
        <w:t xml:space="preserve"> </w:t>
      </w:r>
      <w:r w:rsidRPr="003F1601">
        <w:rPr>
          <w:rFonts w:ascii="Times New Roman" w:hAnsi="Times New Roman" w:cs="Times New Roman"/>
          <w:noProof/>
          <w:lang w:val="en-GB"/>
        </w:rPr>
        <w:t>EUR</w:t>
      </w:r>
      <w:r w:rsidRPr="00972AE3">
        <w:rPr>
          <w:rFonts w:ascii="Times New Roman" w:hAnsi="Times New Roman" w:cs="Times New Roman"/>
          <w:noProof/>
        </w:rPr>
        <w:t xml:space="preserve"> 56 000 на заето лице), Латвия (</w:t>
      </w:r>
      <w:r w:rsidRPr="003F1601">
        <w:rPr>
          <w:rFonts w:ascii="Times New Roman" w:hAnsi="Times New Roman" w:cs="Times New Roman"/>
          <w:noProof/>
          <w:lang w:val="en-GB"/>
        </w:rPr>
        <w:t>PPS</w:t>
      </w:r>
      <w:r w:rsidRPr="00972AE3">
        <w:rPr>
          <w:rFonts w:ascii="Times New Roman" w:hAnsi="Times New Roman" w:cs="Times New Roman"/>
          <w:noProof/>
        </w:rPr>
        <w:t xml:space="preserve"> </w:t>
      </w:r>
      <w:r w:rsidRPr="003F1601">
        <w:rPr>
          <w:rFonts w:ascii="Times New Roman" w:hAnsi="Times New Roman" w:cs="Times New Roman"/>
          <w:noProof/>
          <w:lang w:val="en-GB"/>
        </w:rPr>
        <w:t>EUR</w:t>
      </w:r>
      <w:r w:rsidRPr="00972AE3">
        <w:rPr>
          <w:rFonts w:ascii="Times New Roman" w:hAnsi="Times New Roman" w:cs="Times New Roman"/>
          <w:noProof/>
        </w:rPr>
        <w:t xml:space="preserve"> 57 000 на заето лице) и Естония (</w:t>
      </w:r>
      <w:r w:rsidRPr="003F1601">
        <w:rPr>
          <w:rFonts w:ascii="Times New Roman" w:hAnsi="Times New Roman" w:cs="Times New Roman"/>
          <w:noProof/>
          <w:lang w:val="en-GB"/>
        </w:rPr>
        <w:t>PPS</w:t>
      </w:r>
      <w:r w:rsidRPr="00972AE3">
        <w:rPr>
          <w:rFonts w:ascii="Times New Roman" w:hAnsi="Times New Roman" w:cs="Times New Roman"/>
          <w:noProof/>
        </w:rPr>
        <w:t xml:space="preserve"> </w:t>
      </w:r>
      <w:r w:rsidRPr="003F1601">
        <w:rPr>
          <w:rFonts w:ascii="Times New Roman" w:hAnsi="Times New Roman" w:cs="Times New Roman"/>
          <w:noProof/>
          <w:lang w:val="en-GB"/>
        </w:rPr>
        <w:t>EUR</w:t>
      </w:r>
      <w:r w:rsidRPr="00972AE3">
        <w:rPr>
          <w:rFonts w:ascii="Times New Roman" w:hAnsi="Times New Roman" w:cs="Times New Roman"/>
          <w:noProof/>
        </w:rPr>
        <w:t xml:space="preserve"> 58 000 на заето лице ).</w:t>
      </w:r>
    </w:p>
    <w:p w14:paraId="37E3590E" w14:textId="77777777" w:rsidR="003F1601" w:rsidRDefault="003F1601" w:rsidP="003231AA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noProof/>
          <w:lang w:val="en-GB"/>
        </w:rPr>
      </w:pPr>
      <w:r w:rsidRPr="003F1601">
        <w:rPr>
          <w:rFonts w:ascii="Times New Roman" w:hAnsi="Times New Roman" w:cs="Times New Roman"/>
          <w:noProof/>
          <w:lang w:val="en-GB"/>
        </w:rPr>
        <w:t xml:space="preserve">Подобна беше картината за производителността на труда в икономиката. Ирландия (PPS EUR 127 000 на заето лице), Люксембург (PPS EUR 107 000 на заето лице) и Белгия (PPS EUR 84 500 на заето лице) са най-добре представилите се страни, докато </w:t>
      </w:r>
      <w:r w:rsidRPr="003F1601">
        <w:rPr>
          <w:rFonts w:ascii="Times New Roman" w:hAnsi="Times New Roman" w:cs="Times New Roman"/>
          <w:b/>
          <w:noProof/>
          <w:lang w:val="en-GB"/>
        </w:rPr>
        <w:t>България</w:t>
      </w:r>
      <w:r w:rsidRPr="003F1601">
        <w:rPr>
          <w:rFonts w:ascii="Times New Roman" w:hAnsi="Times New Roman" w:cs="Times New Roman"/>
          <w:noProof/>
          <w:lang w:val="en-GB"/>
        </w:rPr>
        <w:t xml:space="preserve"> (PPS EUR 31 000</w:t>
      </w:r>
      <w:r>
        <w:rPr>
          <w:rFonts w:ascii="Times New Roman" w:hAnsi="Times New Roman" w:cs="Times New Roman"/>
          <w:noProof/>
          <w:lang w:val="en-GB"/>
        </w:rPr>
        <w:t xml:space="preserve"> на заето лице) и Румъния (PPS)</w:t>
      </w:r>
      <w:r w:rsidRPr="003F1601">
        <w:rPr>
          <w:rFonts w:ascii="Times New Roman" w:hAnsi="Times New Roman" w:cs="Times New Roman"/>
          <w:noProof/>
          <w:lang w:val="en-GB"/>
        </w:rPr>
        <w:t xml:space="preserve"> 45 000 евро на заето лице) бяха в дъното на скалата. </w:t>
      </w:r>
      <w:r w:rsidRPr="003F1601">
        <w:rPr>
          <w:rFonts w:ascii="Times New Roman" w:hAnsi="Times New Roman" w:cs="Times New Roman"/>
          <w:b/>
          <w:noProof/>
          <w:lang w:val="en-GB"/>
        </w:rPr>
        <w:t>Съотношението на производителността на труда в сектора на ИКТ спрямо икономиката обаче показва добро представяне на страните в дъното на скалата (например България).</w:t>
      </w:r>
    </w:p>
    <w:p w14:paraId="45FD0095" w14:textId="77777777" w:rsidR="008D7364" w:rsidRPr="00077BB9" w:rsidRDefault="008D7364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noProof/>
        </w:rPr>
      </w:pPr>
      <w:r w:rsidRPr="00077BB9">
        <w:rPr>
          <w:rFonts w:ascii="Times New Roman" w:hAnsi="Times New Roman" w:cs="Times New Roman"/>
          <w:i/>
          <w:noProof/>
        </w:rPr>
        <w:lastRenderedPageBreak/>
        <w:t>Стандартна покупателна способност/ PPS</w:t>
      </w:r>
    </w:p>
    <w:p w14:paraId="6EADB959" w14:textId="77777777" w:rsidR="002520FE" w:rsidRPr="003A0D61" w:rsidRDefault="00077BB9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44536A"/>
          <w:lang w:val="en-GB"/>
        </w:rPr>
      </w:pPr>
      <w:r w:rsidRPr="005C0F46">
        <w:rPr>
          <w:rFonts w:ascii="Times New Roman" w:hAnsi="Times New Roman" w:cs="Times New Roman"/>
          <w:b/>
          <w:bCs/>
          <w:noProof/>
          <w:color w:val="auto"/>
          <w:lang w:val="en-GB"/>
        </w:rPr>
        <w:t>Производителност в сектора на ИКТ, ЕС27, хил. EUR PPS на заето лице, 2018 г. (лява ос) и съотношение на производителността на ИКТ спрямо общата производителност, ЕС27 (дясна ос</w:t>
      </w:r>
      <w:r w:rsidRPr="00077BB9">
        <w:rPr>
          <w:rFonts w:ascii="Times New Roman" w:hAnsi="Times New Roman" w:cs="Times New Roman"/>
          <w:b/>
          <w:bCs/>
          <w:noProof/>
          <w:color w:val="44536A"/>
          <w:lang w:val="en-GB"/>
        </w:rPr>
        <w:t>)</w:t>
      </w:r>
    </w:p>
    <w:p w14:paraId="19AC6D6A" w14:textId="77777777" w:rsidR="002520FE" w:rsidRPr="003A0D61" w:rsidRDefault="002520FE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lang w:eastAsia="bg-BG"/>
        </w:rPr>
        <w:drawing>
          <wp:inline distT="0" distB="0" distL="0" distR="0" wp14:anchorId="5B0BA552" wp14:editId="68D223E9">
            <wp:extent cx="5410200" cy="2247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D843" w14:textId="77777777" w:rsidR="00294CAD" w:rsidRPr="003A0D61" w:rsidRDefault="00294CAD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51EA75A7" w14:textId="77777777" w:rsidR="00A250DA" w:rsidRPr="00972AE3" w:rsidRDefault="00077BB9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iCs/>
          <w:noProof/>
          <w:u w:val="single"/>
        </w:rPr>
      </w:pPr>
      <w:r w:rsidRPr="00077BB9">
        <w:rPr>
          <w:rFonts w:ascii="Times New Roman" w:hAnsi="Times New Roman" w:cs="Times New Roman"/>
          <w:b/>
          <w:iCs/>
          <w:noProof/>
          <w:u w:val="single"/>
        </w:rPr>
        <w:t>Разходи за НИРД</w:t>
      </w:r>
    </w:p>
    <w:p w14:paraId="4EBE65B0" w14:textId="2D16A216" w:rsidR="007B1DF8" w:rsidRDefault="005C0F46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noProof/>
          <w:lang w:val="en-GB"/>
        </w:rPr>
      </w:pPr>
      <w:r w:rsidRPr="008F7355">
        <w:rPr>
          <w:rFonts w:ascii="Times New Roman" w:hAnsi="Times New Roman" w:cs="Times New Roman"/>
          <w:b/>
          <w:noProof/>
          <w:lang w:val="en-GB"/>
        </w:rPr>
        <w:t>Разходи за научноизследователска и развойна дейност от бизнес предприятия (BERD) в сектора на ИКТ, ЕС27, милиарди евро, 2018 г. (лява ос) и интензивност на НИРД в сектора на ИКТ (BERD/VA), ЕС27, процент, 2018 г. (дясна ос)</w:t>
      </w:r>
    </w:p>
    <w:p w14:paraId="794FE754" w14:textId="77777777" w:rsidR="008F7355" w:rsidRPr="008F7355" w:rsidRDefault="008F7355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noProof/>
        </w:rPr>
      </w:pPr>
      <w:r w:rsidRPr="008F7355">
        <w:rPr>
          <w:rFonts w:ascii="Times New Roman" w:hAnsi="Times New Roman" w:cs="Times New Roman"/>
          <w:i/>
          <w:noProof/>
        </w:rPr>
        <w:t>Бизнес разходи за НИРД</w:t>
      </w:r>
      <w:r w:rsidR="00F83074">
        <w:rPr>
          <w:rFonts w:ascii="Times New Roman" w:hAnsi="Times New Roman" w:cs="Times New Roman"/>
          <w:i/>
          <w:noProof/>
        </w:rPr>
        <w:t xml:space="preserve"> / Добавена стойност </w:t>
      </w:r>
      <w:r w:rsidR="00F83074" w:rsidRPr="00F83074">
        <w:rPr>
          <w:rFonts w:ascii="Times New Roman" w:hAnsi="Times New Roman" w:cs="Times New Roman"/>
          <w:i/>
          <w:noProof/>
        </w:rPr>
        <w:t>(BERD/VA),</w:t>
      </w:r>
    </w:p>
    <w:p w14:paraId="6276E028" w14:textId="77777777" w:rsidR="007B1DF8" w:rsidRPr="003A0D61" w:rsidRDefault="007B1DF8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lang w:eastAsia="bg-BG"/>
        </w:rPr>
        <w:drawing>
          <wp:inline distT="0" distB="0" distL="0" distR="0" wp14:anchorId="60B89BC7" wp14:editId="253CFDFB">
            <wp:extent cx="5760720" cy="20285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6D89" w14:textId="77777777" w:rsidR="00294CAD" w:rsidRPr="003A0D61" w:rsidRDefault="00294CAD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3CA0C658" w14:textId="77777777" w:rsidR="007B1DF8" w:rsidRPr="00077BB9" w:rsidRDefault="00077BB9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i/>
          <w:iCs/>
          <w:noProof/>
          <w:u w:val="single"/>
        </w:rPr>
      </w:pPr>
      <w:r w:rsidRPr="00077BB9">
        <w:rPr>
          <w:rFonts w:ascii="Times New Roman" w:hAnsi="Times New Roman" w:cs="Times New Roman"/>
          <w:b/>
          <w:i/>
          <w:iCs/>
          <w:noProof/>
          <w:u w:val="single"/>
        </w:rPr>
        <w:t>НИРД персонал</w:t>
      </w:r>
    </w:p>
    <w:p w14:paraId="551ECBDD" w14:textId="77777777" w:rsidR="00077BB9" w:rsidRPr="00972AE3" w:rsidRDefault="00077BB9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auto"/>
          <w:lang w:val="en-GB"/>
        </w:rPr>
      </w:pPr>
      <w:r w:rsidRPr="00972AE3">
        <w:rPr>
          <w:rFonts w:ascii="Times New Roman" w:hAnsi="Times New Roman" w:cs="Times New Roman"/>
          <w:b/>
          <w:bCs/>
          <w:noProof/>
          <w:color w:val="auto"/>
          <w:lang w:val="en-GB"/>
        </w:rPr>
        <w:t>Персонал за научноизследователска и развойна дейност  в сектора на ИКТ, ЕС27, хиляди FTE, 2018 г. (лява ос) и дял на ИКТ сектора от общия персонал за научноизследователска и развойна дейност (PERD), ЕС27, процент, 2018 г. (дясна ос)</w:t>
      </w:r>
    </w:p>
    <w:p w14:paraId="56F9B1C2" w14:textId="77777777" w:rsidR="00A250DA" w:rsidRPr="00972AE3" w:rsidRDefault="00077BB9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Cs/>
          <w:i/>
          <w:noProof/>
          <w:color w:val="auto"/>
          <w:lang w:val="en-GB"/>
        </w:rPr>
      </w:pPr>
      <w:r w:rsidRPr="00972AE3">
        <w:rPr>
          <w:rFonts w:ascii="Times New Roman" w:hAnsi="Times New Roman" w:cs="Times New Roman"/>
          <w:bCs/>
          <w:i/>
          <w:noProof/>
          <w:color w:val="auto"/>
          <w:lang w:val="en-GB"/>
        </w:rPr>
        <w:t xml:space="preserve">Еквивалент на пълно работно време (FTE) </w:t>
      </w:r>
    </w:p>
    <w:p w14:paraId="62F22BA6" w14:textId="77777777" w:rsidR="00A250DA" w:rsidRPr="003A0D61" w:rsidRDefault="00A250DA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44536A"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color w:val="44536A"/>
          <w:lang w:eastAsia="bg-BG"/>
        </w:rPr>
        <w:lastRenderedPageBreak/>
        <w:drawing>
          <wp:inline distT="0" distB="0" distL="0" distR="0" wp14:anchorId="2FE8541C" wp14:editId="7EEF8C69">
            <wp:extent cx="5280660" cy="224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63C8" w14:textId="77777777" w:rsidR="00294CAD" w:rsidRPr="003A0D61" w:rsidRDefault="00294CAD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57DD9866" w14:textId="77777777" w:rsidR="007B1DF8" w:rsidRPr="005C4D27" w:rsidRDefault="005C4D27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i/>
          <w:noProof/>
          <w:color w:val="auto"/>
          <w:u w:val="single"/>
        </w:rPr>
      </w:pPr>
      <w:r w:rsidRPr="005C4D27">
        <w:rPr>
          <w:rFonts w:ascii="Times New Roman" w:hAnsi="Times New Roman" w:cs="Times New Roman"/>
          <w:b/>
          <w:i/>
          <w:noProof/>
          <w:color w:val="auto"/>
          <w:u w:val="single"/>
        </w:rPr>
        <w:t xml:space="preserve">Публично/обществено финансиране на ИКТ НИРД </w:t>
      </w:r>
    </w:p>
    <w:p w14:paraId="6B2C5E1D" w14:textId="77777777" w:rsidR="00A250DA" w:rsidRPr="00294CAD" w:rsidRDefault="00A250DA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auto"/>
        </w:rPr>
      </w:pPr>
    </w:p>
    <w:p w14:paraId="20236F4E" w14:textId="77777777" w:rsidR="005C4D27" w:rsidRPr="00F83074" w:rsidRDefault="005C4D27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auto"/>
          <w:lang w:val="en-GB"/>
        </w:rPr>
      </w:pPr>
      <w:r w:rsidRPr="00F83074">
        <w:rPr>
          <w:rFonts w:ascii="Times New Roman" w:hAnsi="Times New Roman" w:cs="Times New Roman"/>
          <w:b/>
          <w:bCs/>
          <w:noProof/>
          <w:color w:val="auto"/>
          <w:lang w:val="en-GB"/>
        </w:rPr>
        <w:t>Публично финансиране на ИКТ НИРД (ICT GBARD), EU27, милиарди евро, 2019 г. (лява ос) и ICT GBARD като дял от общия GBARD, EU27, процент, 2019 г. (дясна ос)</w:t>
      </w:r>
    </w:p>
    <w:p w14:paraId="49A142AA" w14:textId="769C7B96" w:rsidR="00AF33DB" w:rsidRPr="00F83074" w:rsidRDefault="00AF33DB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Cs/>
          <w:i/>
          <w:noProof/>
          <w:color w:val="auto"/>
        </w:rPr>
      </w:pPr>
      <w:r w:rsidRPr="00F83074">
        <w:rPr>
          <w:rFonts w:ascii="Times New Roman" w:hAnsi="Times New Roman" w:cs="Times New Roman"/>
          <w:bCs/>
          <w:i/>
          <w:noProof/>
          <w:color w:val="auto"/>
          <w:lang w:val="en-GB"/>
        </w:rPr>
        <w:t>Определеният от държавния бюджет за научноизследователска и развойна дейнос</w:t>
      </w:r>
      <w:r w:rsidRPr="00F83074">
        <w:rPr>
          <w:rFonts w:ascii="Times New Roman" w:hAnsi="Times New Roman" w:cs="Times New Roman"/>
          <w:bCs/>
          <w:i/>
          <w:noProof/>
          <w:color w:val="auto"/>
        </w:rPr>
        <w:t>т</w:t>
      </w:r>
      <w:r w:rsidRPr="00F83074">
        <w:rPr>
          <w:rFonts w:ascii="Times New Roman" w:hAnsi="Times New Roman" w:cs="Times New Roman"/>
          <w:bCs/>
          <w:i/>
          <w:noProof/>
          <w:color w:val="auto"/>
          <w:lang w:val="en-GB"/>
        </w:rPr>
        <w:t xml:space="preserve"> GBARD</w:t>
      </w:r>
    </w:p>
    <w:p w14:paraId="1518169F" w14:textId="77777777" w:rsidR="007B1DF8" w:rsidRPr="003A0D61" w:rsidRDefault="007B1DF8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color w:val="44536A"/>
          <w:lang w:val="en-GB"/>
        </w:rPr>
      </w:pPr>
      <w:r w:rsidRPr="003A0D61">
        <w:rPr>
          <w:rFonts w:ascii="Times New Roman" w:hAnsi="Times New Roman" w:cs="Times New Roman"/>
          <w:b/>
          <w:bCs/>
          <w:noProof/>
          <w:color w:val="44536A"/>
          <w:lang w:eastAsia="bg-BG"/>
        </w:rPr>
        <w:drawing>
          <wp:inline distT="0" distB="0" distL="0" distR="0" wp14:anchorId="46EA9AF8" wp14:editId="3147FBA1">
            <wp:extent cx="5280660" cy="1920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9BCA" w14:textId="77777777" w:rsidR="00294CAD" w:rsidRPr="003A0D61" w:rsidRDefault="00294CAD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Източник:Изчисления и оценка на ЕК базирани на  </w:t>
      </w:r>
      <w:r w:rsidRPr="003A0D61">
        <w:rPr>
          <w:rFonts w:ascii="Times New Roman" w:hAnsi="Times New Roman" w:cs="Times New Roman"/>
          <w:i/>
          <w:iCs/>
          <w:noProof/>
          <w:lang w:val="en-GB"/>
        </w:rPr>
        <w:t>PREDICT</w:t>
      </w:r>
    </w:p>
    <w:p w14:paraId="50BE73D1" w14:textId="77777777" w:rsidR="00617E22" w:rsidRDefault="00617E22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en-GB"/>
        </w:rPr>
        <w:br w:type="page"/>
      </w:r>
    </w:p>
    <w:p w14:paraId="4510CAD3" w14:textId="75D03CEE" w:rsidR="007B1DF8" w:rsidRPr="007B1DF8" w:rsidRDefault="00AF33DB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AF33DB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en-GB"/>
        </w:rPr>
        <w:lastRenderedPageBreak/>
        <w:t xml:space="preserve">Методически </w:t>
      </w:r>
      <w:r w:rsidRPr="00AF33DB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бележки</w:t>
      </w:r>
    </w:p>
    <w:p w14:paraId="3041DA91" w14:textId="77777777" w:rsidR="00DC5567" w:rsidRPr="00287245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</w:pPr>
      <w:r w:rsidRPr="00287245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  <w:t>Определение на ИКТ сектора</w:t>
      </w:r>
    </w:p>
    <w:p w14:paraId="696AC550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В този раздел секторът на ИКТ е дефиниран съгласно определението, предоставено от ОИСР и въз основа на номенклатурата на NACE (Статистическа класификация на икономическите дейности в Европейската общност) Rev.2 (2008). ИКТ секторът има 12 индустрии:</w:t>
      </w:r>
    </w:p>
    <w:p w14:paraId="402089B2" w14:textId="77777777" w:rsidR="00DC5567" w:rsidRPr="00287245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</w:pPr>
      <w:r w:rsidRPr="00287245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  <w:t>Производство на ИКТ</w:t>
      </w:r>
    </w:p>
    <w:p w14:paraId="3B4F4044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C261 Производство на електронни компоненти и платки</w:t>
      </w:r>
    </w:p>
    <w:p w14:paraId="6A6138EF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C262 Производство на компютри и периферно оборудване</w:t>
      </w:r>
    </w:p>
    <w:p w14:paraId="2ED20690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C263 Производство на комуникационно оборудване</w:t>
      </w:r>
    </w:p>
    <w:p w14:paraId="4A527EB4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C264 Производство на потребителска електроника</w:t>
      </w:r>
    </w:p>
    <w:p w14:paraId="59D3A8AA" w14:textId="77777777" w:rsidR="00DC5567" w:rsidRPr="007B1DF8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C268 Производство на магнитни и оптични носители</w:t>
      </w:r>
    </w:p>
    <w:p w14:paraId="4BC6A0AD" w14:textId="33CA704D" w:rsidR="00DC5567" w:rsidRPr="00287245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</w:pPr>
      <w:r w:rsidRPr="00287245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  <w:t>ИКТ услуги</w:t>
      </w:r>
    </w:p>
    <w:p w14:paraId="1E0EDB86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G4651 Търговия на едро с компютри, компютърно периферно оборудване и софтуер</w:t>
      </w:r>
    </w:p>
    <w:p w14:paraId="3B0872E1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G4652 Търговия на едро с електронно и телекомуникационно оборудване и части</w:t>
      </w:r>
    </w:p>
    <w:p w14:paraId="4E2BFB5A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J5820 Публикуване на софтуер</w:t>
      </w:r>
    </w:p>
    <w:p w14:paraId="08568ED4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J61 Телекомуникации</w:t>
      </w:r>
    </w:p>
    <w:p w14:paraId="7BB21A67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J62 Компютърно програмиране, консултации и свързани дейности</w:t>
      </w:r>
    </w:p>
    <w:p w14:paraId="7AABD4E1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J631 Обработка на данни, хостинг и свързани дейности; уеб портали</w:t>
      </w:r>
    </w:p>
    <w:p w14:paraId="2D12B87F" w14:textId="77777777" w:rsid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• S951 Ремонт на компютри и комуникационно оборудване</w:t>
      </w:r>
    </w:p>
    <w:p w14:paraId="2B75E300" w14:textId="77777777" w:rsidR="00DC5567" w:rsidRPr="00287245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</w:pPr>
      <w:r w:rsidRPr="00287245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GB"/>
        </w:rPr>
        <w:t>Изчерпателна спрямо оперативна дефиниция</w:t>
      </w:r>
    </w:p>
    <w:p w14:paraId="64922FDE" w14:textId="77777777" w:rsidR="00DC5567" w:rsidRP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Изчерпателната дефиниция на сектора на ИКТ се прилага за държавите-членки </w:t>
      </w:r>
      <w:r w:rsidR="00287245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на ЕС за периода 2008-2018 г. Тя</w:t>
      </w: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съответства на определението, предоставено от ОИСР през 2007 г. Оперативната дефиниция на сектора на ИКТ позволява на ЕС да бъде сравняван със страни извън ЕС за по-дълъг период (2006-2018 г.), тъй като някои о</w:t>
      </w:r>
      <w:r w:rsidR="00287245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т тези страни нямат необходимата</w:t>
      </w: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дезагрегирана информация за оценка на всички ИКТ индустрии, включени в изчерпателната дефиниция.</w:t>
      </w:r>
    </w:p>
    <w:p w14:paraId="574352AE" w14:textId="77777777" w:rsidR="00DC5567" w:rsidRDefault="00DC5567" w:rsidP="00617E2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DC556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Оперативната дефиниция не включва следните индустрии: производство на магнитни и оптични носители (268) и индустрии за търговия с ИКТ (465).</w:t>
      </w:r>
    </w:p>
    <w:p w14:paraId="263BEE96" w14:textId="77777777" w:rsidR="00DC5567" w:rsidRPr="00DC5567" w:rsidRDefault="00DC5567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DC5567">
        <w:rPr>
          <w:rFonts w:ascii="Times New Roman" w:hAnsi="Times New Roman" w:cs="Times New Roman"/>
          <w:b/>
          <w:bCs/>
          <w:noProof/>
          <w:lang w:val="en-GB"/>
        </w:rPr>
        <w:t>Секторен анализ</w:t>
      </w:r>
    </w:p>
    <w:p w14:paraId="058DB138" w14:textId="77777777" w:rsidR="00DC5567" w:rsidRPr="00DC5567" w:rsidRDefault="00DC5567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Cs/>
          <w:noProof/>
          <w:lang w:val="en-GB"/>
        </w:rPr>
      </w:pPr>
      <w:r w:rsidRPr="00DC5567">
        <w:rPr>
          <w:rFonts w:ascii="Times New Roman" w:hAnsi="Times New Roman" w:cs="Times New Roman"/>
          <w:bCs/>
          <w:noProof/>
          <w:lang w:val="en-GB"/>
        </w:rPr>
        <w:t>В предишния раздел е направен анализ по ИКТ подсектори за всеки индикатор. 12-те индустрии са обединени в два подсектора: ИКТ производство и ИКТ услуги, като последните са разделени на ИКТ услуги (с изключение на телекомуникациите) и телекомуникации.</w:t>
      </w:r>
    </w:p>
    <w:p w14:paraId="23570649" w14:textId="77777777" w:rsidR="005551E3" w:rsidRDefault="005551E3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lang w:val="en-GB"/>
        </w:rPr>
      </w:pPr>
    </w:p>
    <w:p w14:paraId="1871F1E1" w14:textId="122C40DB" w:rsidR="00AA70DD" w:rsidRPr="00AA70DD" w:rsidRDefault="00DC5567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bCs/>
          <w:noProof/>
          <w:lang w:val="en-GB"/>
        </w:rPr>
      </w:pPr>
      <w:r w:rsidRPr="00AA70DD">
        <w:rPr>
          <w:rFonts w:ascii="Times New Roman" w:hAnsi="Times New Roman" w:cs="Times New Roman"/>
          <w:b/>
          <w:bCs/>
          <w:noProof/>
          <w:lang w:val="en-GB"/>
        </w:rPr>
        <w:lastRenderedPageBreak/>
        <w:t>Източник</w:t>
      </w:r>
      <w:r w:rsidR="005551E3">
        <w:rPr>
          <w:rFonts w:ascii="Times New Roman" w:hAnsi="Times New Roman" w:cs="Times New Roman"/>
          <w:b/>
          <w:bCs/>
          <w:noProof/>
          <w:lang w:val="en-GB"/>
        </w:rPr>
        <w:t xml:space="preserve">: </w:t>
      </w:r>
      <w:r w:rsidR="00AA70DD" w:rsidRPr="003A0D61">
        <w:rPr>
          <w:rFonts w:ascii="Times New Roman" w:hAnsi="Times New Roman" w:cs="Times New Roman"/>
          <w:noProof/>
          <w:lang w:val="en-GB"/>
        </w:rPr>
        <w:t>Joint Research Centre – Dir. B Growth and Innovation (JRC– Dir. B).</w:t>
      </w:r>
    </w:p>
    <w:p w14:paraId="66590C98" w14:textId="77777777" w:rsidR="00DC5567" w:rsidRPr="00DC5567" w:rsidRDefault="00DC5567" w:rsidP="00617E22">
      <w:pPr>
        <w:pStyle w:val="Default"/>
        <w:spacing w:before="120" w:line="276" w:lineRule="auto"/>
        <w:jc w:val="both"/>
        <w:rPr>
          <w:rFonts w:ascii="Times New Roman" w:hAnsi="Times New Roman" w:cs="Times New Roman"/>
          <w:bCs/>
          <w:noProof/>
          <w:lang w:val="en-GB"/>
        </w:rPr>
      </w:pPr>
      <w:r w:rsidRPr="00DC5567">
        <w:rPr>
          <w:rFonts w:ascii="Times New Roman" w:hAnsi="Times New Roman" w:cs="Times New Roman"/>
          <w:bCs/>
          <w:noProof/>
          <w:lang w:val="en-GB"/>
        </w:rPr>
        <w:t xml:space="preserve">Изчисленията и оценките от проекта PREDICT на JRC </w:t>
      </w:r>
      <w:hyperlink r:id="rId13" w:history="1">
        <w:r w:rsidR="00AA70DD" w:rsidRPr="00D80999">
          <w:rPr>
            <w:rStyle w:val="Hyperlink"/>
            <w:rFonts w:ascii="Times New Roman" w:hAnsi="Times New Roman" w:cs="Times New Roman"/>
            <w:bCs/>
            <w:noProof/>
            <w:lang w:val="en-GB"/>
          </w:rPr>
          <w:t>https://ec.europa.eu/jrc/en/predict</w:t>
        </w:r>
      </w:hyperlink>
      <w:r w:rsidR="00AA70DD">
        <w:rPr>
          <w:rFonts w:ascii="Times New Roman" w:hAnsi="Times New Roman" w:cs="Times New Roman"/>
          <w:bCs/>
          <w:noProof/>
        </w:rPr>
        <w:t xml:space="preserve"> </w:t>
      </w:r>
      <w:r w:rsidRPr="00DC5567">
        <w:rPr>
          <w:rFonts w:ascii="Times New Roman" w:hAnsi="Times New Roman" w:cs="Times New Roman"/>
          <w:bCs/>
          <w:noProof/>
          <w:lang w:val="en-GB"/>
        </w:rPr>
        <w:t xml:space="preserve"> се базират на Евростат, базата данни на ОИСР за структурен анализ (STAN), данни от EU-KLEMS и други национални източници. Всички данни, съдържащи се в тези бази данни, идват от официални източници (например Евростат, ОИСР, национални статистически институти). Несъответствията с оригиналните източници се дължат на актуализации на оригиналните данни или на използването на множество помощни </w:t>
      </w:r>
      <w:bookmarkStart w:id="0" w:name="_GoBack"/>
      <w:r w:rsidRPr="00DC5567">
        <w:rPr>
          <w:rFonts w:ascii="Times New Roman" w:hAnsi="Times New Roman" w:cs="Times New Roman"/>
          <w:bCs/>
          <w:noProof/>
          <w:lang w:val="en-GB"/>
        </w:rPr>
        <w:t xml:space="preserve">източници и променливи. </w:t>
      </w:r>
      <w:bookmarkEnd w:id="0"/>
    </w:p>
    <w:sectPr w:rsidR="00DC5567" w:rsidRPr="00DC5567" w:rsidSect="008E3FC8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B8F5" w14:textId="77777777" w:rsidR="00BF46D9" w:rsidRDefault="00BF46D9" w:rsidP="003A0D61">
      <w:pPr>
        <w:spacing w:after="0" w:line="240" w:lineRule="auto"/>
      </w:pPr>
      <w:r>
        <w:separator/>
      </w:r>
    </w:p>
  </w:endnote>
  <w:endnote w:type="continuationSeparator" w:id="0">
    <w:p w14:paraId="6E0664FF" w14:textId="77777777" w:rsidR="00BF46D9" w:rsidRDefault="00BF46D9" w:rsidP="003A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291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D0681" w14:textId="429FB398" w:rsidR="003A0D61" w:rsidRDefault="003A0D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E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BF7354" w14:textId="77777777" w:rsidR="003A0D61" w:rsidRDefault="003A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3E0F0" w14:textId="77777777" w:rsidR="00BF46D9" w:rsidRDefault="00BF46D9" w:rsidP="003A0D61">
      <w:pPr>
        <w:spacing w:after="0" w:line="240" w:lineRule="auto"/>
      </w:pPr>
      <w:r>
        <w:separator/>
      </w:r>
    </w:p>
  </w:footnote>
  <w:footnote w:type="continuationSeparator" w:id="0">
    <w:p w14:paraId="3000A0DF" w14:textId="77777777" w:rsidR="00BF46D9" w:rsidRDefault="00BF46D9" w:rsidP="003A0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62"/>
    <w:rsid w:val="00077BB9"/>
    <w:rsid w:val="000C2531"/>
    <w:rsid w:val="002520FE"/>
    <w:rsid w:val="00287245"/>
    <w:rsid w:val="00294CAD"/>
    <w:rsid w:val="003231AA"/>
    <w:rsid w:val="003A0D61"/>
    <w:rsid w:val="003F1601"/>
    <w:rsid w:val="005551E3"/>
    <w:rsid w:val="005C0F46"/>
    <w:rsid w:val="005C4D27"/>
    <w:rsid w:val="005C5126"/>
    <w:rsid w:val="00617E22"/>
    <w:rsid w:val="00653EE6"/>
    <w:rsid w:val="00656468"/>
    <w:rsid w:val="006A7CEA"/>
    <w:rsid w:val="007004A4"/>
    <w:rsid w:val="007176EA"/>
    <w:rsid w:val="00740E3D"/>
    <w:rsid w:val="007B1DF8"/>
    <w:rsid w:val="008A1DCA"/>
    <w:rsid w:val="008A3D62"/>
    <w:rsid w:val="008A56AE"/>
    <w:rsid w:val="008D7364"/>
    <w:rsid w:val="008E3FC8"/>
    <w:rsid w:val="008F7355"/>
    <w:rsid w:val="00972AE3"/>
    <w:rsid w:val="00A250DA"/>
    <w:rsid w:val="00AA70DD"/>
    <w:rsid w:val="00AF33DB"/>
    <w:rsid w:val="00BF46D9"/>
    <w:rsid w:val="00C164C5"/>
    <w:rsid w:val="00C67529"/>
    <w:rsid w:val="00D10DA7"/>
    <w:rsid w:val="00DC5567"/>
    <w:rsid w:val="00E923BC"/>
    <w:rsid w:val="00EC5772"/>
    <w:rsid w:val="00F03EEE"/>
    <w:rsid w:val="00F715FA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7B17"/>
  <w15:chartTrackingRefBased/>
  <w15:docId w15:val="{1F6D694C-9723-4BF1-9EFD-BC224F0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3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61"/>
  </w:style>
  <w:style w:type="paragraph" w:styleId="Footer">
    <w:name w:val="footer"/>
    <w:basedOn w:val="Normal"/>
    <w:link w:val="FooterChar"/>
    <w:uiPriority w:val="99"/>
    <w:unhideWhenUsed/>
    <w:rsid w:val="003A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61"/>
  </w:style>
  <w:style w:type="character" w:styleId="Hyperlink">
    <w:name w:val="Hyperlink"/>
    <w:basedOn w:val="DefaultParagraphFont"/>
    <w:uiPriority w:val="99"/>
    <w:unhideWhenUsed/>
    <w:rsid w:val="00AA70DD"/>
    <w:rPr>
      <w:color w:val="0563C1" w:themeColor="hyperlink"/>
      <w:u w:val="single"/>
    </w:rPr>
  </w:style>
  <w:style w:type="character" w:customStyle="1" w:styleId="3">
    <w:name w:val="Основен текст (3)_"/>
    <w:basedOn w:val="DefaultParagraphFont"/>
    <w:link w:val="30"/>
    <w:rsid w:val="000C2531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C2531"/>
    <w:pPr>
      <w:widowControl w:val="0"/>
      <w:shd w:val="clear" w:color="auto" w:fill="FFFFFF"/>
      <w:spacing w:after="250" w:line="240" w:lineRule="auto"/>
      <w:jc w:val="center"/>
    </w:pPr>
    <w:rPr>
      <w:rFonts w:ascii="Arial" w:eastAsia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ec.europa.eu/jrc/en/predic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Dimova</dc:creator>
  <cp:keywords/>
  <dc:description/>
  <cp:lastModifiedBy>Nelly Stoyanova</cp:lastModifiedBy>
  <cp:revision>2</cp:revision>
  <dcterms:created xsi:type="dcterms:W3CDTF">2022-01-05T07:41:00Z</dcterms:created>
  <dcterms:modified xsi:type="dcterms:W3CDTF">2022-01-05T07:41:00Z</dcterms:modified>
</cp:coreProperties>
</file>