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06931" w14:textId="77777777" w:rsidR="00B67F9D" w:rsidRDefault="003F3E73">
      <w:pPr>
        <w:spacing w:after="0"/>
        <w:rPr>
          <w:rFonts w:ascii="Century Gothic" w:eastAsia="Century Gothic" w:hAnsi="Century Gothic" w:cs="Century Gothic"/>
          <w:color w:val="404040"/>
          <w:sz w:val="72"/>
          <w:szCs w:val="72"/>
        </w:rPr>
      </w:pPr>
      <w:r>
        <w:rPr>
          <w:rFonts w:ascii="Candara" w:eastAsia="Candara" w:hAnsi="Candara" w:cs="Candara"/>
          <w:color w:val="404040"/>
          <w:sz w:val="96"/>
          <w:szCs w:val="96"/>
        </w:rPr>
        <w:t xml:space="preserve">БЪЛГАРИЯ  </w:t>
      </w:r>
      <w:r>
        <w:rPr>
          <w:rFonts w:ascii="Century Gothic" w:eastAsia="Century Gothic" w:hAnsi="Century Gothic" w:cs="Century Gothic"/>
          <w:color w:val="404040"/>
          <w:sz w:val="72"/>
          <w:szCs w:val="72"/>
        </w:rPr>
        <w:t>2030</w:t>
      </w:r>
    </w:p>
    <w:tbl>
      <w:tblPr>
        <w:tblStyle w:val="a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43"/>
        <w:gridCol w:w="908"/>
        <w:gridCol w:w="907"/>
        <w:gridCol w:w="1814"/>
        <w:gridCol w:w="1815"/>
      </w:tblGrid>
      <w:tr w:rsidR="00B67F9D" w14:paraId="59B51990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D2805" w14:textId="77777777" w:rsidR="00B67F9D" w:rsidRDefault="003F3E73">
            <w:pPr>
              <w:spacing w:before="120" w:after="120" w:line="240" w:lineRule="auto"/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color w:val="404040"/>
                <w:sz w:val="40"/>
                <w:szCs w:val="40"/>
              </w:rPr>
              <w:t>П7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40"/>
                <w:szCs w:val="40"/>
              </w:rPr>
              <w:t xml:space="preserve"> Транспортна свързаност </w:t>
            </w:r>
          </w:p>
        </w:tc>
      </w:tr>
      <w:tr w:rsidR="00B67F9D" w14:paraId="5D885596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A289AC" w14:textId="77777777" w:rsidR="00B67F9D" w:rsidRDefault="003F3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 xml:space="preserve">7.1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 xml:space="preserve">Железопътен транспорт </w:t>
            </w:r>
          </w:p>
        </w:tc>
      </w:tr>
      <w:tr w:rsidR="00B67F9D" w14:paraId="3AE48501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2484DFB" w14:textId="1D52B356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Целта на този подприоритет е постигането на по-високо качество и по-широк обхват на железопътните услуги при нарастване на дела на превозените пътници и товари. Ще се предприемат действия за подобряване на свързаността на регионите на страната, както и за постигането на положителен ефект върху качеството на въздуха и безопасността на движение. Ще продължат усилията за по-добро интегриране на националната железопътна мрежа в европейската железопътна система, което ще допринесе за ускоряване на икономическото развитие на страната и транс-граничното сътрудничество. </w:t>
            </w:r>
          </w:p>
        </w:tc>
      </w:tr>
      <w:tr w:rsidR="00B67F9D" w14:paraId="0962C0F9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CF43A3" w14:textId="77777777" w:rsidR="00B67F9D" w:rsidRDefault="003F3E73">
            <w:pPr>
              <w:spacing w:before="120" w:after="0" w:line="240" w:lineRule="auto"/>
              <w:ind w:left="738"/>
              <w:rPr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Индикатори за изпълнение</w:t>
            </w:r>
          </w:p>
        </w:tc>
      </w:tr>
      <w:tr w:rsidR="00B67F9D" w14:paraId="3E9B2C42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C91D492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наименование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1949CC8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4FAA40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текуща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443545C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целева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60811AE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средна стойност в ЕС</w:t>
            </w:r>
          </w:p>
        </w:tc>
      </w:tr>
      <w:tr w:rsidR="00B67F9D" w14:paraId="03A669D3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2629A3" w14:textId="77777777" w:rsidR="00B67F9D" w:rsidRDefault="003F3E73">
            <w:pPr>
              <w:spacing w:before="120" w:after="120" w:line="240" w:lineRule="auto"/>
            </w:pPr>
            <w:r>
              <w:t>Завършеност на основната конвенционална TEN-T жп мрежа, %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184561" w14:textId="77777777" w:rsidR="00B67F9D" w:rsidRDefault="003F3E73">
            <w:pPr>
              <w:spacing w:before="120" w:after="120" w:line="240" w:lineRule="auto"/>
            </w:pPr>
            <w:r>
              <w:t>ЕК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2A7B0B" w14:textId="77777777" w:rsidR="00B67F9D" w:rsidRDefault="003F3E73">
            <w:pPr>
              <w:spacing w:before="120" w:after="120" w:line="240" w:lineRule="auto"/>
              <w:jc w:val="center"/>
            </w:pPr>
            <w:r>
              <w:t>11%</w:t>
            </w:r>
          </w:p>
          <w:p w14:paraId="13BF48EA" w14:textId="77777777" w:rsidR="00B67F9D" w:rsidRDefault="003F3E73">
            <w:pPr>
              <w:spacing w:before="120" w:after="120" w:line="240" w:lineRule="auto"/>
              <w:jc w:val="center"/>
            </w:pPr>
            <w:r>
              <w:t>(2016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5CEC69" w14:textId="77777777" w:rsidR="00B67F9D" w:rsidRDefault="003F3E73">
            <w:pPr>
              <w:spacing w:before="120" w:after="120" w:line="240" w:lineRule="auto"/>
              <w:jc w:val="center"/>
            </w:pPr>
            <w:r>
              <w:t>Достигане средното ниво в ЕС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642DA" w14:textId="77777777" w:rsidR="00B67F9D" w:rsidRDefault="003F3E73">
            <w:pPr>
              <w:spacing w:before="120" w:after="120" w:line="240" w:lineRule="auto"/>
              <w:jc w:val="center"/>
            </w:pPr>
            <w:r>
              <w:t>51.5%</w:t>
            </w:r>
          </w:p>
          <w:p w14:paraId="339F5C58" w14:textId="77777777" w:rsidR="00B67F9D" w:rsidRDefault="003F3E73">
            <w:pPr>
              <w:spacing w:before="120" w:after="120" w:line="240" w:lineRule="auto"/>
              <w:jc w:val="center"/>
            </w:pPr>
            <w:r>
              <w:t>(2016 г.)</w:t>
            </w:r>
          </w:p>
        </w:tc>
      </w:tr>
      <w:tr w:rsidR="00110A2C" w14:paraId="73EC547A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A6B6C0" w14:textId="5D649352" w:rsidR="00110A2C" w:rsidRPr="00110A2C" w:rsidRDefault="00110A2C">
            <w:pPr>
              <w:spacing w:before="120" w:after="120" w:line="240" w:lineRule="auto"/>
            </w:pPr>
            <w:r>
              <w:t>Дял на превозени пътници с железопътен транспорт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BDCA68" w14:textId="3C22DCFD" w:rsidR="00110A2C" w:rsidRDefault="00110A2C">
            <w:pPr>
              <w:spacing w:before="120" w:after="120" w:line="240" w:lineRule="auto"/>
            </w:pPr>
            <w:r>
              <w:t>НСИ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6E768" w14:textId="77777777" w:rsidR="00110A2C" w:rsidRDefault="00110A2C">
            <w:pPr>
              <w:spacing w:before="120" w:after="120" w:line="240" w:lineRule="auto"/>
              <w:jc w:val="center"/>
            </w:pPr>
            <w:r>
              <w:t>4.5%</w:t>
            </w:r>
          </w:p>
          <w:p w14:paraId="670AA58F" w14:textId="1A48E3DF" w:rsidR="00110A2C" w:rsidRDefault="00110A2C">
            <w:pPr>
              <w:spacing w:before="120" w:after="120" w:line="240" w:lineRule="auto"/>
              <w:jc w:val="center"/>
            </w:pPr>
            <w:r>
              <w:t>(2019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7E5E7B" w14:textId="2CCB3107" w:rsidR="00110A2C" w:rsidRDefault="00110A2C">
            <w:pPr>
              <w:spacing w:before="120" w:after="120" w:line="240" w:lineRule="auto"/>
              <w:jc w:val="center"/>
            </w:pPr>
            <w:r>
              <w:t>6.5%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FB4E00" w14:textId="5F5EA97D" w:rsidR="00110A2C" w:rsidRDefault="00110A2C">
            <w:pPr>
              <w:spacing w:before="120" w:after="120" w:line="240" w:lineRule="auto"/>
              <w:jc w:val="center"/>
            </w:pPr>
            <w:r>
              <w:t>-</w:t>
            </w:r>
          </w:p>
        </w:tc>
      </w:tr>
      <w:tr w:rsidR="00110A2C" w14:paraId="77AEC5D1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224E25" w14:textId="76844F52" w:rsidR="00110A2C" w:rsidRDefault="00110A2C" w:rsidP="00110A2C">
            <w:pPr>
              <w:spacing w:before="120" w:after="120" w:line="240" w:lineRule="auto"/>
            </w:pPr>
            <w:r>
              <w:t>Дял на превозени товари с железопътен транспорт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1C9F8E" w14:textId="4FF242E9" w:rsidR="00110A2C" w:rsidRDefault="00110A2C">
            <w:pPr>
              <w:spacing w:before="120" w:after="120" w:line="240" w:lineRule="auto"/>
            </w:pPr>
            <w:r>
              <w:t>НСИ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3841B6" w14:textId="77777777" w:rsidR="00110A2C" w:rsidRDefault="0031223B">
            <w:pPr>
              <w:spacing w:before="120" w:after="120" w:line="240" w:lineRule="auto"/>
              <w:jc w:val="center"/>
            </w:pPr>
            <w:r>
              <w:t>15.5%</w:t>
            </w:r>
          </w:p>
          <w:p w14:paraId="7D21FAAD" w14:textId="1BC51E35" w:rsidR="0031223B" w:rsidRDefault="0031223B">
            <w:pPr>
              <w:spacing w:before="120" w:after="120" w:line="240" w:lineRule="auto"/>
              <w:jc w:val="center"/>
            </w:pPr>
            <w:r>
              <w:t>(2019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9AB4DD" w14:textId="31623C91" w:rsidR="00110A2C" w:rsidRDefault="0031223B">
            <w:pPr>
              <w:spacing w:before="120" w:after="120" w:line="240" w:lineRule="auto"/>
              <w:jc w:val="center"/>
            </w:pPr>
            <w:r>
              <w:t>22%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19390F" w14:textId="7E2C6215" w:rsidR="00110A2C" w:rsidRPr="00F30039" w:rsidRDefault="00F30039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67F9D" w14:paraId="6BB6AE17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95B7BD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0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Области на въздействие</w:t>
            </w:r>
          </w:p>
        </w:tc>
      </w:tr>
      <w:tr w:rsidR="00B67F9D" w14:paraId="229BF6E7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19FCA" w14:textId="77777777" w:rsidR="00B67F9D" w:rsidRDefault="003F3E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7.1.а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Управление на железопътния сектор</w:t>
            </w:r>
          </w:p>
        </w:tc>
      </w:tr>
      <w:tr w:rsidR="00B67F9D" w14:paraId="7B36A6AC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5BD2AF" w14:textId="09679B7C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Железопътният транспорт ще остане приоритетна област в транспортната политика, като секторът ще се развива и управлява по начин, който да му позволи да се конкурира ефективно на транспортния пазар, като осигурява качествени пътнически и товарни превози, да инвестира разумно и поддържа необходимите активи в добро състояние.  </w:t>
            </w:r>
          </w:p>
          <w:p w14:paraId="61AE6A73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Ще продължи ефективното управление на публичното финансиране за железопътния транспорт, чрез сключване на многогодишен договор за развитие на железопътната инфраструктура и договор за извършване на обществени пътнически железопътни услуги.</w:t>
            </w:r>
          </w:p>
        </w:tc>
      </w:tr>
      <w:tr w:rsidR="00B67F9D" w14:paraId="2BCC6207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A52013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69A63D4A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D97A63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 3. Осигуряване на здравословен живот и насърчаване благосъстоянието на всички във всяка възраст</w:t>
            </w:r>
          </w:p>
          <w:p w14:paraId="64390B9E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7B7F9C90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17CE2576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A3F30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6DF37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1F18D866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1623A" w14:textId="7F1FE1FD" w:rsidR="00B67F9D" w:rsidRDefault="00B67F9D" w:rsidP="00FF4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9BA32" w14:textId="5A7CC1B3" w:rsidR="00B67F9D" w:rsidRDefault="00B67F9D" w:rsidP="00B80F01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B67F9D" w14:paraId="0642D05B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32786E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7.1.б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Железопътна инфраструктура</w:t>
            </w:r>
          </w:p>
        </w:tc>
      </w:tr>
      <w:tr w:rsidR="00B67F9D" w14:paraId="4CCC0CCD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3FF5F8" w14:textId="661FB209" w:rsidR="00B67F9D" w:rsidRDefault="003F3E73" w:rsidP="00243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Ще продължат усилията за изграждане на </w:t>
            </w:r>
            <w:r w:rsidR="00243C85">
              <w:rPr>
                <w:color w:val="000000"/>
              </w:rPr>
              <w:t xml:space="preserve">основната </w:t>
            </w:r>
            <w:r>
              <w:rPr>
                <w:color w:val="000000"/>
              </w:rPr>
              <w:t>Трансевропейска железопътна мрежа на територията на страната</w:t>
            </w:r>
            <w:r w:rsidR="00243C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 2030 г. Действията ще бъдат насочени към доизграждане на железопътния коридор от българо-сръбската граница до Бургас/Свиленград (турска граница) и строителство по направленията Карнобат – Синдел и София – граница с Република Северна Македония. Ще бъдат положени усилия и за изпълнението и на  </w:t>
            </w:r>
            <w:r w:rsidR="00243C85">
              <w:rPr>
                <w:color w:val="000000"/>
              </w:rPr>
              <w:t xml:space="preserve">останалите </w:t>
            </w:r>
            <w:r>
              <w:rPr>
                <w:color w:val="000000"/>
              </w:rPr>
              <w:t xml:space="preserve">отсечки от Трансевропейската железопътна мрежа на страната. Внедряването на Европейската система за управление на железопътния трафик (ERTMS) ще продължи, което ще допринесе за допълнително повишаване безопасността на движение и повишаване на ефективността на сектора. </w:t>
            </w:r>
            <w:r w:rsidR="00243C85">
              <w:rPr>
                <w:color w:val="000000"/>
              </w:rPr>
              <w:t>Ще продължат усилията за подобряване на качеството на железопътните линии в страната.</w:t>
            </w:r>
          </w:p>
        </w:tc>
      </w:tr>
      <w:tr w:rsidR="00B67F9D" w14:paraId="55DB4E0B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13E8EB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242042F0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4DF18F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rPr>
                <w:color w:val="000000"/>
              </w:rPr>
            </w:pPr>
            <w:r>
              <w:rPr>
                <w:color w:val="000000"/>
              </w:rPr>
              <w:t>Цел 3. Осигуряване на здравословен живот и насърчаване благосъстоянието на всички във всяка възраст</w:t>
            </w:r>
          </w:p>
          <w:p w14:paraId="1E38D491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053F7B72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6F6F83CD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4E3E1966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4C795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9632A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413708CA" w14:textId="77777777" w:rsidTr="00FA45D0">
        <w:trPr>
          <w:trHeight w:val="384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14169" w14:textId="0283D722" w:rsidR="00B67F9D" w:rsidRDefault="00B67F9D" w:rsidP="00F8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rFonts w:ascii="Century Gothic" w:eastAsia="Century Gothic" w:hAnsi="Century Gothic" w:cs="Century Gothic"/>
                <w:color w:val="40404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72D71" w14:textId="6D481CC0" w:rsidR="00B67F9D" w:rsidRDefault="00B67F9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B67F9D" w14:paraId="2D1AEB85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5904D2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7.1.в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Подвижен състав</w:t>
            </w:r>
          </w:p>
        </w:tc>
      </w:tr>
      <w:tr w:rsidR="00B67F9D" w14:paraId="6F05A0F7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A1146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 подобряване качеството на обществената железопътна пътническа услуга, ще се предприемат мерки за обновяването на подвижния състав на „БДЖ – Пътнически превози“ ЕООД. </w:t>
            </w:r>
          </w:p>
        </w:tc>
      </w:tr>
      <w:tr w:rsidR="00B67F9D" w14:paraId="17A983FE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FD0B5B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6E26DB52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396A42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 3. Осигуряване на здравословен живот и насърчаване благосъстоянието на всички във всяка възраст</w:t>
            </w:r>
          </w:p>
          <w:p w14:paraId="7EAE4EA6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000C2CFF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0DC12D2D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8CAD4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A202D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3996C6BB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ECE1F" w14:textId="1FC77E4B" w:rsidR="00B67F9D" w:rsidRDefault="00B6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rFonts w:ascii="Century Gothic" w:eastAsia="Century Gothic" w:hAnsi="Century Gothic" w:cs="Century Gothic"/>
                <w:color w:val="40404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64CA2" w14:textId="4B76988F" w:rsidR="00B67F9D" w:rsidRDefault="00B6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B67F9D" w14:paraId="4C67CE32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52D2A4" w14:textId="2C709B1B" w:rsidR="00B67F9D" w:rsidRDefault="003F3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 xml:space="preserve">7.2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Автомобилен транспорт</w:t>
            </w:r>
          </w:p>
        </w:tc>
      </w:tr>
      <w:tr w:rsidR="00B67F9D" w14:paraId="49204DA6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55E2E3A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Усилията за подобряване на качеството на пътната инфраструктура в страната, както и за осигуряване на по-ефективни транспортни услуги, ще бъдат продължени. Стремежът ни ще бъде насочен към ефективното интегриране на националната в европейската транспортна мрежа. Приоритет ще бъде навременното изграждане на Трансевропейската пътна мрежа, включително чрез доизграждането на магистрални пътища по най-важните направления на страната. </w:t>
            </w:r>
          </w:p>
        </w:tc>
      </w:tr>
      <w:tr w:rsidR="00B67F9D" w14:paraId="45ACDA3A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4FA654" w14:textId="77777777" w:rsidR="00B67F9D" w:rsidRDefault="003F3E73">
            <w:pPr>
              <w:spacing w:before="120" w:after="0" w:line="240" w:lineRule="auto"/>
              <w:ind w:left="738"/>
              <w:rPr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Индикатори за изпълнение</w:t>
            </w:r>
          </w:p>
        </w:tc>
      </w:tr>
      <w:tr w:rsidR="00B67F9D" w14:paraId="60300B7F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33CCAB3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наименование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E38F086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97000B3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текуща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8D79976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целева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22713D0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средна стойност в ЕС</w:t>
            </w:r>
          </w:p>
        </w:tc>
      </w:tr>
      <w:tr w:rsidR="00571CBB" w14:paraId="7DDF0D3C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FB8A19" w14:textId="1F0E86D6" w:rsidR="00571CBB" w:rsidDel="00F85C5D" w:rsidRDefault="00571CBB">
            <w:pPr>
              <w:spacing w:before="120" w:after="120" w:line="240" w:lineRule="auto"/>
            </w:pPr>
            <w:r>
              <w:t>Качество на пътищата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EDA9D7" w14:textId="10E7856F" w:rsidR="00571CBB" w:rsidDel="00F85C5D" w:rsidRDefault="00571CBB">
            <w:pPr>
              <w:spacing w:before="120" w:after="120" w:line="240" w:lineRule="auto"/>
            </w:pPr>
            <w:r>
              <w:t>ЕК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DFD819" w14:textId="77777777" w:rsidR="00571CBB" w:rsidRDefault="00571CBB">
            <w:pPr>
              <w:spacing w:before="120" w:after="120" w:line="240" w:lineRule="auto"/>
              <w:jc w:val="center"/>
            </w:pPr>
            <w:r>
              <w:t>3.52</w:t>
            </w:r>
          </w:p>
          <w:p w14:paraId="4D995EE4" w14:textId="4D769B2F" w:rsidR="00571CBB" w:rsidDel="00F85C5D" w:rsidRDefault="00571CBB">
            <w:pPr>
              <w:spacing w:before="120" w:after="120" w:line="240" w:lineRule="auto"/>
              <w:jc w:val="center"/>
            </w:pPr>
            <w:r>
              <w:t>(2018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DA3D1A" w14:textId="43DDD416" w:rsidR="00571CBB" w:rsidDel="00F85C5D" w:rsidRDefault="00571CBB">
            <w:pPr>
              <w:spacing w:before="120" w:after="120" w:line="240" w:lineRule="auto"/>
              <w:jc w:val="center"/>
            </w:pPr>
            <w:r>
              <w:t>Достигане средното ниво в ЕС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66D3FB" w14:textId="60972F8F" w:rsidR="00571CBB" w:rsidDel="00F85C5D" w:rsidRDefault="00571CBB">
            <w:pPr>
              <w:spacing w:before="120" w:after="120" w:line="240" w:lineRule="auto"/>
              <w:jc w:val="center"/>
            </w:pPr>
            <w:r>
              <w:t>4.78</w:t>
            </w:r>
          </w:p>
        </w:tc>
      </w:tr>
      <w:tr w:rsidR="00A60A57" w14:paraId="33D58F70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A460C8" w14:textId="7B1F722A" w:rsidR="00A60A57" w:rsidRDefault="00A60A57">
            <w:pPr>
              <w:spacing w:before="120" w:after="120" w:line="240" w:lineRule="auto"/>
            </w:pPr>
            <w:r>
              <w:t>Дял на автомагистралите от общата пътна мрежа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21C8D2" w14:textId="0D889778" w:rsidR="00A60A57" w:rsidRDefault="00A60A57">
            <w:pPr>
              <w:spacing w:before="120" w:after="120" w:line="240" w:lineRule="auto"/>
            </w:pPr>
            <w:r>
              <w:t>НСИ, АПИ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B02A0E" w14:textId="77777777" w:rsidR="00A60A57" w:rsidRDefault="00A60A57">
            <w:pPr>
              <w:spacing w:before="120" w:after="120" w:line="240" w:lineRule="auto"/>
              <w:jc w:val="center"/>
            </w:pPr>
            <w:r>
              <w:t>4%</w:t>
            </w:r>
          </w:p>
          <w:p w14:paraId="20221D59" w14:textId="3A530454" w:rsidR="00A60A57" w:rsidRDefault="00A60A57">
            <w:pPr>
              <w:spacing w:before="120" w:after="120" w:line="240" w:lineRule="auto"/>
              <w:jc w:val="center"/>
            </w:pPr>
            <w:r>
              <w:t>(2019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CC98F3" w14:textId="5F2D6567" w:rsidR="00A60A57" w:rsidRDefault="00ED378C">
            <w:pPr>
              <w:spacing w:before="120" w:after="120" w:line="240" w:lineRule="auto"/>
              <w:jc w:val="center"/>
            </w:pPr>
            <w:r>
              <w:t>7%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149644" w14:textId="3727130F" w:rsidR="00A60A57" w:rsidRDefault="00ED378C">
            <w:pPr>
              <w:spacing w:before="120" w:after="120" w:line="240" w:lineRule="auto"/>
              <w:jc w:val="center"/>
            </w:pPr>
            <w:r>
              <w:t>-</w:t>
            </w:r>
          </w:p>
        </w:tc>
      </w:tr>
      <w:tr w:rsidR="00B67F9D" w14:paraId="24477933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58B5E8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0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Области на въздействие</w:t>
            </w:r>
          </w:p>
        </w:tc>
      </w:tr>
      <w:tr w:rsidR="00B67F9D" w14:paraId="7DF11129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014CED" w14:textId="77777777" w:rsidR="00B67F9D" w:rsidRDefault="003F3E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7.2.а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Пътна инфраструктура </w:t>
            </w:r>
          </w:p>
        </w:tc>
      </w:tr>
      <w:tr w:rsidR="00B67F9D" w14:paraId="53E3346A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2C55C5" w14:textId="7CDFFAE3" w:rsidR="004A12C0" w:rsidRDefault="004A12C0" w:rsidP="00EA714F">
            <w:pPr>
              <w:spacing w:before="120"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Ще продължи работата по изграждането на Трансевропейската транспортна инфраструктура, с фокус върху доизграждането на автомагистралните връзки в Северна България, с оглед повишаването на пътната безопасност в тази част на страната и осигуряването на условия за преминаване на трафика по направлението София – Варна и в посока север – юг по направленията Дунав мост 1 – Русе – Велико Търново – тунел под Шипка – Южна България и Дунав мост 2 – Видин – София – Южна България. Ще се развиват </w:t>
            </w:r>
            <w:r w:rsidRPr="00EA714F">
              <w:rPr>
                <w:color w:val="000000"/>
              </w:rPr>
              <w:t>първокласните и второкласни пътища, тъй като са важни за икономическото развитие на прилежащите им региони и за осигуряването на свързаност с основната мрежа и нейните транспортни възли.</w:t>
            </w:r>
            <w:r>
              <w:rPr>
                <w:color w:val="000000"/>
              </w:rPr>
              <w:t xml:space="preserve"> Ще се търси и възможност за изграждането на трети мост над р. Дунав. Ще продължат усилията за подобряване на качеството на пътищата в цялата републиканска пътна мрежа.</w:t>
            </w:r>
          </w:p>
        </w:tc>
      </w:tr>
      <w:tr w:rsidR="00B67F9D" w14:paraId="2364B807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EBC25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Съотносими Цели за устойчиво развитие на ООН</w:t>
            </w:r>
          </w:p>
        </w:tc>
      </w:tr>
      <w:tr w:rsidR="00B67F9D" w14:paraId="4EA87A3D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49D30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rPr>
                <w:color w:val="000000"/>
              </w:rPr>
            </w:pPr>
            <w:r>
              <w:rPr>
                <w:color w:val="000000"/>
              </w:rPr>
              <w:t>Цел 3. Осигуряване на здравословен живот и насърчаване благосъстоянието на всички във всяка възраст</w:t>
            </w:r>
          </w:p>
          <w:p w14:paraId="683F2090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58D12441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6A68B9B0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10A3CC83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6662E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ABB64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65116162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9879E" w14:textId="3EC2289C" w:rsidR="00B67F9D" w:rsidRDefault="00B67F9D">
            <w:pPr>
              <w:ind w:firstLine="1418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4A3EB" w14:textId="44CB1A71" w:rsidR="00B67F9D" w:rsidRDefault="00B67F9D"/>
        </w:tc>
      </w:tr>
      <w:tr w:rsidR="00B67F9D" w14:paraId="1D6DF868" w14:textId="77777777">
        <w:trPr>
          <w:trHeight w:val="391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D1E5E9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7.2.б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Безопасност на движение</w:t>
            </w:r>
          </w:p>
        </w:tc>
      </w:tr>
      <w:tr w:rsidR="00B67F9D" w14:paraId="7FA4F8F7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F82AD" w14:textId="19784672" w:rsidR="00B67F9D" w:rsidRDefault="003F3E73" w:rsidP="00843E66">
            <w:pPr>
              <w:spacing w:before="120" w:after="120" w:line="240" w:lineRule="auto"/>
              <w:ind w:left="1418"/>
              <w:jc w:val="both"/>
            </w:pPr>
            <w:r>
              <w:t>В областта на пътната безопасност усилията ще бъдат насочени към</w:t>
            </w:r>
            <w:r w:rsidR="002C0A27">
              <w:t xml:space="preserve"> постигане на </w:t>
            </w:r>
            <w:r>
              <w:t>безопасна универсална мобилност</w:t>
            </w:r>
            <w:r w:rsidR="002C0A27">
              <w:t>, която</w:t>
            </w:r>
            <w:r>
              <w:t xml:space="preserve"> интегрира жизненоважни знания и умения за опазване живота и здравето на човека при взаимодействие с пътната система, не създава предпоставки за рискови ситуации, породени от трафика, минимизира човешките грешки на пътя и смекчава последиците от тях</w:t>
            </w:r>
            <w:r w:rsidR="00843E66">
              <w:t>.</w:t>
            </w:r>
            <w:r>
              <w:t xml:space="preserve"> </w:t>
            </w:r>
            <w:r w:rsidR="00843E66">
              <w:t>П</w:t>
            </w:r>
            <w:r>
              <w:t>ълноценно</w:t>
            </w:r>
            <w:r w:rsidR="00843E66">
              <w:t>то</w:t>
            </w:r>
            <w:r>
              <w:t xml:space="preserve"> интегриране на пътната безопасност в управлението на пътната инфраструктура </w:t>
            </w:r>
            <w:r w:rsidR="00843E66">
              <w:t xml:space="preserve">ще допринесе </w:t>
            </w:r>
            <w:r>
              <w:t>за ограничаване на отрицателните ефекти на транспортния сектор</w:t>
            </w:r>
            <w:r w:rsidR="00843E66">
              <w:t>,</w:t>
            </w:r>
            <w:r>
              <w:t xml:space="preserve"> ефективно развитие на толерантна към човешките грешки републиканска пътна инфраструктура, осигуряваща универсална мобилност при подхода „безопасна система“, в т.ч. прилагане на мерки по обезопасяване на участъците с концентрация на пътнотранспортни произшествия и по обезопасяване на крайпътното пространство, актуализация на действащата организация на движение с приоритет към автомагистралите.</w:t>
            </w:r>
          </w:p>
        </w:tc>
      </w:tr>
      <w:tr w:rsidR="00B67F9D" w14:paraId="74DF6C65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F01EED" w14:textId="77777777" w:rsidR="00B67F9D" w:rsidRDefault="003F3E73">
            <w:pPr>
              <w:spacing w:before="120" w:after="120" w:line="240" w:lineRule="auto"/>
              <w:ind w:left="1418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64BA22FB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4E5A19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 3. Осигуряване на здравословен живот и насърчаване благосъстоянието на всички във всяка възраст. </w:t>
            </w:r>
          </w:p>
          <w:p w14:paraId="6AE35136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Подцел 3.6 Намаляване наполовина до 2020 г. на общия брой в световен мащаб на смъртните случаи и нараняванията при пътнотранспортни произшествия.</w:t>
            </w:r>
          </w:p>
          <w:p w14:paraId="2DAF868B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41C95B23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3591D501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CEC25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C3609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22F87BB1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56A1F" w14:textId="64B2C969" w:rsidR="00B67F9D" w:rsidRDefault="00B67F9D">
            <w:pPr>
              <w:ind w:firstLine="1418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4EA2D" w14:textId="07445D0F" w:rsidR="00B67F9D" w:rsidRDefault="00B67F9D"/>
        </w:tc>
      </w:tr>
      <w:tr w:rsidR="00B67F9D" w14:paraId="7CB8CA10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AE09C0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lastRenderedPageBreak/>
              <w:t>7.2.в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Интелигентни транспортни системи</w:t>
            </w:r>
            <w:r>
              <w:rPr>
                <w:color w:val="000000"/>
              </w:rPr>
              <w:t xml:space="preserve"> </w:t>
            </w:r>
          </w:p>
        </w:tc>
      </w:tr>
      <w:tr w:rsidR="00B67F9D" w14:paraId="460E1523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CB44F" w14:textId="3F361E1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/>
              <w:jc w:val="both"/>
              <w:rPr>
                <w:color w:val="000000"/>
              </w:rPr>
            </w:pPr>
            <w:r>
              <w:rPr>
                <w:color w:val="000000"/>
              </w:rPr>
              <w:t>Усилията ще бъдат фокусирани върху подобряването и развитието на услугата/ите за потребителите – внедряване на съвременни системи за управление на трафика, покритие с wi-fi свързаност, мрежа за алтернативни горива. В голяма степен интелигентни транспортни системи ще бъдат внедрени за обслужване на трафика по основните транзитни пътни направления. Ще се работи активно и за въвеждането на електронна комуникация при превоза на товари, т.нар. електронна товарителница. Усилия ще бъдат насочени и към изграждане на интелигентни транспортни системи и по участъци от републиканските пътища, които са извън Трансевропейската пътна мрежа, с цел повишаване на безопасността на движение и навременното сигнализиране на водачите на МПС за пътните условия.</w:t>
            </w:r>
          </w:p>
        </w:tc>
      </w:tr>
      <w:tr w:rsidR="00B67F9D" w14:paraId="3335DE5A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DC2C6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703B2B1B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9FF3EB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775D5450" w14:textId="77777777" w:rsidR="00B67F9D" w:rsidRDefault="003F3E73">
            <w:pPr>
              <w:spacing w:before="120" w:after="120" w:line="240" w:lineRule="auto"/>
              <w:ind w:left="1418"/>
              <w:jc w:val="both"/>
            </w:pPr>
            <w: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52786803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681B1002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199DB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82187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077F4FF3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20001" w14:textId="39EE6286" w:rsidR="00B67F9D" w:rsidRDefault="00B6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71A0E" w14:textId="59695BAA" w:rsidR="00B67F9D" w:rsidRDefault="00B67F9D">
            <w:pPr>
              <w:spacing w:before="120" w:after="120" w:line="240" w:lineRule="auto"/>
            </w:pPr>
          </w:p>
        </w:tc>
      </w:tr>
      <w:tr w:rsidR="00B67F9D" w14:paraId="172CF293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2ACDFB" w14:textId="77777777" w:rsidR="00B67F9D" w:rsidRDefault="003F3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 xml:space="preserve">7.3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Воден и въздушен транспорт</w:t>
            </w:r>
          </w:p>
        </w:tc>
      </w:tr>
      <w:tr w:rsidR="00B67F9D" w14:paraId="0D257FDF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262A375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7"/>
              <w:jc w:val="both"/>
              <w:rPr>
                <w:color w:val="000000"/>
              </w:rPr>
            </w:pPr>
            <w:r>
              <w:rPr>
                <w:color w:val="000000"/>
              </w:rPr>
              <w:t>Усилията са насочени към подобряване на пристанищната и летищната инфраструктура, с оглед постигането на високо качество на предоставяните услуги. Предвижда се засилване на дигитализацията, посредством надграждане на съществуващите и внедряване на нови информационни системи. За вътрешно-водния транспорт е от съществено значение поддържането и подобряването на характеристиките на водния път в общия българо-румънски участък от река Дунав. Ще нарасне ефективността на извършената работа във водния транспорт и ще бъде намален екологичният отпечатък от корабоплаването.</w:t>
            </w:r>
          </w:p>
        </w:tc>
      </w:tr>
      <w:tr w:rsidR="00B67F9D" w14:paraId="15B34825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A7429C" w14:textId="77777777" w:rsidR="00B67F9D" w:rsidRDefault="003F3E73">
            <w:pPr>
              <w:spacing w:before="120" w:after="0" w:line="240" w:lineRule="auto"/>
              <w:ind w:left="738"/>
              <w:rPr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Индикатори за изпълнение</w:t>
            </w:r>
          </w:p>
        </w:tc>
      </w:tr>
      <w:tr w:rsidR="00B67F9D" w14:paraId="50B54427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E37575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наименование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61DBDF4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E0D192C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текуща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78B9D87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целева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227174A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средна стойност в ЕС</w:t>
            </w:r>
          </w:p>
        </w:tc>
      </w:tr>
      <w:tr w:rsidR="00B67F9D" w14:paraId="459DD231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476F1" w14:textId="77777777" w:rsidR="00B67F9D" w:rsidRDefault="003F3E73">
            <w:pPr>
              <w:spacing w:before="120" w:after="120" w:line="240" w:lineRule="auto"/>
            </w:pPr>
            <w:r>
              <w:t>Индекс за качеството на пристанищната инфраструктура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53CF2C" w14:textId="77777777" w:rsidR="00B67F9D" w:rsidRDefault="003F3E73">
            <w:pPr>
              <w:spacing w:before="120" w:after="120" w:line="240" w:lineRule="auto"/>
            </w:pPr>
            <w:r>
              <w:t>ЕК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3F99BC" w14:textId="77777777" w:rsidR="00B67F9D" w:rsidRDefault="003F3E73">
            <w:pPr>
              <w:spacing w:before="120" w:after="120" w:line="240" w:lineRule="auto"/>
              <w:jc w:val="center"/>
            </w:pPr>
            <w:r>
              <w:t xml:space="preserve">4.23 </w:t>
            </w:r>
          </w:p>
          <w:p w14:paraId="03F99778" w14:textId="77777777" w:rsidR="00B67F9D" w:rsidRDefault="003F3E73">
            <w:pPr>
              <w:spacing w:before="120" w:after="120" w:line="240" w:lineRule="auto"/>
              <w:jc w:val="center"/>
            </w:pPr>
            <w:r>
              <w:t>(2018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3485BA" w14:textId="77777777" w:rsidR="00B67F9D" w:rsidRDefault="003F3E73">
            <w:pPr>
              <w:spacing w:before="120" w:after="120" w:line="240" w:lineRule="auto"/>
              <w:jc w:val="center"/>
            </w:pPr>
            <w:r>
              <w:t>Достигане средното ниво в ЕС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FAEDB7" w14:textId="77777777" w:rsidR="00B67F9D" w:rsidRDefault="003F3E73">
            <w:pPr>
              <w:spacing w:before="120" w:after="120" w:line="240" w:lineRule="auto"/>
              <w:jc w:val="center"/>
            </w:pPr>
            <w:r>
              <w:t>5.00</w:t>
            </w:r>
          </w:p>
          <w:p w14:paraId="4B7E4159" w14:textId="77777777" w:rsidR="00B67F9D" w:rsidRDefault="003F3E73">
            <w:pPr>
              <w:spacing w:before="120" w:after="120" w:line="240" w:lineRule="auto"/>
              <w:jc w:val="center"/>
            </w:pPr>
            <w:r>
              <w:t>(2018 г.)</w:t>
            </w:r>
          </w:p>
        </w:tc>
      </w:tr>
      <w:tr w:rsidR="0047755B" w14:paraId="7823B535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2D9B71" w14:textId="04C38116" w:rsidR="0047755B" w:rsidRDefault="00A51364" w:rsidP="00C90F6B">
            <w:pPr>
              <w:spacing w:before="120" w:after="120" w:line="240" w:lineRule="auto"/>
            </w:pPr>
            <w:r w:rsidRPr="00EA714F">
              <w:t xml:space="preserve">Индекс за </w:t>
            </w:r>
            <w:r w:rsidR="00C90F6B">
              <w:t>ефективността на услугите във</w:t>
            </w:r>
            <w:r w:rsidRPr="00EA714F">
              <w:t xml:space="preserve"> </w:t>
            </w:r>
            <w:r w:rsidR="00C90F6B" w:rsidRPr="00C90F6B">
              <w:lastRenderedPageBreak/>
              <w:t>въздуш</w:t>
            </w:r>
            <w:r w:rsidRPr="00EA714F">
              <w:t>н</w:t>
            </w:r>
            <w:r w:rsidR="00C90F6B">
              <w:t>ия</w:t>
            </w:r>
            <w:r w:rsidRPr="00EA714F">
              <w:t xml:space="preserve"> транспорт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125FA" w14:textId="5636DE9D" w:rsidR="0047755B" w:rsidRPr="00A51364" w:rsidRDefault="00A51364">
            <w:pPr>
              <w:spacing w:before="120" w:after="120" w:line="240" w:lineRule="auto"/>
            </w:pPr>
            <w:r>
              <w:lastRenderedPageBreak/>
              <w:t>ЕК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990253" w14:textId="77777777" w:rsidR="0047755B" w:rsidRDefault="00A51364">
            <w:pPr>
              <w:spacing w:before="120" w:after="120" w:line="240" w:lineRule="auto"/>
              <w:jc w:val="center"/>
            </w:pPr>
            <w:r>
              <w:t>4.43</w:t>
            </w:r>
          </w:p>
          <w:p w14:paraId="390ABF30" w14:textId="2E7AB813" w:rsidR="00A51364" w:rsidRDefault="00A51364">
            <w:pPr>
              <w:spacing w:before="120" w:after="120" w:line="240" w:lineRule="auto"/>
              <w:jc w:val="center"/>
            </w:pPr>
            <w:r>
              <w:t>(2018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556655" w14:textId="055A91F3" w:rsidR="0047755B" w:rsidRDefault="00A51364">
            <w:pPr>
              <w:spacing w:before="120" w:after="120" w:line="240" w:lineRule="auto"/>
              <w:jc w:val="center"/>
            </w:pPr>
            <w:r>
              <w:t>Достигане средното ниво в ЕС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93B4E3" w14:textId="6CA1A8E5" w:rsidR="00A51364" w:rsidRDefault="00A51364" w:rsidP="00A51364">
            <w:pPr>
              <w:spacing w:before="120" w:after="120" w:line="240" w:lineRule="auto"/>
              <w:jc w:val="center"/>
            </w:pPr>
            <w:r>
              <w:t>5.19</w:t>
            </w:r>
          </w:p>
          <w:p w14:paraId="2343B92D" w14:textId="3C8F108D" w:rsidR="0047755B" w:rsidRDefault="00A51364" w:rsidP="00A51364">
            <w:pPr>
              <w:spacing w:before="120" w:after="120" w:line="240" w:lineRule="auto"/>
              <w:jc w:val="center"/>
            </w:pPr>
            <w:r>
              <w:t>(2018 г.)</w:t>
            </w:r>
          </w:p>
        </w:tc>
      </w:tr>
      <w:tr w:rsidR="00B67F9D" w14:paraId="2A6A0985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249B64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0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Области на въздействие</w:t>
            </w:r>
          </w:p>
        </w:tc>
      </w:tr>
      <w:tr w:rsidR="00B67F9D" w14:paraId="1F32D8FC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C0404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7.3.а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Пристанищна инфраструктура и вътрешни водни пътища</w:t>
            </w:r>
          </w:p>
        </w:tc>
      </w:tr>
      <w:tr w:rsidR="00B67F9D" w14:paraId="67BF817C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BAF29E" w14:textId="3900E2B7" w:rsidR="00B67F9D" w:rsidRDefault="003F3E73">
            <w:pPr>
              <w:spacing w:line="240" w:lineRule="auto"/>
              <w:ind w:left="1453"/>
              <w:jc w:val="both"/>
            </w:pPr>
            <w:r>
              <w:t>Ще продължи развитието на пристанищната инфраструктура чрез публично-частно партньорство. Ще се изграждат пристанищни съоръжения (кейови стени, кейови съоръжения, съоръжения против заливане, вълноломи, ледобрани) за безопасен, ефективен и сигурен вътрешно-воден и морски транспорт, както и ще се подобряват техническите характеристики на инфраструктурата за достъп с оглед устойчивото развитие на пристанищата. Ще се изпълняват и мерки за намаляване на вредното въздействие върху околната среда от пристанищните дейности и корабите, които ще доведат до подобряване на екологичните параметри на пристанищните акватории и въздуха.</w:t>
            </w:r>
          </w:p>
          <w:p w14:paraId="2AFA84A5" w14:textId="7679A030" w:rsidR="00B67F9D" w:rsidRDefault="003F3E73">
            <w:pPr>
              <w:spacing w:line="240" w:lineRule="auto"/>
              <w:ind w:left="1453"/>
              <w:jc w:val="both"/>
            </w:pPr>
            <w:r>
              <w:t>За решаването на проблемите в свободно течащият участък на р. Дунав, се планира изпълнението на инженерни решения в рамките на общия (с Румъния) участък на реката. За текуща поддръжка на водния път ще бъде доставено оборудване за извършване на драгажни дейности.</w:t>
            </w:r>
          </w:p>
        </w:tc>
      </w:tr>
      <w:tr w:rsidR="00B67F9D" w14:paraId="39921217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76031" w14:textId="77777777" w:rsidR="00B67F9D" w:rsidRDefault="003F3E73">
            <w:pPr>
              <w:spacing w:before="120" w:after="120" w:line="240" w:lineRule="auto"/>
              <w:ind w:left="1418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73F2BDCD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CCD17A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538CF5FC" w14:textId="77777777" w:rsidR="00B67F9D" w:rsidRDefault="003F3E73">
            <w:pPr>
              <w:spacing w:before="120" w:after="120" w:line="240" w:lineRule="auto"/>
              <w:ind w:left="1418"/>
              <w:jc w:val="both"/>
            </w:pPr>
            <w: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61C59505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7EBB4965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84B46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C8230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40E22916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B9F59" w14:textId="344A7C8D" w:rsidR="00B67F9D" w:rsidRDefault="00B6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D1CAE" w14:textId="1408E51E" w:rsidR="00B67F9D" w:rsidRDefault="00B67F9D">
            <w:pPr>
              <w:spacing w:before="120" w:after="120" w:line="240" w:lineRule="auto"/>
            </w:pPr>
          </w:p>
        </w:tc>
      </w:tr>
      <w:tr w:rsidR="00B67F9D" w14:paraId="546855AF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4EFDB8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7.3.б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Летищна инфраструктура </w:t>
            </w:r>
          </w:p>
        </w:tc>
      </w:tr>
      <w:tr w:rsidR="00B67F9D" w14:paraId="7B930646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ABEC3F" w14:textId="77777777" w:rsidR="00B67F9D" w:rsidRDefault="003F3E73">
            <w:pPr>
              <w:spacing w:before="120" w:after="120" w:line="240" w:lineRule="auto"/>
              <w:ind w:left="1418"/>
              <w:jc w:val="both"/>
            </w:pPr>
            <w:r>
              <w:t>Ще бъде финализиран процесът на концесиониране на гражданските летища за обществено ползване. Ще продължи осъществяването на ефективен контрол върху изпълнението на сключените концесионни договори.</w:t>
            </w:r>
          </w:p>
        </w:tc>
      </w:tr>
      <w:tr w:rsidR="00B67F9D" w14:paraId="795BAB91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4A004" w14:textId="77777777" w:rsidR="00B67F9D" w:rsidRDefault="003F3E73">
            <w:pPr>
              <w:spacing w:before="120" w:after="120" w:line="240" w:lineRule="auto"/>
              <w:ind w:left="1418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63582343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1CC04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278C967D" w14:textId="77777777" w:rsidR="00B67F9D" w:rsidRDefault="003F3E73">
            <w:pPr>
              <w:spacing w:before="120" w:after="120" w:line="240" w:lineRule="auto"/>
              <w:ind w:left="1418"/>
              <w:jc w:val="both"/>
            </w:pPr>
            <w: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5775F580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4A0AC875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DB388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D3B5B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6F41572E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90566" w14:textId="5028D37E" w:rsidR="00B67F9D" w:rsidRDefault="00B67F9D" w:rsidP="000A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0EC2D" w14:textId="104F602A" w:rsidR="00B67F9D" w:rsidRDefault="00B67F9D">
            <w:pPr>
              <w:spacing w:before="120" w:after="120" w:line="240" w:lineRule="auto"/>
            </w:pPr>
          </w:p>
        </w:tc>
      </w:tr>
      <w:tr w:rsidR="00B67F9D" w14:paraId="6617A256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BA81F0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7.3.в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Интелигентни информационни системи</w:t>
            </w:r>
          </w:p>
        </w:tc>
      </w:tr>
      <w:tr w:rsidR="00B67F9D" w14:paraId="4137D46D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BBA864" w14:textId="77777777" w:rsidR="00B67F9D" w:rsidRDefault="003F3E73">
            <w:pPr>
              <w:spacing w:before="120" w:after="120" w:line="240" w:lineRule="auto"/>
              <w:ind w:left="1418"/>
              <w:jc w:val="both"/>
            </w:pPr>
            <w:r>
              <w:t>Ще продължи развитието на внедрените Речна информационна система (RIS) и Система за управление на корабния трафик (VTMIS), които понастоящем се надграждат. Ще бъдат внедрени система за електронен обмен на информация в българските морски пристанища (Port Community System – PCS) и аналогична система за речните пристанища.</w:t>
            </w:r>
          </w:p>
        </w:tc>
      </w:tr>
      <w:tr w:rsidR="00B67F9D" w14:paraId="630AF5D9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DD3A1C" w14:textId="77777777" w:rsidR="00B67F9D" w:rsidRDefault="003F3E73">
            <w:pPr>
              <w:spacing w:before="120" w:after="120" w:line="240" w:lineRule="auto"/>
              <w:ind w:left="1418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1E98165E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867015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5E869ED5" w14:textId="77777777" w:rsidR="00B67F9D" w:rsidRDefault="003F3E73">
            <w:pPr>
              <w:spacing w:before="120" w:after="120" w:line="240" w:lineRule="auto"/>
              <w:ind w:left="1418"/>
              <w:jc w:val="both"/>
            </w:pPr>
            <w: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6D883CF9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2A10EBC3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EDC01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AF39F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355B5AAF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158E0" w14:textId="5DF3BC4D" w:rsidR="00B67F9D" w:rsidRDefault="00B6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B7CB1" w14:textId="6E4B6878" w:rsidR="00B67F9D" w:rsidRDefault="00B67F9D">
            <w:pPr>
              <w:spacing w:before="120" w:after="120" w:line="240" w:lineRule="auto"/>
            </w:pPr>
          </w:p>
        </w:tc>
      </w:tr>
      <w:tr w:rsidR="00B67F9D" w14:paraId="3E38A89E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B2B0E3" w14:textId="77777777" w:rsidR="00B67F9D" w:rsidRDefault="003F3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 xml:space="preserve">7.4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Комбиниран транспорт</w:t>
            </w:r>
          </w:p>
        </w:tc>
      </w:tr>
      <w:tr w:rsidR="00B67F9D" w14:paraId="66960F1C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EA97910" w14:textId="363332B2" w:rsidR="00B67F9D" w:rsidRDefault="003F3E73" w:rsidP="00A2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Подпомагането на интермодалния/ комбинирания транспорт ще остане приоритет за транспортната политика, с цел да се повиши атрактивността и да се разгърне потенциалът му. Това ще допринесе за подобряване на екологичните показатели на транспортната система и създаването на алтернатива на автомобилния транспорт вкл. и за периоди на икономически кризи. За обезпечаване на мобилността на пътниците и насърчаването им да ползват по-интензивно услугите на обществения и железопътния транспорт ще продължи изграждането на удобни връзки между видовете транспорт.</w:t>
            </w:r>
          </w:p>
        </w:tc>
      </w:tr>
      <w:tr w:rsidR="00B67F9D" w14:paraId="026EF3C7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CE9D22" w14:textId="77777777" w:rsidR="00B67F9D" w:rsidRDefault="003F3E73">
            <w:pPr>
              <w:spacing w:before="120" w:after="0" w:line="240" w:lineRule="auto"/>
              <w:ind w:left="738"/>
              <w:rPr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Индикатори за изпълнение</w:t>
            </w:r>
          </w:p>
        </w:tc>
      </w:tr>
      <w:tr w:rsidR="00B67F9D" w14:paraId="00008F32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58AC546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наименование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7BF002C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5767E90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текуща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DE22757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целева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80C03F4" w14:textId="77777777" w:rsidR="00B67F9D" w:rsidRDefault="003F3E73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средна стойност в ЕС</w:t>
            </w:r>
          </w:p>
        </w:tc>
      </w:tr>
      <w:tr w:rsidR="00B67F9D" w14:paraId="5468AAA0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8225D7" w14:textId="77777777" w:rsidR="00B67F9D" w:rsidRDefault="003F3E73">
            <w:pPr>
              <w:spacing w:before="120" w:after="120" w:line="240" w:lineRule="auto"/>
            </w:pPr>
            <w:r>
              <w:t xml:space="preserve">Превозени товари от вътрешен </w:t>
            </w:r>
            <w:r>
              <w:lastRenderedPageBreak/>
              <w:t>комбиниран транспорт (хил. т.)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27730" w14:textId="77777777" w:rsidR="00B67F9D" w:rsidRDefault="003F3E73">
            <w:pPr>
              <w:spacing w:before="120" w:after="120" w:line="240" w:lineRule="auto"/>
            </w:pPr>
            <w:r>
              <w:lastRenderedPageBreak/>
              <w:t>НСИ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D311AD" w14:textId="77777777" w:rsidR="00B67F9D" w:rsidRDefault="003F3E73">
            <w:pPr>
              <w:spacing w:before="120" w:after="120" w:line="240" w:lineRule="auto"/>
              <w:jc w:val="center"/>
            </w:pPr>
            <w:r>
              <w:t xml:space="preserve">3 389 </w:t>
            </w:r>
          </w:p>
          <w:p w14:paraId="0F59FE41" w14:textId="77777777" w:rsidR="00B67F9D" w:rsidRDefault="003F3E73">
            <w:pPr>
              <w:spacing w:before="120" w:after="120" w:line="240" w:lineRule="auto"/>
              <w:jc w:val="center"/>
            </w:pPr>
            <w:r>
              <w:lastRenderedPageBreak/>
              <w:t>(2018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7BC661" w14:textId="780D7D4C" w:rsidR="00B67F9D" w:rsidRDefault="0047755B">
            <w:pPr>
              <w:spacing w:before="120" w:after="120" w:line="240" w:lineRule="auto"/>
              <w:jc w:val="center"/>
            </w:pPr>
            <w:r>
              <w:lastRenderedPageBreak/>
              <w:t>5 000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7624A5" w14:textId="77777777" w:rsidR="00B67F9D" w:rsidRDefault="003F3E73">
            <w:pPr>
              <w:spacing w:before="120" w:after="120" w:line="240" w:lineRule="auto"/>
              <w:jc w:val="center"/>
            </w:pPr>
            <w:r>
              <w:t>-</w:t>
            </w:r>
          </w:p>
        </w:tc>
      </w:tr>
      <w:tr w:rsidR="00B67F9D" w14:paraId="22A053F8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66B06A" w14:textId="77777777" w:rsidR="00B67F9D" w:rsidRDefault="003F3E73">
            <w:pPr>
              <w:spacing w:before="120" w:after="120" w:line="240" w:lineRule="auto"/>
            </w:pPr>
            <w:r>
              <w:t>Изградени/ рехабилитирани железопътни гари (бр.)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8AA8C0" w14:textId="77777777" w:rsidR="00B67F9D" w:rsidRDefault="003F3E73">
            <w:pPr>
              <w:spacing w:before="120" w:after="120" w:line="240" w:lineRule="auto"/>
            </w:pPr>
            <w:r>
              <w:t>НКЖИ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78AA36" w14:textId="77777777" w:rsidR="00B67F9D" w:rsidRDefault="003F3E73">
            <w:pPr>
              <w:spacing w:before="120" w:after="120" w:line="240" w:lineRule="auto"/>
              <w:jc w:val="center"/>
            </w:pPr>
            <w:r>
              <w:t>3</w:t>
            </w:r>
          </w:p>
          <w:p w14:paraId="3E26B900" w14:textId="77777777" w:rsidR="00B67F9D" w:rsidRDefault="003F3E73">
            <w:pPr>
              <w:spacing w:before="120" w:after="120" w:line="240" w:lineRule="auto"/>
              <w:jc w:val="center"/>
            </w:pPr>
            <w:r>
              <w:t>(2019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94179A" w14:textId="77777777" w:rsidR="00B67F9D" w:rsidRDefault="003F3E73">
            <w:pPr>
              <w:spacing w:before="120" w:after="120" w:line="240" w:lineRule="auto"/>
              <w:jc w:val="center"/>
            </w:pPr>
            <w: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5A70A5" w14:textId="77777777" w:rsidR="00B67F9D" w:rsidRDefault="003F3E73">
            <w:pPr>
              <w:spacing w:before="120" w:after="120" w:line="240" w:lineRule="auto"/>
              <w:jc w:val="center"/>
            </w:pPr>
            <w:r>
              <w:t>-</w:t>
            </w:r>
          </w:p>
        </w:tc>
      </w:tr>
      <w:tr w:rsidR="00B67F9D" w14:paraId="0D5C0C30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C20564" w14:textId="77777777" w:rsidR="00B67F9D" w:rsidRDefault="003F3E73">
            <w:pPr>
              <w:spacing w:before="120" w:after="120" w:line="240" w:lineRule="auto"/>
            </w:pPr>
            <w:r>
              <w:t>Дял на възобновяемата енергия в потреблението на горива от транспорта (%)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55C549" w14:textId="77777777" w:rsidR="00B67F9D" w:rsidRDefault="003F3E73">
            <w:pPr>
              <w:spacing w:before="120" w:after="120" w:line="240" w:lineRule="auto"/>
            </w:pPr>
            <w:r>
              <w:t>НСИ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7E7A61" w14:textId="77777777" w:rsidR="00B67F9D" w:rsidRDefault="003F3E73">
            <w:pPr>
              <w:spacing w:before="120" w:after="120" w:line="240" w:lineRule="auto"/>
              <w:jc w:val="center"/>
            </w:pPr>
            <w:r>
              <w:t>8,1%</w:t>
            </w:r>
          </w:p>
          <w:p w14:paraId="1529B48E" w14:textId="77777777" w:rsidR="00B67F9D" w:rsidRDefault="003F3E73">
            <w:pPr>
              <w:spacing w:before="120" w:after="120" w:line="240" w:lineRule="auto"/>
              <w:jc w:val="center"/>
            </w:pPr>
            <w:r>
              <w:t>(2018 г.)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0072D7" w14:textId="77777777" w:rsidR="00B67F9D" w:rsidRDefault="003F3E73">
            <w:pPr>
              <w:spacing w:before="120" w:after="120" w:line="240" w:lineRule="auto"/>
              <w:jc w:val="center"/>
            </w:pPr>
            <w:r>
              <w:t xml:space="preserve">14.2%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429858" w14:textId="77777777" w:rsidR="00B67F9D" w:rsidRDefault="003F3E73">
            <w:pPr>
              <w:spacing w:before="120" w:after="120" w:line="240" w:lineRule="auto"/>
              <w:jc w:val="center"/>
            </w:pPr>
            <w:r>
              <w:t>8,261%</w:t>
            </w:r>
          </w:p>
          <w:p w14:paraId="6DDB33B8" w14:textId="77777777" w:rsidR="00B67F9D" w:rsidRDefault="003F3E73">
            <w:pPr>
              <w:spacing w:before="120" w:after="120" w:line="240" w:lineRule="auto"/>
              <w:jc w:val="center"/>
            </w:pPr>
            <w:r>
              <w:t>(2018 г.)</w:t>
            </w:r>
          </w:p>
        </w:tc>
      </w:tr>
      <w:tr w:rsidR="00B67F9D" w14:paraId="4C771644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4C481C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0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Области на въздействие</w:t>
            </w:r>
          </w:p>
        </w:tc>
      </w:tr>
      <w:tr w:rsidR="00B67F9D" w14:paraId="3ADD63A3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9DFC1B" w14:textId="77777777" w:rsidR="00B67F9D" w:rsidRDefault="003F3E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7.4.а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Пътнически терминали</w:t>
            </w:r>
          </w:p>
        </w:tc>
      </w:tr>
      <w:tr w:rsidR="00B67F9D" w14:paraId="0604FCA9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43729" w14:textId="7237B360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Ще продължи изграждането на удобни връзки между различните видове транспорт (железница – метро, железница – летища</w:t>
            </w:r>
            <w:r w:rsidR="0047755B">
              <w:rPr>
                <w:color w:val="000000"/>
              </w:rPr>
              <w:t>, железница – пристанища</w:t>
            </w:r>
            <w:r>
              <w:rPr>
                <w:color w:val="000000"/>
              </w:rPr>
              <w:t>) за по-голяма мобилност и улеснение на гражданите, както и за насърчаването им да използват по-активно публичните транспортни услуги. Изграждането на повече буферни паркинги ще предразполага хората да оставят личните си автомобили и да използват по-екологосъобразен транспорт, какъвто е метрото. Ще продължат усилията за изграждане на ключови железопътни гарови комплекси на територията на страната.</w:t>
            </w:r>
          </w:p>
        </w:tc>
      </w:tr>
      <w:tr w:rsidR="00B67F9D" w14:paraId="081A8F39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5D8DEE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1C13315F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5342D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42DFA493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18B9698E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7AA5BAC0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9D99D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E162E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6BCD4D3A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A4200" w14:textId="54642733" w:rsidR="00B67F9D" w:rsidRDefault="00B6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rFonts w:ascii="Century Gothic" w:eastAsia="Century Gothic" w:hAnsi="Century Gothic" w:cs="Century Gothic"/>
                <w:color w:val="40404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2C35C" w14:textId="3D1E7465" w:rsidR="00B67F9D" w:rsidRDefault="00B67F9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B67F9D" w14:paraId="511B6A44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189BBD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7.4.б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Товарни терминали</w:t>
            </w:r>
          </w:p>
        </w:tc>
      </w:tr>
      <w:tr w:rsidR="00B67F9D" w14:paraId="5FD2E185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88CEB" w14:textId="77777777" w:rsidR="00B67F9D" w:rsidRDefault="003F3E73">
            <w:pPr>
              <w:spacing w:before="120" w:after="120" w:line="240" w:lineRule="auto"/>
              <w:ind w:left="1418"/>
              <w:jc w:val="both"/>
            </w:pPr>
            <w:r>
              <w:t>Ще продължи провеждането на политика за подпомагане на дейности за развитие на интермодалния товарен транспорт и изграждането на съвременни интермодални терминали. Морските и речните пристанища, извършващи обработка на контейнери и ро-ро товари, също изпълняват ролята на мултимодални терминали. Възлагане на концесии на интермодални терминали ще продължи да се прилага като ефективен инструмент за тяхното развитие.</w:t>
            </w:r>
          </w:p>
        </w:tc>
      </w:tr>
      <w:tr w:rsidR="00B67F9D" w14:paraId="21F32355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229677" w14:textId="77777777" w:rsidR="00B67F9D" w:rsidRDefault="003F3E73">
            <w:pPr>
              <w:spacing w:before="120" w:after="120" w:line="240" w:lineRule="auto"/>
              <w:ind w:left="1418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Съотносими Цели за устойчиво развитие на ООН</w:t>
            </w:r>
          </w:p>
        </w:tc>
      </w:tr>
      <w:tr w:rsidR="00B67F9D" w14:paraId="2C90FA6D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9F2E07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>Цел 9. Изграждане на устойчива инфраструктура, насърчаване на приобщаваща и устойчива индустриализация и насърчаване на иновациите</w:t>
            </w:r>
          </w:p>
          <w:p w14:paraId="00B5743A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4C387297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62EAE726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3F84B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94723" w14:textId="77777777" w:rsidR="00B67F9D" w:rsidRDefault="003F3E73">
            <w:pPr>
              <w:spacing w:before="120" w:after="12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B67F9D" w14:paraId="1AE3A71C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28A0C" w14:textId="45076169" w:rsidR="00B67F9D" w:rsidRDefault="00B67F9D" w:rsidP="00A2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6E81F" w14:textId="1B55C8DC" w:rsidR="00B67F9D" w:rsidRDefault="00B67F9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B67F9D" w14:paraId="3B9D72FA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8E9957" w14:textId="77777777" w:rsidR="00B67F9D" w:rsidRDefault="003F3E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7.4.в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Въздействие на транспорта върху околната среда и здравето на хората</w:t>
            </w:r>
          </w:p>
        </w:tc>
      </w:tr>
      <w:tr w:rsidR="00B67F9D" w14:paraId="0B5E165E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0A887" w14:textId="77777777" w:rsidR="00B67F9D" w:rsidRDefault="003F3E73">
            <w:pPr>
              <w:spacing w:before="120" w:after="0" w:line="240" w:lineRule="auto"/>
              <w:ind w:left="1276"/>
              <w:jc w:val="both"/>
            </w:pPr>
            <w:r>
              <w:t>За ограничаването на вредното влияние на транспорта върху околната среда, климата и качеството на живот на хората се предвижда въвеждане и насърчаване употребата на горива и енергия от алтернативни и възобновяеми енергийни източници, развитие и увеличаване на дела на екологосъобразните видове транспорт, както и постигане на оптимален баланс в използването потенциала на различните видове транспорт, чрез прехвърляне на превози към по-екологичните видове (железопътен, воден). По този начин ще бъдат постигнати целите на политиката за енергийна диверсификация и декарбонизация на транспорта.</w:t>
            </w:r>
          </w:p>
        </w:tc>
      </w:tr>
      <w:tr w:rsidR="00B67F9D" w14:paraId="3ABC17D5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8CC707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B67F9D" w14:paraId="04D82CE2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EB1A5F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446"/>
              <w:rPr>
                <w:color w:val="000000"/>
              </w:rPr>
            </w:pPr>
            <w:r>
              <w:rPr>
                <w:color w:val="000000"/>
              </w:rPr>
              <w:t>Цел 3. Осигуряване на здравословен живот и насърчаване благосъстоянието на всички във всяка възраст</w:t>
            </w:r>
          </w:p>
          <w:p w14:paraId="425FA01A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 11. Превръщане на градовете и селищата в приобщаващи, безопасни, адаптивни и устойчиви места за живеене </w:t>
            </w:r>
          </w:p>
          <w:p w14:paraId="698DED5E" w14:textId="77777777" w:rsidR="00B67F9D" w:rsidRDefault="003F3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Подцел 11.2 Осигуряване до 2030 г. на достъп за всички до безопасни, достъпни и устойчиви транспортни системи на приемливи цени, подобряване на безопасността по пътищата, особено чрез разширяване мрежата на обществения транспорт, като се обръща особено внимание на потребностите на хората в уязвимо положение, жените, децата, лицата с увреждания и по-възрастните хора.</w:t>
            </w:r>
          </w:p>
        </w:tc>
      </w:tr>
      <w:tr w:rsidR="00B67F9D" w14:paraId="25BC21AB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E85A2" w14:textId="77777777" w:rsidR="00B67F9D" w:rsidRDefault="003F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6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98626" w14:textId="77777777" w:rsidR="00B67F9D" w:rsidRDefault="003F3E73">
            <w:pPr>
              <w:spacing w:before="120" w:after="120" w:line="240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</w:tbl>
    <w:p w14:paraId="1A44DCB3" w14:textId="77777777" w:rsidR="00B67F9D" w:rsidRDefault="00B67F9D" w:rsidP="00FA45D0">
      <w:pPr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sectPr w:rsidR="00B67F9D" w:rsidSect="00FA45D0">
      <w:footerReference w:type="default" r:id="rId7"/>
      <w:pgSz w:w="11906" w:h="16838"/>
      <w:pgMar w:top="709" w:right="1417" w:bottom="1135" w:left="1417" w:header="708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5133" w14:textId="77777777" w:rsidR="0088148C" w:rsidRDefault="0088148C">
      <w:pPr>
        <w:spacing w:after="0" w:line="240" w:lineRule="auto"/>
      </w:pPr>
      <w:r>
        <w:separator/>
      </w:r>
    </w:p>
  </w:endnote>
  <w:endnote w:type="continuationSeparator" w:id="0">
    <w:p w14:paraId="68CFF813" w14:textId="77777777" w:rsidR="0088148C" w:rsidRDefault="0088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79D3" w14:textId="0EA9C2C3" w:rsidR="00B67F9D" w:rsidRDefault="003F3E73" w:rsidP="00FA45D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45D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DDCF3" w14:textId="77777777" w:rsidR="0088148C" w:rsidRDefault="0088148C">
      <w:pPr>
        <w:spacing w:after="0" w:line="240" w:lineRule="auto"/>
      </w:pPr>
      <w:r>
        <w:separator/>
      </w:r>
    </w:p>
  </w:footnote>
  <w:footnote w:type="continuationSeparator" w:id="0">
    <w:p w14:paraId="5400F478" w14:textId="77777777" w:rsidR="0088148C" w:rsidRDefault="0088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B7A"/>
    <w:multiLevelType w:val="multilevel"/>
    <w:tmpl w:val="E618E328"/>
    <w:lvl w:ilvl="0">
      <w:numFmt w:val="bullet"/>
      <w:lvlText w:val="-"/>
      <w:lvlJc w:val="left"/>
      <w:pPr>
        <w:ind w:left="1806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4C3BFB"/>
    <w:multiLevelType w:val="multilevel"/>
    <w:tmpl w:val="8E28F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5E0EFA"/>
    <w:multiLevelType w:val="multilevel"/>
    <w:tmpl w:val="8CBEDAA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9D"/>
    <w:rsid w:val="000A6ECD"/>
    <w:rsid w:val="000F5435"/>
    <w:rsid w:val="00110A2C"/>
    <w:rsid w:val="001D1FFD"/>
    <w:rsid w:val="00243C85"/>
    <w:rsid w:val="002C0A27"/>
    <w:rsid w:val="0031223B"/>
    <w:rsid w:val="003666F0"/>
    <w:rsid w:val="003F3E73"/>
    <w:rsid w:val="0047755B"/>
    <w:rsid w:val="004A12C0"/>
    <w:rsid w:val="00571CBB"/>
    <w:rsid w:val="00580209"/>
    <w:rsid w:val="005C2751"/>
    <w:rsid w:val="005C425D"/>
    <w:rsid w:val="007021D7"/>
    <w:rsid w:val="00702EA1"/>
    <w:rsid w:val="00747B17"/>
    <w:rsid w:val="00843E66"/>
    <w:rsid w:val="0088148C"/>
    <w:rsid w:val="00A04531"/>
    <w:rsid w:val="00A2105D"/>
    <w:rsid w:val="00A51364"/>
    <w:rsid w:val="00A60A57"/>
    <w:rsid w:val="00B67F9D"/>
    <w:rsid w:val="00B80F01"/>
    <w:rsid w:val="00BD10FF"/>
    <w:rsid w:val="00C74EE7"/>
    <w:rsid w:val="00C90F6B"/>
    <w:rsid w:val="00D22724"/>
    <w:rsid w:val="00E95F8A"/>
    <w:rsid w:val="00EA714F"/>
    <w:rsid w:val="00ED378C"/>
    <w:rsid w:val="00F30039"/>
    <w:rsid w:val="00F85C5D"/>
    <w:rsid w:val="00FA45D0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0E148"/>
  <w15:docId w15:val="{37A98C99-3CDD-4D7B-906D-899E392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D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0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0"/>
  </w:style>
  <w:style w:type="paragraph" w:styleId="Footer">
    <w:name w:val="footer"/>
    <w:basedOn w:val="Normal"/>
    <w:link w:val="FooterChar"/>
    <w:uiPriority w:val="99"/>
    <w:unhideWhenUsed/>
    <w:rsid w:val="00F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petivan</dc:creator>
  <cp:lastModifiedBy>Marina Agalareva</cp:lastModifiedBy>
  <cp:revision>8</cp:revision>
  <dcterms:created xsi:type="dcterms:W3CDTF">2020-07-16T12:32:00Z</dcterms:created>
  <dcterms:modified xsi:type="dcterms:W3CDTF">2020-07-16T12:49:00Z</dcterms:modified>
</cp:coreProperties>
</file>