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5A" w:rsidRPr="00A66EA4" w:rsidRDefault="00846C3F" w:rsidP="00950686">
      <w:pPr>
        <w:spacing w:after="0" w:line="240" w:lineRule="auto"/>
        <w:jc w:val="center"/>
        <w:rPr>
          <w:b/>
          <w:bCs/>
          <w:sz w:val="28"/>
          <w:szCs w:val="28"/>
          <w:highlight w:val="white"/>
          <w:shd w:val="clear" w:color="auto" w:fill="FEFEFE"/>
          <w:lang w:val="bg-BG"/>
        </w:rPr>
      </w:pPr>
      <w:r w:rsidRPr="00A66EA4">
        <w:rPr>
          <w:b/>
          <w:lang w:val="bg-BG"/>
        </w:rPr>
        <w:t>Н</w:t>
      </w:r>
      <w:r w:rsidR="00DE054D">
        <w:rPr>
          <w:b/>
          <w:lang w:val="bg-BG"/>
        </w:rPr>
        <w:t>аредба за изменение</w:t>
      </w:r>
      <w:r w:rsidRPr="00A66EA4">
        <w:rPr>
          <w:b/>
          <w:lang w:val="bg-BG"/>
        </w:rPr>
        <w:t xml:space="preserve"> на </w:t>
      </w:r>
      <w:r w:rsidR="00EF566B" w:rsidRPr="00A66EA4">
        <w:rPr>
          <w:b/>
          <w:lang w:val="bg-BG"/>
        </w:rPr>
        <w:t>Наредба № 22 от 11.10.</w:t>
      </w:r>
      <w:r w:rsidRPr="00A66EA4">
        <w:rPr>
          <w:b/>
          <w:lang w:val="bg-BG"/>
        </w:rPr>
        <w:t>2018 г. за техническите изисквания към корабите, плаващи по вътрешните водни пътища</w:t>
      </w:r>
      <w:r w:rsidRPr="00A66EA4">
        <w:rPr>
          <w:b/>
          <w:bCs/>
          <w:sz w:val="28"/>
          <w:szCs w:val="28"/>
          <w:highlight w:val="white"/>
          <w:shd w:val="clear" w:color="auto" w:fill="FEFEFE"/>
          <w:lang w:val="bg-BG"/>
        </w:rPr>
        <w:t xml:space="preserve"> </w:t>
      </w:r>
    </w:p>
    <w:p w:rsidR="00821738" w:rsidRPr="00A66EA4" w:rsidRDefault="00846C3F" w:rsidP="00950686">
      <w:pPr>
        <w:spacing w:after="0" w:line="240" w:lineRule="auto"/>
        <w:jc w:val="center"/>
        <w:rPr>
          <w:b/>
          <w:lang w:val="bg-BG"/>
        </w:rPr>
      </w:pPr>
      <w:r w:rsidRPr="00A66EA4">
        <w:rPr>
          <w:bCs/>
          <w:i/>
          <w:iCs/>
          <w:highlight w:val="white"/>
          <w:shd w:val="clear" w:color="auto" w:fill="FEFEFE"/>
          <w:lang w:val="bg-BG"/>
        </w:rPr>
        <w:t>(</w:t>
      </w:r>
      <w:proofErr w:type="spellStart"/>
      <w:r w:rsidRPr="00A66EA4">
        <w:rPr>
          <w:bCs/>
          <w:i/>
          <w:iCs/>
          <w:highlight w:val="white"/>
          <w:shd w:val="clear" w:color="auto" w:fill="FEFEFE"/>
          <w:lang w:val="bg-BG"/>
        </w:rPr>
        <w:t>oбн</w:t>
      </w:r>
      <w:proofErr w:type="spellEnd"/>
      <w:r w:rsidRPr="00A66EA4">
        <w:rPr>
          <w:bCs/>
          <w:i/>
          <w:iCs/>
          <w:highlight w:val="white"/>
          <w:shd w:val="clear" w:color="auto" w:fill="FEFEFE"/>
          <w:lang w:val="bg-BG"/>
        </w:rPr>
        <w:t xml:space="preserve">., </w:t>
      </w:r>
      <w:r w:rsidR="00EB29CA" w:rsidRPr="00A66EA4">
        <w:rPr>
          <w:bCs/>
          <w:i/>
          <w:iCs/>
          <w:highlight w:val="white"/>
          <w:shd w:val="clear" w:color="auto" w:fill="FEFEFE"/>
          <w:lang w:val="bg-BG"/>
        </w:rPr>
        <w:t>ДВ</w:t>
      </w:r>
      <w:r w:rsidRPr="00A66EA4">
        <w:rPr>
          <w:bCs/>
          <w:i/>
          <w:iCs/>
          <w:highlight w:val="white"/>
          <w:shd w:val="clear" w:color="auto" w:fill="FEFEFE"/>
          <w:lang w:val="bg-BG"/>
        </w:rPr>
        <w:t>, бр. 89 от 2018 г.</w:t>
      </w:r>
      <w:r w:rsidR="00DE054D">
        <w:rPr>
          <w:bCs/>
          <w:i/>
          <w:iCs/>
          <w:highlight w:val="white"/>
          <w:shd w:val="clear" w:color="auto" w:fill="FEFEFE"/>
          <w:lang w:val="bg-BG"/>
        </w:rPr>
        <w:t>, изм.</w:t>
      </w:r>
      <w:r w:rsidR="00DE054D">
        <w:rPr>
          <w:i/>
        </w:rPr>
        <w:t xml:space="preserve">, </w:t>
      </w:r>
      <w:proofErr w:type="spellStart"/>
      <w:proofErr w:type="gramStart"/>
      <w:r w:rsidR="00DE054D">
        <w:rPr>
          <w:i/>
        </w:rPr>
        <w:t>бр</w:t>
      </w:r>
      <w:proofErr w:type="spellEnd"/>
      <w:proofErr w:type="gramEnd"/>
      <w:r w:rsidR="00DE054D">
        <w:rPr>
          <w:i/>
        </w:rPr>
        <w:t xml:space="preserve">. </w:t>
      </w:r>
      <w:r w:rsidR="00DE054D">
        <w:rPr>
          <w:i/>
          <w:lang w:val="bg-BG"/>
        </w:rPr>
        <w:t>15</w:t>
      </w:r>
      <w:r w:rsidR="00DE054D">
        <w:rPr>
          <w:i/>
        </w:rPr>
        <w:t xml:space="preserve"> от 2020 г.</w:t>
      </w:r>
      <w:r w:rsidRPr="00A66EA4">
        <w:rPr>
          <w:bCs/>
          <w:i/>
          <w:iCs/>
          <w:highlight w:val="white"/>
          <w:shd w:val="clear" w:color="auto" w:fill="FEFEFE"/>
          <w:lang w:val="bg-BG"/>
        </w:rPr>
        <w:t>)</w:t>
      </w:r>
    </w:p>
    <w:p w:rsidR="00821738" w:rsidRDefault="00821738" w:rsidP="00950686">
      <w:pPr>
        <w:spacing w:after="0" w:line="240" w:lineRule="auto"/>
        <w:textAlignment w:val="center"/>
        <w:rPr>
          <w:rFonts w:eastAsia="Times New Roman"/>
          <w:color w:val="000000"/>
          <w:lang w:val="bg-BG"/>
        </w:rPr>
      </w:pPr>
    </w:p>
    <w:p w:rsidR="00DC6E4E" w:rsidRPr="00A66EA4" w:rsidRDefault="00DC6E4E" w:rsidP="00DC6E4E">
      <w:pPr>
        <w:spacing w:after="0" w:line="240" w:lineRule="auto"/>
        <w:jc w:val="both"/>
        <w:rPr>
          <w:lang w:val="bg-BG"/>
        </w:rPr>
      </w:pPr>
      <w:r w:rsidRPr="00A66EA4">
        <w:rPr>
          <w:b/>
          <w:lang w:val="bg-BG"/>
        </w:rPr>
        <w:t>§ 1.</w:t>
      </w:r>
      <w:r>
        <w:rPr>
          <w:lang w:val="bg-BG"/>
        </w:rPr>
        <w:t xml:space="preserve"> Приложение № 1</w:t>
      </w:r>
      <w:r w:rsidRPr="00A66EA4">
        <w:rPr>
          <w:lang w:val="bg-BG"/>
        </w:rPr>
        <w:t xml:space="preserve"> се изменя така:</w:t>
      </w:r>
    </w:p>
    <w:p w:rsidR="007740BA" w:rsidRDefault="00DC6E4E" w:rsidP="00DC6E4E">
      <w:pPr>
        <w:spacing w:after="0" w:line="240" w:lineRule="auto"/>
        <w:ind w:left="5760" w:firstLine="720"/>
        <w:jc w:val="both"/>
        <w:rPr>
          <w:lang w:val="bg-BG"/>
        </w:rPr>
      </w:pPr>
      <w:r w:rsidRPr="00A66EA4">
        <w:rPr>
          <w:lang w:val="bg-BG"/>
        </w:rPr>
        <w:t>„</w:t>
      </w:r>
      <w:r>
        <w:rPr>
          <w:lang w:val="bg-BG"/>
        </w:rPr>
        <w:t>Приложение № 1</w:t>
      </w:r>
      <w:r w:rsidRPr="00DC6E4E">
        <w:rPr>
          <w:lang w:val="bg-BG"/>
        </w:rPr>
        <w:t xml:space="preserve"> </w:t>
      </w:r>
    </w:p>
    <w:p w:rsidR="00DC6E4E" w:rsidRPr="00DC6E4E" w:rsidRDefault="00DC6E4E" w:rsidP="00DC6E4E">
      <w:pPr>
        <w:spacing w:after="0" w:line="240" w:lineRule="auto"/>
        <w:ind w:left="5760" w:firstLine="720"/>
        <w:jc w:val="both"/>
        <w:rPr>
          <w:lang w:val="bg-BG"/>
        </w:rPr>
      </w:pPr>
      <w:r>
        <w:rPr>
          <w:lang w:val="bg-BG"/>
        </w:rPr>
        <w:t>към чл. 4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СПИСЪК НА ВЪТРЕШНИТЕ ВОДНИ ПЪТИЩА НА СЪЮЗА, РАЗПРЕДЕЛЕНИ ГЕОГРАФСКИ НА ЗОНИ 1, 2 И 3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ГЛАВА 1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Зона 1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Франция</w:t>
      </w:r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Надолу от напречната граница на морето в устията на Сена, Лоара,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Жиронд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Рона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Германия</w:t>
      </w:r>
    </w:p>
    <w:tbl>
      <w:tblPr>
        <w:tblW w:w="52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357"/>
      </w:tblGrid>
      <w:tr w:rsidR="00DC6E4E" w:rsidRPr="00DC6E4E" w:rsidTr="00D5137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Емс</w:t>
            </w:r>
            <w:proofErr w:type="spellEnd"/>
          </w:p>
        </w:tc>
        <w:tc>
          <w:tcPr>
            <w:tcW w:w="4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линията, свързваща някогашния фар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Greetsiel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западния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на входа на пристанище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Eemshaven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по посока към морето до 53° 30′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с.ш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. и 6° 45′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и.д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., т.е. леко в посока към морето от мястото за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лихтерни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плавателни съдове за сухи товари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Alte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Ems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 (</w:t>
            </w:r>
            <w:r w:rsidRPr="00DC6E4E">
              <w:rPr>
                <w:rFonts w:ascii="inherit" w:eastAsia="Times New Roman" w:hAnsi="inherit"/>
                <w:sz w:val="15"/>
                <w:szCs w:val="15"/>
                <w:vertAlign w:val="superscript"/>
                <w:lang w:val="bg-BG" w:eastAsia="bg-BG"/>
              </w:rPr>
              <w:t>1</w:t>
            </w: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)</w:t>
            </w:r>
          </w:p>
        </w:tc>
      </w:tr>
    </w:tbl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Полша</w:t>
      </w:r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Частта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Поморския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залив, южно от линията, свързваща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NordPerd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остров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Рюген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Niechorze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Частта на Гданския залив, южно от линията, свързваща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Hel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буя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входа на пристанище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Балтийск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Швеция</w:t>
      </w:r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Vänern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ограничено на юг от паралела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Bastungsgrunden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Езеро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Vättern</w:t>
      </w:r>
      <w:proofErr w:type="spellEnd"/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Brofjorden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Donsö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или от границата на зона 2 или 3 и от линията от най-южната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Grötö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най-западната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Gåsö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най-северната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Hermanö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Hermanö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huvud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Vedholmen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Danholmen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центъра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Mollön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Räbbehuvud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долния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Sankt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Olov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най-югоизточната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Flatholmen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Åstol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Marstrand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Sälö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долния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Kågholmen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Tynneskär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Buskärs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Knöte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горния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Rivö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Rivö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Северен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Öregrundsgrepen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 между континенталната част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Gräsö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ограничена на север от паралела през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Engelska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Grundet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а на юг — от меридиана през горния насочен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Öregrund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lastRenderedPageBreak/>
        <w:t>Söderarm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Sandhamn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границата на зона 2 и линията от насочения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Tyvö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Söderarm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горния насочен фар на пилотската станция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Söderarm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Prästkobben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Korsö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Jungfrufjärden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или границата на зона 2 и линията от най-западната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Nämdö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най-западната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Mörtö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–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Bunsö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Ornöhuvud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Mysingen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Landsort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границата на зона 2 и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Utö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най-южната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Nåttarö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Måsknuv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Viksten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Landsort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Landsort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Arkö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или границата на зона 2 или 3, и от линията от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Landsort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най-южната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Enskär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Norra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Kränkan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Marö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Kupa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Заливът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Valdemarsviken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и архипелагът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Gryt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или границата на зона 2 и от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Gubbö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Kupa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Häradsskär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Hägerökarten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най-южната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Kvädö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Северната част на пролива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Kalmar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Västervik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Hallmare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Skackel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Aleskär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Idö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Idö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Stångskär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Strupö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Ljungskär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точка N 57 20,0 E016 48,0; и западната кардинална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буй-веха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Enerumsgrund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най-северната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по-нататък до северозападния бряг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, а на юг — до паралел N 56 51,00.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Южната част на пролива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Kalmar</w:t>
      </w:r>
      <w:proofErr w:type="spellEnd"/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 между континента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ограничена на север от линията от точката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Dunö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(в континенталната част)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Beijerhamn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, а на юг — от паралел N 56 15,00.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Зона 2</w:t>
      </w:r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Чешка република</w:t>
      </w:r>
    </w:p>
    <w:p w:rsidR="00DC6E4E" w:rsidRPr="00DC6E4E" w:rsidRDefault="00DC6E4E" w:rsidP="00DC6E4E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Язовир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Lipno</w:t>
      </w:r>
      <w:proofErr w:type="spellEnd"/>
    </w:p>
    <w:p w:rsidR="00DC6E4E" w:rsidRPr="00DC6E4E" w:rsidRDefault="00DC6E4E" w:rsidP="00DC6E4E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Германия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6845"/>
      </w:tblGrid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Емс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линията, прекосяваща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Емс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близо до входа за пристанище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Papenburg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между бившата помпена станция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Diemen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отвора в дигата при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Halte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до линията, свързваща някогашния фар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Greetsiel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западния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на входа на пристанището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Eemshaven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lastRenderedPageBreak/>
              <w:t>Яде</w:t>
            </w:r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До линията, свързваща някогашния фар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Schillig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кулата на църквата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Langwarden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Везер</w:t>
            </w:r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северозападния край на железопътния мост в Бремен чак до линията, свързваща кулите на църквите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Langwarden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Cappel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в това число ръкавите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Westergate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Rekumer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Loch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Rechter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Nebenarm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Schweiburg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Елба с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Bütztflether</w:t>
            </w:r>
            <w:proofErr w:type="spellEnd"/>
          </w:p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Süderelbe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(от км 0,69 до устието на Елба),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Ruthenstrom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(от км 3,75 до устието на Елба),</w:t>
            </w:r>
          </w:p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Wischhafener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Süderelbe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(от км 8,03 до устието на Елба)</w:t>
            </w:r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долната граница на пристанището на Хамбург чак до линията, свързваща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вехата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Döse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западния край на дигата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Friedrichskoog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Dieksand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), включително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Nebenelbe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притоците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Este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Lühe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Schwinge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Oste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Pinnau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Krückau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Stör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(във всеки от случаите от устието до бента)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Мелдорфер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Бухт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До линията, свързваща западния край на дигата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Friedrichskoog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Dieksand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) и края на западния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Büsum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Айдер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устието на канала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Gieselau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(км 22,64) до линията между центъра на крепостта (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Tränke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) и кулата на църквата във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Vollerwiek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Каналът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Gieslau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устието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Eider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 канала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Nord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–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Ostsee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Фленсбургер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Фьорде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До линията, свързваща фара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Kegnäs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Birknack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на север от германско-датската граница във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Flensburger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Förde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Schlei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До линията, свързваща челата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пирсовете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Schleimünde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Екернфьордер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Бухт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До линията, свързваща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Boknis-Eck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североизточния край на сушата при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Dänisch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Nienhof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Килер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Фьорде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До линията, свързваща фара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Bülk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военноморския мемориал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Laboe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Каналът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Nord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–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Ostsee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включително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Audorfer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Schirnauer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See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линията, свързваща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пирсовите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чела при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Brunsbüttel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линията, свързваща входните светлини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Kiel-Holterau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в това число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Obereidersee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Enge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Audorfer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Borgstedter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Enge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Schirnauer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Flemhunder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канала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Achterwehrer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Trave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северозападния край на подвижния железопътен мост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Lübeck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с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Pötenitzer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Wiek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Dassower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до линията, свързваща южното вътрешно и северното външно чело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пирса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Travemünde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Леда</w:t>
            </w:r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входа на външното пристанище на морския шлюз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Leer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Eems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Hunte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пристанището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Oldenburg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от 140 m надолу по течението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Amalienbrücke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Oldenburg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във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Weser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Lesum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точката на вливане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Hamme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Wümme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(км 0,00) до устието във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Weser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Este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отработените води на шлюза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Buxtehude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(км 0,25)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Lühe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отработените води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Au-Mühlев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Horneburg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(км 0,00)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Schwinge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северния край на шлюза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Salztor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Stade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lastRenderedPageBreak/>
              <w:t>Oste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210 m над разделителната линия на транспортния мост над язовирната стена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Oste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(км 69,360)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Pinnau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югозападния край на железопътния моста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Pinneberg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Крюкау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югозападния край на моста, водещ към/от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Wedenkamp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Elsmhorn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Stör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мареографа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Rensing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Фрайбург-Хафенприл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източния край на шлюза във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Freiburg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Elbe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устието в Елба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Пристанищната област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Wismarbucht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Kirchsee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Breitling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Salzhaff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Wismar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В посока към морето до линията между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Hoher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Wieschendorf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Huk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фара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Timmendorf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линията, свързваща фара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Gollwitz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на остров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Poel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южния край на полуостров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Wustrow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Warnow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в това число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Breitling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страничните притоци</w:t>
            </w:r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Надолу по течението от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Mühlendamm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от северния край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Geinitzbrücke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Рощок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посока към морето до линията, свързваща северните краища на западните и източните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пирсове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във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Warnemunde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Водите между материка и полуостровите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Darß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Zingst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островите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Hiddensee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Rügen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(в това число пристанищната област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Stralsund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Простиращи се по посока към морето между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6750"/>
            </w:tblGrid>
            <w:tr w:rsidR="00DC6E4E" w:rsidRPr="00DC6E4E" w:rsidTr="00D5137F">
              <w:tc>
                <w:tcPr>
                  <w:tcW w:w="98" w:type="dxa"/>
                  <w:shd w:val="clear" w:color="auto" w:fill="auto"/>
                  <w:hideMark/>
                </w:tcPr>
                <w:p w:rsidR="00DC6E4E" w:rsidRPr="00DC6E4E" w:rsidRDefault="00DC6E4E" w:rsidP="00DC2F40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lang w:val="bg-BG" w:eastAsia="bg-BG"/>
                    </w:rPr>
                  </w:pPr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 </w:t>
                  </w:r>
                </w:p>
              </w:tc>
              <w:tc>
                <w:tcPr>
                  <w:tcW w:w="8841" w:type="dxa"/>
                  <w:shd w:val="clear" w:color="auto" w:fill="auto"/>
                  <w:hideMark/>
                </w:tcPr>
                <w:p w:rsidR="00DC6E4E" w:rsidRPr="00DC6E4E" w:rsidRDefault="00DC6E4E" w:rsidP="00DC2F40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lang w:val="bg-BG" w:eastAsia="bg-BG"/>
                    </w:rPr>
                  </w:pPr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полуостров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Zingst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 и остров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Bock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: до 54° 26′ 42′′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с.ш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.,</w:t>
                  </w:r>
                </w:p>
              </w:tc>
            </w:tr>
          </w:tbl>
          <w:p w:rsidR="00DC6E4E" w:rsidRPr="00DC6E4E" w:rsidRDefault="00DC6E4E" w:rsidP="00DC2F40">
            <w:pPr>
              <w:spacing w:after="0" w:line="240" w:lineRule="auto"/>
              <w:jc w:val="both"/>
              <w:rPr>
                <w:rFonts w:ascii="inherit" w:eastAsia="Times New Roman" w:hAnsi="inherit"/>
                <w:vanish/>
                <w:lang w:val="bg-BG" w:eastAsia="bg-BG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6779"/>
            </w:tblGrid>
            <w:tr w:rsidR="00DC6E4E" w:rsidRPr="00DC6E4E" w:rsidTr="00D5137F">
              <w:tc>
                <w:tcPr>
                  <w:tcW w:w="60" w:type="dxa"/>
                  <w:shd w:val="clear" w:color="auto" w:fill="auto"/>
                  <w:hideMark/>
                </w:tcPr>
                <w:p w:rsidR="00DC6E4E" w:rsidRPr="00DC6E4E" w:rsidRDefault="00DC6E4E" w:rsidP="00DC2F40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lang w:val="bg-BG" w:eastAsia="bg-BG"/>
                    </w:rPr>
                  </w:pPr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 </w:t>
                  </w:r>
                </w:p>
              </w:tc>
              <w:tc>
                <w:tcPr>
                  <w:tcW w:w="8879" w:type="dxa"/>
                  <w:shd w:val="clear" w:color="auto" w:fill="auto"/>
                  <w:hideMark/>
                </w:tcPr>
                <w:p w:rsidR="00DC6E4E" w:rsidRPr="00DC6E4E" w:rsidRDefault="00DC6E4E" w:rsidP="00DC2F40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lang w:val="bg-BG" w:eastAsia="bg-BG"/>
                    </w:rPr>
                  </w:pPr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островите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Bock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 и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Hiddensee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: до линията, свързваща северния край на остров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Bock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 и южния край на остров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Hiddensee</w:t>
                  </w:r>
                  <w:proofErr w:type="spellEnd"/>
                </w:p>
              </w:tc>
            </w:tr>
          </w:tbl>
          <w:p w:rsidR="00DC6E4E" w:rsidRPr="00DC6E4E" w:rsidRDefault="00DC6E4E" w:rsidP="00DC2F40">
            <w:pPr>
              <w:spacing w:after="0" w:line="240" w:lineRule="auto"/>
              <w:jc w:val="both"/>
              <w:rPr>
                <w:rFonts w:ascii="inherit" w:eastAsia="Times New Roman" w:hAnsi="inherit"/>
                <w:vanish/>
                <w:lang w:val="bg-BG" w:eastAsia="bg-BG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6779"/>
            </w:tblGrid>
            <w:tr w:rsidR="00DC6E4E" w:rsidRPr="00DC6E4E" w:rsidTr="00D5137F">
              <w:tc>
                <w:tcPr>
                  <w:tcW w:w="60" w:type="dxa"/>
                  <w:shd w:val="clear" w:color="auto" w:fill="auto"/>
                  <w:hideMark/>
                </w:tcPr>
                <w:p w:rsidR="00DC6E4E" w:rsidRPr="00DC6E4E" w:rsidRDefault="00DC6E4E" w:rsidP="00DC2F40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lang w:val="bg-BG" w:eastAsia="bg-BG"/>
                    </w:rPr>
                  </w:pPr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 </w:t>
                  </w:r>
                </w:p>
              </w:tc>
              <w:tc>
                <w:tcPr>
                  <w:tcW w:w="8879" w:type="dxa"/>
                  <w:shd w:val="clear" w:color="auto" w:fill="auto"/>
                  <w:hideMark/>
                </w:tcPr>
                <w:p w:rsidR="00DC6E4E" w:rsidRPr="00DC6E4E" w:rsidRDefault="00DC6E4E" w:rsidP="00DC2F40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lang w:val="bg-BG" w:eastAsia="bg-BG"/>
                    </w:rPr>
                  </w:pPr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остров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Hiddensee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 и остров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Rügen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 (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Bug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): до линията, свързваща югоизточния край на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Neubessin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 и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Buger</w:t>
                  </w:r>
                  <w:proofErr w:type="spellEnd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 xml:space="preserve"> </w:t>
                  </w:r>
                  <w:proofErr w:type="spellStart"/>
                  <w:r w:rsidRPr="00DC6E4E">
                    <w:rPr>
                      <w:rFonts w:ascii="inherit" w:eastAsia="Times New Roman" w:hAnsi="inherit"/>
                      <w:lang w:val="bg-BG" w:eastAsia="bg-BG"/>
                    </w:rPr>
                    <w:t>Haken</w:t>
                  </w:r>
                  <w:proofErr w:type="spellEnd"/>
                </w:p>
              </w:tc>
            </w:tr>
          </w:tbl>
          <w:p w:rsidR="00DC6E4E" w:rsidRPr="00DC6E4E" w:rsidRDefault="00DC6E4E" w:rsidP="00DC2F40">
            <w:pPr>
              <w:spacing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Kleine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Jasmunder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Bodden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> 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Greifswalder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Bodden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По посока към морето до линията от източния край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Thiessower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Haken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Südperd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) до източния край на остров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Rudеn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продължаваща до северния край на остров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Usedom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(54° 10′ 37″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с.ш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., 13° 47′ 51″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и.д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.)</w:t>
            </w:r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Ryck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На изток от моста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Steinbecker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Greifswald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свързващата линия през челата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пирсовете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Водите между материка и остров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Usedom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Pennestrom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в това число пристанищната област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Wolgast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Achterwasser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, 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Oder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Haff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)</w:t>
            </w:r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На изток до границата с Република Полша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Stettiner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Haff</w:t>
            </w:r>
            <w:proofErr w:type="spellEnd"/>
          </w:p>
        </w:tc>
      </w:tr>
      <w:tr w:rsidR="00DC6E4E" w:rsidRPr="00DC6E4E" w:rsidTr="00D5137F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Uecker</w:t>
            </w:r>
            <w:proofErr w:type="spellEnd"/>
          </w:p>
        </w:tc>
        <w:tc>
          <w:tcPr>
            <w:tcW w:w="3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югозападния край на транспортния мост в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Uekermünde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свързващата линия през челата на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пирсовете</w:t>
            </w:r>
            <w:proofErr w:type="spellEnd"/>
          </w:p>
        </w:tc>
      </w:tr>
    </w:tbl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i/>
          <w:iCs/>
          <w:color w:val="000000"/>
          <w:lang w:val="bg-BG" w:eastAsia="bg-BG"/>
        </w:rPr>
        <w:t>Забележка:</w:t>
      </w:r>
      <w:r w:rsidRPr="00DC6E4E">
        <w:rPr>
          <w:rFonts w:ascii="inherit" w:eastAsia="Times New Roman" w:hAnsi="inherit"/>
          <w:color w:val="000000"/>
          <w:lang w:val="bg-BG" w:eastAsia="bg-BG"/>
        </w:rPr>
        <w:t xml:space="preserve"> В случаите на плавателни съдове, чието пристанище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домуване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е в друга държава, следва да се вземе под внимание член 32 от Договора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Ems-Dollart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8 април 1960 г. (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BGBl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, 1963 II, стр. 602).</w:t>
      </w:r>
    </w:p>
    <w:p w:rsidR="00D5137F" w:rsidRDefault="00D5137F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</w:pP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lastRenderedPageBreak/>
        <w:t>Франция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Жиронд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от километрична точка (KP 48,50) към частта надолу по течението на точката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Ile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Patiras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до напречната граница на морето, определена от линията, свързваща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Pointe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Grave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с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Pointe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Suzac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;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Loire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Cordemais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(KP 25) до напречната граница на морето, определена от линията, съединяваща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Pointe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Mindin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с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Pointe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Penhoët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;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Сена от началото на 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Tancarville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напречната граница на морето, определена от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Cape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Hode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десния бряг, до точката на левия бряг, в която планираната дига достига до брега под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Berville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;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Vilaine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язовир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Arzal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напречната граница на морето, определена от линията, съединяваща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Pointe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du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с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Pointe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du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Moustoir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;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Женевското езеро.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Унгария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Езерото Балатон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Нидерландия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Долард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Еемс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Вадензее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включително връзките със Северно море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Ийселмер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: включително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Markermeer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Ijmeer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но изключвайки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Gouwzee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Nieuwe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Waterweg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Scheur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Calland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Kanaal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западно от пристанище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Benelux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Холандс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Диеп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Breeddiep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Beerkanaal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свързаните с него пристанища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Haringvliet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Vuile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Gat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: включително водните пътища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Goeree-Overflakkee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от една страна,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Voorne-Putten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Hoeksche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Waard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, от друга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Хелегат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Волкерак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Krammer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Grevelingenmeer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Brouwerschavensche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Gat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: включително водните пътища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Schouwen-Duiveland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Goeree-Overflakkee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Keten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Mastgat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Zijpe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Krabbenkreek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източен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Scheldt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Roompot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: включително водните пътища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Walcheren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Noord-Beveland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Zuid-Beveland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от една страна,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Schouwen-Duiveland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Tholen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от друга, но изключвайки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Scheldt-Rhine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Scheldt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Западен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Scheldt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тяхното устие в морето: включително водните пътища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Zeeland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Flanders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от една страна,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Walcheren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Zuid-Beveland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от друга, но изключвайки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Scheldt-Rhine</w:t>
      </w:r>
      <w:proofErr w:type="spellEnd"/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lastRenderedPageBreak/>
        <w:t>Полша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Лагуната на Шчечин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Лагуната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Kamień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Лагуната на Висла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Заливът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Puck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Язовирът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Włocławski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Śniardwy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Niegocin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Mamry</w:t>
      </w:r>
      <w:proofErr w:type="spellEnd"/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Швеция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Lysekil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Orust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Tjörn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 от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Slaggön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Lysekil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Skaftölandet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по направление 170 градуса; линията от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Islandsberg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Lavösund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линията от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Lyr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по направление 300 градуса към континенталната част на изток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Mollösund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линията от най-южната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Lyr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Björholmen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в северната част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Hakefjorden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— линията, образувана от паралела, преминаващ през 58 01,00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с.ш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Гьотеборг Южен архипелаг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или границата на зона 3 и линията от западната част на пристанище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Arendal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Knippelholmen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Rivö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горния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Rivö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кулата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Känsö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Kårholmen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Rättarens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Askims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nabbe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Öregrund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Norrtälje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 между континенталната част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Gräsö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ограничена на север от меридиана през горния насочен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Öregrund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към морето от линията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Äspskäret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Råstensudde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линията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Singsundet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от мостовете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Fygdströmmen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Dejeudden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Arholma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Tyvö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Norrtälje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Nämdö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или от границата на зона 2 или 3 и от линията от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Tyvö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Idskärskobben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най-западната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Svartlöga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Stenkobbsgrund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Korsö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най-западната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Nämdö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най-южната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Björnö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Dalarö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Torö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Klacknäset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Ornöhuvud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Näset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Ornö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най-северната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Utö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Utö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Älvsnabben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Norra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Stegholmen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Yttre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Gården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Valsudden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Järflotta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Långshedden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Järflotta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най-източната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Torö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lastRenderedPageBreak/>
        <w:t>Torö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—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Oxelösund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или от границата на зона 3 и от линията от църквата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Torö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Fifång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Kockehällan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кулата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Lacka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най-източната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Kittelö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Trutbådan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Beten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Femörehuvud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Svartudden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северно от горния фар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Kungshamn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Bråviken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Slätbaken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и архипелагът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Östergötland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от континенталната част (в западната част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Bråviken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моста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Hamnbron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Norrköping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в западната част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Slätbaken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шлюза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) и от линията от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Gullängsberget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Arkö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Marö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Kupa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Kupa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Klint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най-западната точка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Birkskär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Gubbö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Kupa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Dalaudde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южно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Orren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Средната част на пролива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Kalmar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Зоната, ограничена на запад от континенталната част, на изток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на север от паралела през точка 56 51;00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с.ш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. и на юг от линията от върха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Dunö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(в континенталната част)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Beijerhamn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Öland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E66AEB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ГЛАВА 2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Зона 3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Белгия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Maritime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Scheldt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(надолу от откритото пристанище на Антверпен)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България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Дунав: от км 845,650 до км 374,100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Чешка република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Язовири: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Brněnská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Kníničky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),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Jesenice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Nechranice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Orlík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Rozkoš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Slapy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Těrlicko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Žermanice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Nové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Mlýny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III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Езера, които са кариери за баластра: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Ostrožná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Nová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Ves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Tovačov</w:t>
      </w:r>
      <w:proofErr w:type="spellEnd"/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Германия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76"/>
      </w:tblGrid>
      <w:tr w:rsidR="00DC6E4E" w:rsidRPr="00DC6E4E" w:rsidTr="00DC6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Дунав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ind w:right="195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Kelheim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(км 2 414,72 ) до германско-австрийската граница при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Jochenstein</w:t>
            </w:r>
            <w:proofErr w:type="spellEnd"/>
          </w:p>
        </w:tc>
      </w:tr>
      <w:tr w:rsidR="00DC6E4E" w:rsidRPr="00DC6E4E" w:rsidTr="00DC6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Рейн с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Lampertheimer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Altrhein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(от км 4,75 до Рейн),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Altrhein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Stockstadt-Erfelden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(от км 9,80 до Рейн)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От германско-швейцарската до германско-нидерландската граница</w:t>
            </w:r>
          </w:p>
        </w:tc>
      </w:tr>
      <w:tr w:rsidR="00DC6E4E" w:rsidRPr="00DC6E4E" w:rsidTr="00DC6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Елба (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Norderelbe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), включително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Süderelbe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/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Köhlbrand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От устието на канала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Elbe-Seiten</w:t>
            </w:r>
            <w:proofErr w:type="spellEnd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 xml:space="preserve"> до долната граница на пристанище </w:t>
            </w: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Hamburg</w:t>
            </w:r>
            <w:proofErr w:type="spellEnd"/>
          </w:p>
        </w:tc>
      </w:tr>
      <w:tr w:rsidR="00DC6E4E" w:rsidRPr="00DC6E4E" w:rsidTr="00DC6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60" w:after="60" w:line="240" w:lineRule="auto"/>
              <w:jc w:val="both"/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sz w:val="22"/>
                <w:szCs w:val="22"/>
                <w:lang w:val="bg-BG" w:eastAsia="bg-BG"/>
              </w:rPr>
              <w:t>Müritz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> </w:t>
            </w:r>
          </w:p>
        </w:tc>
      </w:tr>
    </w:tbl>
    <w:p w:rsidR="00D5137F" w:rsidRDefault="00D5137F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</w:pP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lastRenderedPageBreak/>
        <w:t>Франция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Adour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Bec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du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Gave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морето;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Aulne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шлюза при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Châteaulin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напречната граница на морето, определена от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Passage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Rosnoën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Blavet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Pontivy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Pont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du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Bonhomme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>Каналът Кале;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Charente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моста в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Tonnay-Charente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напречната граница на морето, определена от линията, преминаваща през средата на фара за надолу по течението на левия бряг, и през средата на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Fort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la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Pointe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Дордон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мястото на вливане на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Lidoire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Bec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d’Ambès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Гарона от моста при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Castet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en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Dorthe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Bec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d’Ambès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Жиронд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Bec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d’Ambès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на напречната линия при KP 48,50, преминаваща през крайната долна точка на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Ile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Patiras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Hérault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пристанище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Bessan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морето, до горната граница на приливно-отливната зона;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Isle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мястото на вливане на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Dronne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вливането в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Дордон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Лоара от вливането на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Maine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Cordemais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(KP 25);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Марна от моста в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Bonneuil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(KP 169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bis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900) и шлюза при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St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Maur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вливането в Сена;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>Рейн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Nive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бента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Haïtze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при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Ustaritz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вливането в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Adour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Oise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шлюза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Janville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вливането в Сена;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Orb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Sérignan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морето, до горната граница на приливно-отливната зона;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Рона от границата с Швейцария до морето, с изключение на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Petit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Rhône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lastRenderedPageBreak/>
              <w:t>Saône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моста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Pont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Bourgogne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Chalon-sur-Saône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вливането в Рона;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Сена от шлюза в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Nogent-sur-Seine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до началото на канала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Tancarville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Sèvre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Niortaise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шлюза при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Marans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при напречната граница на морето срещу помещението за охрана, до устието;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Сома от страната, която е по течението, на моста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Pont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la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Portelette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в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Abbeville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към виадукта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Noyelles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, до железопътната линия за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Saint-Valéry-sur-Somme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Vilaine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от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Redon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 xml:space="preserve"> (KP 89,345) до бента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Arzal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Amance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Annecy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Biscarosse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Bourget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Carcans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Cazaux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Der-Chantecoq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Guerlédan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Hourtin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Lacanau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Orient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Pareloup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Parentis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lastRenderedPageBreak/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Sanguinet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Serre-Ponçon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;</w:t>
            </w:r>
          </w:p>
        </w:tc>
      </w:tr>
    </w:tbl>
    <w:p w:rsidR="00DC6E4E" w:rsidRPr="00DC6E4E" w:rsidRDefault="00DC6E4E" w:rsidP="00DC2F40">
      <w:pPr>
        <w:shd w:val="clear" w:color="auto" w:fill="FFFFFF"/>
        <w:spacing w:after="0" w:line="240" w:lineRule="auto"/>
        <w:jc w:val="both"/>
        <w:rPr>
          <w:rFonts w:ascii="inherit" w:eastAsia="Times New Roman" w:hAnsi="inherit"/>
          <w:vanish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ascii="inherit" w:eastAsia="Times New Roman" w:hAnsi="inherit"/>
                <w:lang w:val="bg-BG" w:eastAsia="bg-BG"/>
              </w:rPr>
            </w:pPr>
            <w:r w:rsidRPr="00DC6E4E">
              <w:rPr>
                <w:rFonts w:ascii="inherit" w:eastAsia="Times New Roman" w:hAnsi="inherit"/>
                <w:lang w:val="bg-BG" w:eastAsia="bg-BG"/>
              </w:rPr>
              <w:t xml:space="preserve">Езерото </w:t>
            </w:r>
            <w:proofErr w:type="spellStart"/>
            <w:r w:rsidRPr="00DC6E4E">
              <w:rPr>
                <w:rFonts w:ascii="inherit" w:eastAsia="Times New Roman" w:hAnsi="inherit"/>
                <w:lang w:val="bg-BG" w:eastAsia="bg-BG"/>
              </w:rPr>
              <w:t>Temple</w:t>
            </w:r>
            <w:proofErr w:type="spellEnd"/>
            <w:r w:rsidRPr="00DC6E4E">
              <w:rPr>
                <w:rFonts w:ascii="inherit" w:eastAsia="Times New Roman" w:hAnsi="inherit"/>
                <w:lang w:val="bg-BG" w:eastAsia="bg-BG"/>
              </w:rPr>
              <w:t>.</w:t>
            </w:r>
          </w:p>
        </w:tc>
      </w:tr>
    </w:tbl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Хърватия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Дунав от км 1 295 + 500 до км 1 433 + 100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Река Драва: от км 0 до км 198 + 600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Река Сава: от км 210 + 800 до км 594 + 000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Река Купа: от км 0 до км 5 + 900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Уна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0 до км 15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Унгария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Дунав: от км 1 812 до км 1 433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Дунав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Мосон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14 до км 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Дунав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Сентендре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32 до км 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Дунав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Рацкеве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58 до км 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Река Тиса: от км 685 до км 160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Река Драва: от км 198 до км 70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Бодрог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51 до км 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Kettős-Körös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23 до км 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Hármas-Körös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91 до км 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Sió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23 до км 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Velence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Fertő</w:t>
      </w:r>
      <w:proofErr w:type="spellEnd"/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Нидерландия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Рейн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Sneekermeer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Koevordermeer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Heegermeer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Fluessen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Slotermeer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Tjeukemeer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Beulakkerwijde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Belterwijde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Ramsdiep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Ketelmeer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Zwartemeer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Veluwemeer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Eemmeer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Alkmaardermeer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Gouwzee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Buiten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IJ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Аfgesloten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IJ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Noordzeekanaal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пристанището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IJmuiden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пристанищния район на Ротердам,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Nieuwe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Maas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Noord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Oude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Maas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Beneden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Merwede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Nieuwe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Merwede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Dordsche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Kil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Boven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Merwede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Waal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Bijlandsch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Boven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Rijn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Pannersdensch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Geldersche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IJssel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Neder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Rijn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Lek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канала Амстердам—Рейн,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Veerse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Шелде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—Рейн до устието му във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Volkerak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Amer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Bergsche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Maas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Meuse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под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Venlo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Gooimeer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Europort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Calandkanaal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(източно от пристанище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Benelux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),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Hartelkanaal</w:t>
      </w:r>
      <w:proofErr w:type="spellEnd"/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lastRenderedPageBreak/>
        <w:t>Австрия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Дунав: от границата с Германия до границата със Словакия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Ин: от устието до ВЕЦ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Passau-Ingling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Траун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устието до км 1,80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Енс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устието до км 2,70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Морава до км 6,00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Полша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Biebrza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устието на 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Augustowski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Narwia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Brda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връзката с 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Bydgoski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Bygoszcz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Висла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Bug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устието на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Muchawiec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Narwia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Dabie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границата с вътрешните морски води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Augustowski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връзката с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Biebrza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държавната граница заедно с езерата, намиращи се по трасето на този канал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Bartnicki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Ruda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Woda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Bartężek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заедно с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Bartężek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Bydgoski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Elbląski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Druzno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Jeziorak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Szelag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Wielki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заедно с тези езера и езерата, намиращи се по трасето на канала, и отклонението в посока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Zalewo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Jeziorak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Ewingi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, включително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Gliwicki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заедно с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Kędzierzyński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Jagielloński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връзката с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Elbląg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Nogat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Łączański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Ślesiński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езерата, намиращи се по трасето на канала и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Gopło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Żerański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Martwa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Wisła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река Висла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Przegalina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границата с вътрешните морски води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Narew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устието на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Biebrza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Висла, заедно с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Zegrzyński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Nogat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река Висла до устието на лагуната на Висла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Noteć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(горното течение)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Gopło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връзката с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Górnonotecki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Górnonotecki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Noteć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(долното течение) от връзката с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Bydgoski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Warta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Nysa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Łużycka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Gubin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в река Одер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Одер от град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Racibòrz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връзката с река Източен Одер, която става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Regalica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връзката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Klucz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—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Ustovo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заедно с тази река и страничните ѝ ръкави до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Dąbie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както и отклонението на река Одер от шлюза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Opatowice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шлюза в централната част на Вроцлав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lastRenderedPageBreak/>
        <w:t xml:space="preserve">Река Западен Одер от бента във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Widuchowa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(км 704,1 на река Одер) до границата с вътрешните морски води, заедно със страничните ѝ ръкави, както и връзката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Klucz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—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Ustovo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, свързваща река Източен Одер с река Западен Одер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Parnica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връзката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Parnicki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река Западен Одер до границата с вътрешните морски води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Pisa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Roś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Narew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Szkarpawa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река Висла до устието на лагуната на Висла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Warta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Ślesińskie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Одер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Системата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Wielkie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Jeziora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Mazurskie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обхващаща езерата, свързани с реките и каналите, образуващи главния маршрут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Roś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(включително)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Pisz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Węgorzewski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(включително) във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Węgorzewo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заедно с езерата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Seksty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Mikołajskie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Tałty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Tałtowisko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Kotek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Szymon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Szymoneckie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Jagodne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Boczne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Tajty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Kisajno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Dargin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Łabap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Kirsajty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Święcajty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заедно с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Giżycki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Niegociński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Piękna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Góra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и отклонението от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Ryńskie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(включително)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Ryn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Nidzkie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(до 3-тия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което представлява граница с природния резерват на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Nidzkie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), заедно с езерата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Bełdany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Guzianka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Mała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Guzianka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Wielka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Висла от устието на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Przemsza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връзката с канала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Laczanski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както и от устието на този канал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Skawina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устието на река Висла в Гданския залив, с изключение на язовир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Włocławski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Румъния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Дунав: от сръбско-румънската граница (км 1 075) до Черно море по ръкава 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Sulina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 Дунав—Черно море (дължина 64,410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): от сливането с река Дунав на км 299,300 на река Дунав в Черна вода (съответно км 64,410 на канала) до пристанището Констанца Юг–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Агигея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(км „0“ на канала).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Poarta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Albă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—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Midia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Năvodari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(дължина 34,600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): от сливането с канала Дунав—Черно море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29,410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Poarta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Albă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(съответно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27,500 на канала) до пристанището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Midia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(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„0“ на канала).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Словакия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Дунав: от км 1 880,26 до км 1 708,20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Каналът Дунав: от км 1 851,75 до км 1 811,00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Váh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0,00 до км 70,00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>Река Морава: от км 0,00 до км 6,00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Бодрог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: от км 49,68 до км 64,85</w:t>
      </w:r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Язовири: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Oravská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Priehrada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Liptovská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Mara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Zemplínska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Šírava</w:t>
      </w:r>
      <w:proofErr w:type="spellEnd"/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Швеция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Езерото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Mälaren</w:t>
      </w:r>
      <w:proofErr w:type="spellEnd"/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lastRenderedPageBreak/>
        <w:t>Saltsjön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, пристанищата на Стокхолм и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Värmdölandet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 от изходите на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Mälaren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Стокхолм, съответно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Norrström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Slussen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Hammarbyslussen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която е ограничена от континенталната част и моста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Lidingöbron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както и от линията през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Elfviksgrund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по направление 135-315 градуса; линията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Mellangårdsholmen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Högklevsudde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Baggensfjärden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Örsundet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Ingarö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Fågelbrolandet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линията от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Rönnäsudd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през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Tegelhällan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фара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Runö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Talatta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Djurö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линията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Vindöström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между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Vindö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Värmdölandet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; и, отделно от това, от островите в района.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Södertälje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и пристанищата на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Södertälje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Södertälje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пристанищата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Södertälje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ограничени на север от шлюза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Södertälje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на юг от паралела през 59° 09′ 00″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с.ш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Trollhätte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,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Göta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älv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и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Nordre</w:t>
      </w:r>
      <w:proofErr w:type="spellEnd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älv</w:t>
      </w:r>
      <w:proofErr w:type="spellEnd"/>
    </w:p>
    <w:p w:rsidR="00DC6E4E" w:rsidRP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Зоната от паралела през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вехата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Bastugrund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в южната част на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Vänern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моста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Älvsborg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река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Nordre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älv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меридиана през 11° 45′ 00″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и.д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.</w:t>
      </w:r>
    </w:p>
    <w:p w:rsidR="00DC6E4E" w:rsidRPr="00DC6E4E" w:rsidRDefault="00DC6E4E" w:rsidP="00DC2F40">
      <w:pPr>
        <w:shd w:val="clear" w:color="auto" w:fill="FFFFFF"/>
        <w:spacing w:before="240" w:after="120" w:line="240" w:lineRule="auto"/>
        <w:jc w:val="both"/>
        <w:rPr>
          <w:rFonts w:ascii="inherit" w:eastAsia="Times New Roman" w:hAnsi="inherit"/>
          <w:b/>
          <w:bCs/>
          <w:color w:val="000000"/>
          <w:lang w:val="bg-BG" w:eastAsia="bg-BG"/>
        </w:rPr>
      </w:pPr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 xml:space="preserve">Каналът </w:t>
      </w:r>
      <w:proofErr w:type="spellStart"/>
      <w:r w:rsidRPr="00DC6E4E">
        <w:rPr>
          <w:rFonts w:ascii="inherit" w:eastAsia="Times New Roman" w:hAnsi="inherit"/>
          <w:b/>
          <w:bCs/>
          <w:color w:val="000000"/>
          <w:lang w:val="bg-BG" w:eastAsia="bg-BG"/>
        </w:rPr>
        <w:t>Göta</w:t>
      </w:r>
      <w:proofErr w:type="spellEnd"/>
    </w:p>
    <w:p w:rsidR="00DC6E4E" w:rsidRDefault="00DC6E4E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  <w:r w:rsidRPr="00DC6E4E">
        <w:rPr>
          <w:rFonts w:ascii="inherit" w:eastAsia="Times New Roman" w:hAnsi="inherit"/>
          <w:color w:val="000000"/>
          <w:lang w:val="bg-BG" w:eastAsia="bg-BG"/>
        </w:rPr>
        <w:t xml:space="preserve">На изток от шлюза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Mem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моста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Motala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включително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Asplången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,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Roxen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и езерото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Boren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; на запад от меридиана през фара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Rödesund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Norra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Yttre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на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Karlsborg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 xml:space="preserve"> до шлюза в </w:t>
      </w:r>
      <w:proofErr w:type="spellStart"/>
      <w:r w:rsidRPr="00DC6E4E">
        <w:rPr>
          <w:rFonts w:ascii="inherit" w:eastAsia="Times New Roman" w:hAnsi="inherit"/>
          <w:color w:val="000000"/>
          <w:lang w:val="bg-BG" w:eastAsia="bg-BG"/>
        </w:rPr>
        <w:t>Sjötorp</w:t>
      </w:r>
      <w:proofErr w:type="spellEnd"/>
      <w:r w:rsidRPr="00DC6E4E">
        <w:rPr>
          <w:rFonts w:ascii="inherit" w:eastAsia="Times New Roman" w:hAnsi="inherit"/>
          <w:color w:val="000000"/>
          <w:lang w:val="bg-BG" w:eastAsia="bg-BG"/>
        </w:rPr>
        <w:t>, включително езерната система, през която преминава каналът.</w:t>
      </w:r>
    </w:p>
    <w:p w:rsidR="004C5987" w:rsidRPr="00DC6E4E" w:rsidRDefault="004C5987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val="bg-BG" w:eastAsia="bg-B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"/>
        <w:gridCol w:w="9207"/>
      </w:tblGrid>
      <w:tr w:rsidR="00DC6E4E" w:rsidRPr="00DC6E4E" w:rsidTr="00DC6E4E">
        <w:tc>
          <w:tcPr>
            <w:tcW w:w="0" w:type="auto"/>
            <w:shd w:val="clear" w:color="auto" w:fill="auto"/>
            <w:hideMark/>
          </w:tcPr>
          <w:p w:rsidR="00DC6E4E" w:rsidRPr="00DC6E4E" w:rsidRDefault="00DC6E4E" w:rsidP="00DC2F40">
            <w:pPr>
              <w:spacing w:before="120" w:after="0" w:line="240" w:lineRule="auto"/>
              <w:jc w:val="both"/>
              <w:rPr>
                <w:rFonts w:eastAsia="Times New Roman"/>
                <w:sz w:val="20"/>
                <w:szCs w:val="20"/>
                <w:lang w:val="bg-BG" w:eastAsia="bg-BG"/>
              </w:rPr>
            </w:pPr>
            <w:r w:rsidRPr="00DC6E4E">
              <w:rPr>
                <w:rFonts w:eastAsia="Times New Roman"/>
                <w:sz w:val="20"/>
                <w:szCs w:val="20"/>
                <w:lang w:val="bg-BG" w:eastAsia="bg-BG"/>
              </w:rPr>
              <w:t>(</w:t>
            </w:r>
            <w:r w:rsidRPr="00DC6E4E">
              <w:rPr>
                <w:rFonts w:eastAsia="Times New Roman"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DC6E4E">
              <w:rPr>
                <w:rFonts w:eastAsia="Times New Roman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E66AEB" w:rsidRPr="00DC2F40" w:rsidRDefault="00DC6E4E" w:rsidP="00E66AEB">
            <w:pPr>
              <w:tabs>
                <w:tab w:val="left" w:pos="630"/>
              </w:tabs>
              <w:jc w:val="both"/>
              <w:rPr>
                <w:b/>
                <w:i/>
              </w:rPr>
            </w:pPr>
            <w:r w:rsidRPr="00DC6E4E">
              <w:rPr>
                <w:rFonts w:eastAsia="Times New Roman"/>
                <w:sz w:val="20"/>
                <w:szCs w:val="20"/>
                <w:lang w:val="bg-BG" w:eastAsia="bg-BG"/>
              </w:rPr>
              <w:t xml:space="preserve">В случаите на плавателни съдове, които са базирани в пристанище другаде, трябва да се вземе под внимание член 32 от Договора </w:t>
            </w:r>
            <w:proofErr w:type="spellStart"/>
            <w:r w:rsidRPr="00DC6E4E">
              <w:rPr>
                <w:rFonts w:eastAsia="Times New Roman"/>
                <w:sz w:val="20"/>
                <w:szCs w:val="20"/>
                <w:lang w:val="bg-BG" w:eastAsia="bg-BG"/>
              </w:rPr>
              <w:t>Ems-Dollart</w:t>
            </w:r>
            <w:proofErr w:type="spellEnd"/>
            <w:r w:rsidRPr="00DC6E4E">
              <w:rPr>
                <w:rFonts w:eastAsia="Times New Roman"/>
                <w:sz w:val="20"/>
                <w:szCs w:val="20"/>
                <w:lang w:val="bg-BG" w:eastAsia="bg-BG"/>
              </w:rPr>
              <w:t xml:space="preserve"> от 8 април 1960 г. (</w:t>
            </w:r>
            <w:proofErr w:type="spellStart"/>
            <w:r w:rsidRPr="00DC6E4E">
              <w:rPr>
                <w:rFonts w:eastAsia="Times New Roman"/>
                <w:sz w:val="20"/>
                <w:szCs w:val="20"/>
                <w:lang w:val="bg-BG" w:eastAsia="bg-BG"/>
              </w:rPr>
              <w:t>BGBl</w:t>
            </w:r>
            <w:proofErr w:type="spellEnd"/>
            <w:r w:rsidRPr="00DC6E4E">
              <w:rPr>
                <w:rFonts w:eastAsia="Times New Roman"/>
                <w:sz w:val="20"/>
                <w:szCs w:val="20"/>
                <w:lang w:val="bg-BG" w:eastAsia="bg-BG"/>
              </w:rPr>
              <w:t>, 1963 II, стр. 602).</w:t>
            </w:r>
            <w:r w:rsidR="00E66AEB" w:rsidRPr="00DC6E4E">
              <w:rPr>
                <w:rFonts w:eastAsia="Times New Roman"/>
                <w:color w:val="000000"/>
                <w:shd w:val="clear" w:color="auto" w:fill="FFFFFF"/>
                <w:lang w:val="bg-BG" w:eastAsia="bg-BG"/>
              </w:rPr>
              <w:t>“</w:t>
            </w:r>
          </w:p>
          <w:p w:rsidR="00DC6E4E" w:rsidRPr="00DC6E4E" w:rsidRDefault="00DC6E4E" w:rsidP="00DC2F4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bg-BG" w:eastAsia="bg-BG"/>
              </w:rPr>
            </w:pPr>
          </w:p>
        </w:tc>
      </w:tr>
    </w:tbl>
    <w:p w:rsidR="00EF566B" w:rsidRPr="00A66EA4" w:rsidRDefault="00DC6E4E" w:rsidP="00950686">
      <w:pPr>
        <w:spacing w:after="0" w:line="240" w:lineRule="auto"/>
        <w:jc w:val="both"/>
        <w:rPr>
          <w:lang w:val="bg-BG"/>
        </w:rPr>
      </w:pPr>
      <w:r>
        <w:rPr>
          <w:b/>
          <w:lang w:val="bg-BG"/>
        </w:rPr>
        <w:t>§ 2</w:t>
      </w:r>
      <w:r w:rsidR="00821738" w:rsidRPr="00A66EA4">
        <w:rPr>
          <w:b/>
          <w:lang w:val="bg-BG"/>
        </w:rPr>
        <w:t>.</w:t>
      </w:r>
      <w:r w:rsidR="00821738" w:rsidRPr="00A66EA4">
        <w:rPr>
          <w:lang w:val="bg-BG"/>
        </w:rPr>
        <w:t xml:space="preserve"> Приложение № 2 </w:t>
      </w:r>
      <w:r w:rsidR="00731AF6" w:rsidRPr="00A66EA4">
        <w:rPr>
          <w:lang w:val="bg-BG"/>
        </w:rPr>
        <w:t xml:space="preserve">се </w:t>
      </w:r>
      <w:r w:rsidR="00EF566B" w:rsidRPr="00A66EA4">
        <w:rPr>
          <w:lang w:val="bg-BG"/>
        </w:rPr>
        <w:t>изменя така:</w:t>
      </w:r>
    </w:p>
    <w:p w:rsidR="007740BA" w:rsidRDefault="00EF566B" w:rsidP="00DC6E4E">
      <w:pPr>
        <w:spacing w:after="0" w:line="240" w:lineRule="auto"/>
        <w:ind w:left="5760" w:firstLine="720"/>
        <w:jc w:val="both"/>
        <w:rPr>
          <w:lang w:val="bg-BG"/>
        </w:rPr>
      </w:pPr>
      <w:r w:rsidRPr="00A66EA4">
        <w:rPr>
          <w:lang w:val="bg-BG"/>
        </w:rPr>
        <w:t>„</w:t>
      </w:r>
      <w:r w:rsidR="00950686" w:rsidRPr="00A66EA4">
        <w:rPr>
          <w:lang w:val="bg-BG"/>
        </w:rPr>
        <w:t>Приложение № 2</w:t>
      </w:r>
      <w:r w:rsidR="00DC6E4E" w:rsidRPr="00A66EA4">
        <w:rPr>
          <w:lang w:val="bg-BG"/>
        </w:rPr>
        <w:t xml:space="preserve"> </w:t>
      </w:r>
    </w:p>
    <w:p w:rsidR="00DC6E4E" w:rsidRPr="00A66EA4" w:rsidRDefault="00DC6E4E" w:rsidP="00DC6E4E">
      <w:pPr>
        <w:spacing w:after="0" w:line="240" w:lineRule="auto"/>
        <w:ind w:left="5760" w:firstLine="720"/>
        <w:jc w:val="both"/>
        <w:rPr>
          <w:lang w:val="bg-BG"/>
        </w:rPr>
      </w:pPr>
      <w:r w:rsidRPr="00A66EA4">
        <w:rPr>
          <w:lang w:val="bg-BG"/>
        </w:rPr>
        <w:t>към чл. 5</w:t>
      </w:r>
    </w:p>
    <w:p w:rsidR="00950686" w:rsidRPr="00DC6E4E" w:rsidRDefault="00950686" w:rsidP="00DC6E4E">
      <w:pPr>
        <w:spacing w:after="0" w:line="240" w:lineRule="auto"/>
        <w:ind w:left="5040" w:firstLine="720"/>
        <w:jc w:val="both"/>
      </w:pPr>
    </w:p>
    <w:p w:rsidR="00DC2F40" w:rsidRPr="00DC2F40" w:rsidRDefault="00DC2F40" w:rsidP="00DC2F40">
      <w:pPr>
        <w:shd w:val="clear" w:color="auto" w:fill="FFFFFF"/>
        <w:spacing w:before="240" w:after="120" w:line="240" w:lineRule="auto"/>
        <w:jc w:val="center"/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</w:pPr>
      <w:r w:rsidRPr="00DC2F40">
        <w:rPr>
          <w:rFonts w:ascii="inherit" w:eastAsia="Times New Roman" w:hAnsi="inherit"/>
          <w:b/>
          <w:bCs/>
          <w:i/>
          <w:iCs/>
          <w:color w:val="000000"/>
          <w:lang w:val="bg-BG" w:eastAsia="bg-BG"/>
        </w:rPr>
        <w:t>МИНИМАЛНИ ТЕХНИЧЕСКИ ИЗИСКВАНИЯ, ПРИЛОЖИМИ ЗА ПЛАВАТЕЛНИТЕ СЪДОВЕ ПО ВЪТРЕШНИТЕ ВОДНИ ПЪТИЩА ОТ ЗОНИ 1, 2, 3 И 4</w:t>
      </w:r>
    </w:p>
    <w:p w:rsidR="00950686" w:rsidRPr="00DC2F40" w:rsidRDefault="00DC2F40" w:rsidP="00DC2F40">
      <w:pPr>
        <w:shd w:val="clear" w:color="auto" w:fill="FFFFFF"/>
        <w:spacing w:before="120" w:after="0" w:line="240" w:lineRule="auto"/>
        <w:jc w:val="both"/>
        <w:rPr>
          <w:rFonts w:ascii="inherit" w:eastAsia="Times New Roman" w:hAnsi="inherit"/>
          <w:color w:val="000000"/>
          <w:lang w:eastAsia="bg-BG"/>
        </w:rPr>
      </w:pPr>
      <w:r w:rsidRPr="00DC2F40">
        <w:rPr>
          <w:rFonts w:ascii="inherit" w:eastAsia="Times New Roman" w:hAnsi="inherit"/>
          <w:color w:val="000000"/>
          <w:lang w:val="bg-BG" w:eastAsia="bg-BG"/>
        </w:rPr>
        <w:t>Техническите изисквания, приложими към плавателните съдове, са изискванията, определени в ES-TRIN 2021/1.</w:t>
      </w:r>
    </w:p>
    <w:p w:rsidR="00950686" w:rsidRDefault="00950686" w:rsidP="00950686">
      <w:pPr>
        <w:spacing w:after="0" w:line="240" w:lineRule="auto"/>
        <w:jc w:val="both"/>
        <w:rPr>
          <w:lang w:val="bg-BG"/>
        </w:rPr>
      </w:pPr>
    </w:p>
    <w:p w:rsidR="00E66AEB" w:rsidRPr="00A66EA4" w:rsidRDefault="00E66AEB" w:rsidP="00950686">
      <w:pPr>
        <w:spacing w:after="0" w:line="240" w:lineRule="auto"/>
        <w:jc w:val="both"/>
        <w:rPr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C31A0E" w:rsidRDefault="00C31A0E" w:rsidP="00950686">
      <w:pPr>
        <w:spacing w:after="0" w:line="240" w:lineRule="auto"/>
        <w:jc w:val="both"/>
        <w:rPr>
          <w:b/>
          <w:lang w:val="bg-BG"/>
        </w:rPr>
      </w:pPr>
    </w:p>
    <w:p w:rsidR="00821738" w:rsidRPr="00A66EA4" w:rsidRDefault="00DC6E4E" w:rsidP="00950686">
      <w:pPr>
        <w:spacing w:after="0" w:line="240" w:lineRule="auto"/>
        <w:jc w:val="both"/>
        <w:rPr>
          <w:lang w:val="bg-BG"/>
        </w:rPr>
      </w:pPr>
      <w:r>
        <w:rPr>
          <w:b/>
          <w:lang w:val="bg-BG"/>
        </w:rPr>
        <w:lastRenderedPageBreak/>
        <w:t>§ 3</w:t>
      </w:r>
      <w:r w:rsidR="00731AF6" w:rsidRPr="00A66EA4">
        <w:rPr>
          <w:b/>
          <w:lang w:val="bg-BG"/>
        </w:rPr>
        <w:t>.</w:t>
      </w:r>
      <w:r w:rsidR="00731AF6" w:rsidRPr="00A66EA4">
        <w:rPr>
          <w:lang w:val="bg-BG"/>
        </w:rPr>
        <w:t xml:space="preserve"> </w:t>
      </w:r>
      <w:bookmarkStart w:id="0" w:name="_GoBack"/>
      <w:r w:rsidR="00731AF6" w:rsidRPr="00A66EA4">
        <w:rPr>
          <w:rStyle w:val="samedocreference1"/>
          <w:color w:val="auto"/>
          <w:u w:val="none"/>
          <w:lang w:val="bg-BG"/>
        </w:rPr>
        <w:t xml:space="preserve">Приложение № 2 </w:t>
      </w:r>
      <w:r w:rsidR="00731AF6" w:rsidRPr="00A66EA4">
        <w:rPr>
          <w:lang w:val="bg-BG"/>
        </w:rPr>
        <w:t xml:space="preserve">се обнародва като </w:t>
      </w:r>
      <w:hyperlink r:id="rId4" w:tgtFrame="_blank" w:history="1">
        <w:r w:rsidR="00731AF6" w:rsidRPr="00A66EA4">
          <w:rPr>
            <w:rStyle w:val="Hyperlink"/>
            <w:color w:val="auto"/>
            <w:u w:val="none"/>
            <w:lang w:val="bg-BG"/>
          </w:rPr>
          <w:t>притурка</w:t>
        </w:r>
      </w:hyperlink>
      <w:r w:rsidR="00731AF6" w:rsidRPr="00A66EA4">
        <w:rPr>
          <w:lang w:val="bg-BG"/>
        </w:rPr>
        <w:t xml:space="preserve"> на </w:t>
      </w:r>
      <w:r w:rsidR="00950686" w:rsidRPr="00A66EA4">
        <w:rPr>
          <w:lang w:val="bg-BG"/>
        </w:rPr>
        <w:t>„</w:t>
      </w:r>
      <w:r w:rsidR="00731AF6" w:rsidRPr="00A66EA4">
        <w:rPr>
          <w:lang w:val="bg-BG"/>
        </w:rPr>
        <w:t>Държавен вестник</w:t>
      </w:r>
      <w:r w:rsidR="00950686" w:rsidRPr="00A66EA4">
        <w:rPr>
          <w:lang w:val="bg-BG"/>
        </w:rPr>
        <w:t>“</w:t>
      </w:r>
      <w:r w:rsidR="00821738" w:rsidRPr="00A66EA4">
        <w:rPr>
          <w:lang w:val="bg-BG"/>
        </w:rPr>
        <w:t>.</w:t>
      </w:r>
    </w:p>
    <w:p w:rsidR="00E66AEB" w:rsidRDefault="00E66AEB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A66EA4" w:rsidRPr="00A66EA4" w:rsidRDefault="004C5987" w:rsidP="004C5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noProof/>
          <w:lang w:val="bg-BG"/>
        </w:rPr>
      </w:pPr>
      <w:r>
        <w:rPr>
          <w:b/>
          <w:noProof/>
          <w:lang w:val="bg-BG"/>
        </w:rPr>
        <w:t>Заключителна разпоредба</w:t>
      </w:r>
    </w:p>
    <w:p w:rsidR="00E66AEB" w:rsidRDefault="00E66AEB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4C5987" w:rsidRPr="00E66AEB" w:rsidRDefault="004C5987" w:rsidP="00E66AEB">
      <w:pPr>
        <w:spacing w:after="0" w:line="240" w:lineRule="auto"/>
        <w:jc w:val="both"/>
        <w:rPr>
          <w:lang w:val="bg-BG"/>
        </w:rPr>
      </w:pPr>
      <w:r>
        <w:rPr>
          <w:b/>
          <w:lang w:val="bg-BG"/>
        </w:rPr>
        <w:t>§ 4</w:t>
      </w:r>
      <w:r w:rsidRPr="00A66EA4">
        <w:rPr>
          <w:b/>
          <w:lang w:val="bg-BG"/>
        </w:rPr>
        <w:t>.</w:t>
      </w:r>
      <w:r w:rsidRPr="00A66EA4">
        <w:rPr>
          <w:lang w:val="bg-BG"/>
        </w:rPr>
        <w:t xml:space="preserve"> </w:t>
      </w:r>
      <w:r>
        <w:rPr>
          <w:rStyle w:val="samedocreference1"/>
          <w:color w:val="auto"/>
          <w:u w:val="none"/>
          <w:lang w:val="bg-BG"/>
        </w:rPr>
        <w:t xml:space="preserve">Наредбата влиза в сила от деня на обнародването й в </w:t>
      </w:r>
      <w:r w:rsidR="00C31A0E">
        <w:rPr>
          <w:rStyle w:val="samedocreference1"/>
          <w:color w:val="auto"/>
          <w:u w:val="none"/>
          <w:lang w:val="bg-BG"/>
        </w:rPr>
        <w:t>„</w:t>
      </w:r>
      <w:r>
        <w:rPr>
          <w:rStyle w:val="samedocreference1"/>
          <w:color w:val="auto"/>
          <w:u w:val="none"/>
          <w:lang w:val="bg-BG"/>
        </w:rPr>
        <w:t>Дъ</w:t>
      </w:r>
      <w:r w:rsidR="00D5137F">
        <w:rPr>
          <w:rStyle w:val="samedocreference1"/>
          <w:color w:val="auto"/>
          <w:u w:val="none"/>
          <w:lang w:val="bg-BG"/>
        </w:rPr>
        <w:t>ржавен вестник</w:t>
      </w:r>
      <w:r w:rsidR="00C31A0E">
        <w:rPr>
          <w:rStyle w:val="samedocreference1"/>
          <w:color w:val="auto"/>
          <w:u w:val="none"/>
          <w:lang w:val="bg-BG"/>
        </w:rPr>
        <w:t>“</w:t>
      </w:r>
      <w:r w:rsidR="00D5137F">
        <w:rPr>
          <w:rStyle w:val="samedocreference1"/>
          <w:color w:val="auto"/>
          <w:u w:val="none"/>
          <w:lang w:val="bg-BG"/>
        </w:rPr>
        <w:t>.</w:t>
      </w:r>
    </w:p>
    <w:p w:rsidR="00E66AEB" w:rsidRDefault="00E66AEB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E66AEB" w:rsidRDefault="00E66AEB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C31A0E" w:rsidRDefault="00C31A0E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C31A0E" w:rsidRDefault="00C31A0E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D5137F" w:rsidRPr="00A66EA4" w:rsidRDefault="00D5137F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</w:p>
    <w:p w:rsidR="00821738" w:rsidRPr="00D5137F" w:rsidRDefault="00D5137F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noProof/>
          <w:lang w:val="bg-BG"/>
        </w:rPr>
      </w:pPr>
      <w:r>
        <w:rPr>
          <w:b/>
          <w:noProof/>
          <w:lang w:val="bg-BG"/>
        </w:rPr>
        <w:t>Николай Събев</w:t>
      </w:r>
    </w:p>
    <w:p w:rsidR="00821738" w:rsidRPr="004C5987" w:rsidRDefault="00D5137F" w:rsidP="0095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noProof/>
          <w:lang w:val="bg-BG"/>
        </w:rPr>
      </w:pPr>
      <w:r>
        <w:rPr>
          <w:i/>
          <w:noProof/>
          <w:lang w:val="bg-BG"/>
        </w:rPr>
        <w:t xml:space="preserve">Министър на транспорта </w:t>
      </w:r>
      <w:r w:rsidR="00821738" w:rsidRPr="00A66EA4">
        <w:rPr>
          <w:i/>
          <w:noProof/>
          <w:lang w:val="bg-BG"/>
        </w:rPr>
        <w:t>и съобщенията</w:t>
      </w:r>
      <w:bookmarkEnd w:id="0"/>
    </w:p>
    <w:sectPr w:rsidR="00821738" w:rsidRPr="004C5987" w:rsidSect="00291F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38"/>
    <w:rsid w:val="000B1954"/>
    <w:rsid w:val="000C55F4"/>
    <w:rsid w:val="00165D4F"/>
    <w:rsid w:val="00204C1F"/>
    <w:rsid w:val="00220347"/>
    <w:rsid w:val="0046439D"/>
    <w:rsid w:val="004C5987"/>
    <w:rsid w:val="004E32CA"/>
    <w:rsid w:val="005D73D4"/>
    <w:rsid w:val="0069433C"/>
    <w:rsid w:val="007000F3"/>
    <w:rsid w:val="00731AF6"/>
    <w:rsid w:val="007740BA"/>
    <w:rsid w:val="00781033"/>
    <w:rsid w:val="00821738"/>
    <w:rsid w:val="00846C3F"/>
    <w:rsid w:val="0089025A"/>
    <w:rsid w:val="0094089B"/>
    <w:rsid w:val="00950686"/>
    <w:rsid w:val="0096609D"/>
    <w:rsid w:val="00A42D19"/>
    <w:rsid w:val="00A66EA4"/>
    <w:rsid w:val="00B463ED"/>
    <w:rsid w:val="00B9093C"/>
    <w:rsid w:val="00B91438"/>
    <w:rsid w:val="00C31A0E"/>
    <w:rsid w:val="00CB12EC"/>
    <w:rsid w:val="00D5137F"/>
    <w:rsid w:val="00DB5804"/>
    <w:rsid w:val="00DC2F40"/>
    <w:rsid w:val="00DC6E4E"/>
    <w:rsid w:val="00DE054D"/>
    <w:rsid w:val="00E138FC"/>
    <w:rsid w:val="00E66AEB"/>
    <w:rsid w:val="00EB29CA"/>
    <w:rsid w:val="00EB5CF7"/>
    <w:rsid w:val="00EF566B"/>
    <w:rsid w:val="00F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D8DE-9404-456B-B294-ED281E9B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73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821738"/>
    <w:rPr>
      <w:rFonts w:ascii="Arial" w:eastAsia="Times New Roman" w:hAnsi="Arial" w:cs="Times New Roman"/>
      <w:sz w:val="24"/>
      <w:szCs w:val="20"/>
    </w:rPr>
  </w:style>
  <w:style w:type="paragraph" w:customStyle="1" w:styleId="title30">
    <w:name w:val="title30"/>
    <w:basedOn w:val="Normal"/>
    <w:rsid w:val="0082173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</w:rPr>
  </w:style>
  <w:style w:type="character" w:customStyle="1" w:styleId="samedocreference1">
    <w:name w:val="samedocreference1"/>
    <w:basedOn w:val="DefaultParagraphFont"/>
    <w:rsid w:val="00821738"/>
    <w:rPr>
      <w:i w:val="0"/>
      <w:iCs w:val="0"/>
      <w:color w:val="8B0000"/>
      <w:u w:val="single"/>
    </w:rPr>
  </w:style>
  <w:style w:type="character" w:customStyle="1" w:styleId="search33">
    <w:name w:val="search33"/>
    <w:basedOn w:val="DefaultParagraphFont"/>
    <w:rsid w:val="00821738"/>
    <w:rPr>
      <w:shd w:val="clear" w:color="auto" w:fill="EBBE51"/>
    </w:rPr>
  </w:style>
  <w:style w:type="character" w:styleId="Hyperlink">
    <w:name w:val="Hyperlink"/>
    <w:basedOn w:val="DefaultParagraphFont"/>
    <w:uiPriority w:val="99"/>
    <w:semiHidden/>
    <w:unhideWhenUsed/>
    <w:rsid w:val="00731A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89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.parliament.bg/DVWeb/fileUploadShowing.jsp?idFileAtt=321318&amp;allowCache=true&amp;openDirectly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ekarakoleva</dc:creator>
  <cp:lastModifiedBy>Ilia Jordanov</cp:lastModifiedBy>
  <cp:revision>3</cp:revision>
  <cp:lastPrinted>2020-01-07T12:04:00Z</cp:lastPrinted>
  <dcterms:created xsi:type="dcterms:W3CDTF">2022-02-02T13:36:00Z</dcterms:created>
  <dcterms:modified xsi:type="dcterms:W3CDTF">2022-02-02T13:37:00Z</dcterms:modified>
</cp:coreProperties>
</file>