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12" w:rsidRDefault="00B030B7" w:rsidP="00A63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7F015D">
        <w:rPr>
          <w:rFonts w:ascii="Times New Roman" w:hAnsi="Times New Roman" w:cs="Times New Roman"/>
          <w:b/>
          <w:sz w:val="24"/>
          <w:szCs w:val="24"/>
        </w:rPr>
        <w:t>ЪТ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ВЪЗСТАНОВЯВАНЕ</w:t>
      </w:r>
      <w:bookmarkEnd w:id="0"/>
      <w:r w:rsidR="007F015D">
        <w:rPr>
          <w:rFonts w:ascii="Times New Roman" w:hAnsi="Times New Roman" w:cs="Times New Roman"/>
          <w:b/>
          <w:sz w:val="24"/>
          <w:szCs w:val="24"/>
        </w:rPr>
        <w:t xml:space="preserve"> И НАЧИНЪТ, ПО КОЙТО ЩЕ СЕ ИНВЕСТИРАТ СРЕДСТВАТА ОТ ФОНДА „СЛЕДВАЩО ПОКОЛЕНИЕ НА ЕС“</w:t>
      </w:r>
    </w:p>
    <w:p w:rsidR="005B6661" w:rsidRDefault="005B6661" w:rsidP="00A63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E12" w:rsidRPr="00A63E12" w:rsidRDefault="00A63E12" w:rsidP="00A63E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63E12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A63E12" w:rsidRPr="001A44E0" w:rsidRDefault="0014436B" w:rsidP="00E11F6A">
      <w:pPr>
        <w:pStyle w:val="Bodytext20"/>
        <w:shd w:val="clear" w:color="auto" w:fill="auto"/>
        <w:spacing w:after="24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7164">
        <w:rPr>
          <w:rFonts w:ascii="Times New Roman" w:hAnsi="Times New Roman" w:cs="Times New Roman"/>
          <w:sz w:val="24"/>
          <w:szCs w:val="24"/>
        </w:rPr>
        <w:t xml:space="preserve">Средствата от </w:t>
      </w:r>
      <w:r w:rsidR="003B667E">
        <w:rPr>
          <w:rFonts w:ascii="Times New Roman" w:hAnsi="Times New Roman" w:cs="Times New Roman"/>
          <w:sz w:val="24"/>
          <w:szCs w:val="24"/>
        </w:rPr>
        <w:t xml:space="preserve">фонд „Следващо поколение ЕС“ </w:t>
      </w:r>
      <w:r w:rsidR="00A63E12" w:rsidRPr="001A44E0">
        <w:rPr>
          <w:rFonts w:ascii="Times New Roman" w:hAnsi="Times New Roman" w:cs="Times New Roman"/>
          <w:sz w:val="24"/>
          <w:szCs w:val="24"/>
        </w:rPr>
        <w:t>ще бъдат инвестирани по стълбове, чрез безвъзмездни средства от 500 млрд. евро и 250 млрд.</w:t>
      </w:r>
      <w:r w:rsidR="00A63E12">
        <w:rPr>
          <w:rFonts w:ascii="Times New Roman" w:hAnsi="Times New Roman" w:cs="Times New Roman"/>
          <w:sz w:val="24"/>
          <w:szCs w:val="24"/>
        </w:rPr>
        <w:t xml:space="preserve"> евро заеми за държавите</w:t>
      </w:r>
      <w:r w:rsidR="003B6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E12">
        <w:rPr>
          <w:rFonts w:ascii="Times New Roman" w:hAnsi="Times New Roman" w:cs="Times New Roman"/>
          <w:sz w:val="24"/>
          <w:szCs w:val="24"/>
        </w:rPr>
        <w:t>членки:</w:t>
      </w:r>
    </w:p>
    <w:p w:rsidR="00A63E12" w:rsidRPr="001A44E0" w:rsidRDefault="00E11F6A" w:rsidP="00E11F6A">
      <w:pPr>
        <w:pStyle w:val="Bodytext30"/>
        <w:numPr>
          <w:ilvl w:val="1"/>
          <w:numId w:val="9"/>
        </w:numPr>
        <w:shd w:val="clear" w:color="auto" w:fill="auto"/>
        <w:spacing w:before="0" w:after="24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3NotBold"/>
          <w:rFonts w:eastAsiaTheme="minorHAnsi"/>
          <w:lang w:val="bg-BG"/>
        </w:rPr>
        <w:t xml:space="preserve"> </w:t>
      </w:r>
      <w:r w:rsidR="00A63E12" w:rsidRPr="001A44E0">
        <w:rPr>
          <w:rStyle w:val="Bodytext3NotBold"/>
          <w:rFonts w:eastAsiaTheme="minorHAnsi"/>
          <w:lang w:val="bg-BG"/>
        </w:rPr>
        <w:t xml:space="preserve">Първият стълб е подкрепа </w:t>
      </w:r>
      <w:r w:rsidR="0014436B">
        <w:rPr>
          <w:rFonts w:ascii="Times New Roman" w:hAnsi="Times New Roman" w:cs="Times New Roman"/>
          <w:b w:val="0"/>
          <w:sz w:val="24"/>
          <w:szCs w:val="24"/>
        </w:rPr>
        <w:t>за държавите</w:t>
      </w:r>
      <w:r w:rsidR="003B66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3E12" w:rsidRPr="001A44E0">
        <w:rPr>
          <w:rFonts w:ascii="Times New Roman" w:hAnsi="Times New Roman" w:cs="Times New Roman"/>
          <w:b w:val="0"/>
          <w:sz w:val="24"/>
          <w:szCs w:val="24"/>
        </w:rPr>
        <w:t xml:space="preserve">членки за инвестиции </w:t>
      </w:r>
      <w:r>
        <w:rPr>
          <w:rFonts w:ascii="Times New Roman" w:hAnsi="Times New Roman" w:cs="Times New Roman"/>
          <w:b w:val="0"/>
          <w:sz w:val="24"/>
          <w:szCs w:val="24"/>
        </w:rPr>
        <w:t>и реформи за справяне с кризата и включва:</w:t>
      </w:r>
    </w:p>
    <w:p w:rsidR="00A63E12" w:rsidRPr="001A44E0" w:rsidRDefault="00A63E12" w:rsidP="00A63E12">
      <w:pPr>
        <w:pStyle w:val="Bodytext30"/>
        <w:numPr>
          <w:ilvl w:val="0"/>
          <w:numId w:val="2"/>
        </w:numPr>
        <w:shd w:val="clear" w:color="auto" w:fill="auto"/>
        <w:spacing w:before="0" w:after="240" w:line="274" w:lineRule="exact"/>
        <w:ind w:left="74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44E0">
        <w:rPr>
          <w:rStyle w:val="Bodytext2Bold"/>
          <w:rFonts w:eastAsiaTheme="minorHAnsi"/>
          <w:lang w:val="bg-BG"/>
        </w:rPr>
        <w:t xml:space="preserve">Нов </w:t>
      </w:r>
      <w:r w:rsidR="0014436B" w:rsidRPr="0014436B">
        <w:rPr>
          <w:rFonts w:ascii="Times New Roman" w:hAnsi="Times New Roman" w:cs="Times New Roman"/>
          <w:sz w:val="24"/>
          <w:szCs w:val="24"/>
        </w:rPr>
        <w:t>М</w:t>
      </w:r>
      <w:r w:rsidRPr="0014436B">
        <w:rPr>
          <w:rFonts w:ascii="Times New Roman" w:hAnsi="Times New Roman" w:cs="Times New Roman"/>
          <w:sz w:val="24"/>
          <w:szCs w:val="24"/>
        </w:rPr>
        <w:t>еханизъм за възстановяване и устойчивост</w:t>
      </w:r>
      <w:r w:rsidRPr="0014436B">
        <w:rPr>
          <w:rStyle w:val="Bodytext2Bold"/>
          <w:rFonts w:eastAsiaTheme="minorHAnsi"/>
          <w:lang w:val="bg-BG"/>
        </w:rPr>
        <w:t xml:space="preserve"> с бюджет от</w:t>
      </w:r>
      <w:r w:rsidRPr="001A44E0">
        <w:rPr>
          <w:rStyle w:val="Bodytext2Bold"/>
          <w:rFonts w:eastAsiaTheme="minorHAnsi"/>
          <w:lang w:val="bg-BG"/>
        </w:rPr>
        <w:t xml:space="preserve"> </w:t>
      </w:r>
      <w:r w:rsidRPr="0014436B">
        <w:rPr>
          <w:rStyle w:val="Bodytext2Bold"/>
          <w:rFonts w:eastAsiaTheme="minorHAnsi"/>
          <w:b/>
          <w:lang w:val="bg-BG"/>
        </w:rPr>
        <w:t xml:space="preserve">560 млрд. </w:t>
      </w:r>
      <w:r w:rsidRPr="0014436B">
        <w:rPr>
          <w:rFonts w:ascii="Times New Roman" w:hAnsi="Times New Roman" w:cs="Times New Roman"/>
          <w:b w:val="0"/>
          <w:sz w:val="24"/>
          <w:szCs w:val="24"/>
        </w:rPr>
        <w:t>евро</w:t>
      </w:r>
      <w:r w:rsidRPr="001A44E0">
        <w:rPr>
          <w:rFonts w:ascii="Times New Roman" w:hAnsi="Times New Roman" w:cs="Times New Roman"/>
          <w:b w:val="0"/>
          <w:sz w:val="24"/>
          <w:szCs w:val="24"/>
        </w:rPr>
        <w:t xml:space="preserve"> — разпределени в безвъзмез</w:t>
      </w:r>
      <w:r w:rsidR="0014436B">
        <w:rPr>
          <w:rFonts w:ascii="Times New Roman" w:hAnsi="Times New Roman" w:cs="Times New Roman"/>
          <w:b w:val="0"/>
          <w:sz w:val="24"/>
          <w:szCs w:val="24"/>
        </w:rPr>
        <w:t>дни средства и заеми. Държавите</w:t>
      </w:r>
      <w:r w:rsidR="003B66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44E0">
        <w:rPr>
          <w:rFonts w:ascii="Times New Roman" w:hAnsi="Times New Roman" w:cs="Times New Roman"/>
          <w:b w:val="0"/>
          <w:sz w:val="24"/>
          <w:szCs w:val="24"/>
        </w:rPr>
        <w:t xml:space="preserve">членки ще изготвят </w:t>
      </w:r>
      <w:r w:rsidRPr="00BA7164">
        <w:rPr>
          <w:rFonts w:ascii="Times New Roman" w:hAnsi="Times New Roman" w:cs="Times New Roman"/>
          <w:sz w:val="24"/>
          <w:szCs w:val="24"/>
        </w:rPr>
        <w:t>свои собствени национални планове</w:t>
      </w:r>
      <w:r w:rsidRPr="001A44E0">
        <w:rPr>
          <w:rFonts w:ascii="Times New Roman" w:hAnsi="Times New Roman" w:cs="Times New Roman"/>
          <w:b w:val="0"/>
          <w:sz w:val="24"/>
          <w:szCs w:val="24"/>
        </w:rPr>
        <w:t xml:space="preserve"> за възстановяване въз основа на приоритетите за инвестиции и реформи. </w:t>
      </w:r>
    </w:p>
    <w:p w:rsidR="00A63E12" w:rsidRPr="001A44E0" w:rsidRDefault="00A63E12" w:rsidP="00A63E12">
      <w:pPr>
        <w:pStyle w:val="Bodytext20"/>
        <w:numPr>
          <w:ilvl w:val="0"/>
          <w:numId w:val="2"/>
        </w:numPr>
        <w:shd w:val="clear" w:color="auto" w:fill="auto"/>
        <w:spacing w:after="236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62505">
        <w:rPr>
          <w:rStyle w:val="Bodytext2Bold"/>
          <w:rFonts w:eastAsiaTheme="minorHAnsi"/>
          <w:b w:val="0"/>
          <w:lang w:val="bg-BG"/>
        </w:rPr>
        <w:t>Нова</w:t>
      </w:r>
      <w:r w:rsidRPr="001A44E0">
        <w:rPr>
          <w:rStyle w:val="Bodytext2Bold"/>
          <w:rFonts w:eastAsiaTheme="minorHAnsi"/>
          <w:lang w:val="bg-BG"/>
        </w:rPr>
        <w:t xml:space="preserve"> </w:t>
      </w:r>
      <w:r w:rsidRPr="001A44E0">
        <w:rPr>
          <w:rFonts w:ascii="Times New Roman" w:hAnsi="Times New Roman" w:cs="Times New Roman"/>
          <w:sz w:val="24"/>
          <w:szCs w:val="24"/>
        </w:rPr>
        <w:t xml:space="preserve">инициатива, </w:t>
      </w:r>
      <w:r w:rsidRPr="0014436B">
        <w:rPr>
          <w:rFonts w:ascii="Times New Roman" w:hAnsi="Times New Roman" w:cs="Times New Roman"/>
          <w:b/>
          <w:sz w:val="24"/>
          <w:szCs w:val="24"/>
        </w:rPr>
        <w:t>REACT-EU,</w:t>
      </w:r>
      <w:r>
        <w:rPr>
          <w:rFonts w:ascii="Times New Roman" w:hAnsi="Times New Roman" w:cs="Times New Roman"/>
          <w:sz w:val="24"/>
          <w:szCs w:val="24"/>
        </w:rPr>
        <w:t xml:space="preserve"> ще </w:t>
      </w:r>
      <w:r w:rsidRPr="00862505">
        <w:rPr>
          <w:rFonts w:ascii="Times New Roman" w:hAnsi="Times New Roman" w:cs="Times New Roman"/>
          <w:sz w:val="24"/>
          <w:szCs w:val="24"/>
        </w:rPr>
        <w:t>осигури</w:t>
      </w:r>
      <w:r w:rsidRPr="00862505">
        <w:rPr>
          <w:rStyle w:val="Bodytext2Bold"/>
          <w:rFonts w:eastAsiaTheme="minorHAnsi"/>
          <w:b w:val="0"/>
          <w:lang w:val="bg-BG"/>
        </w:rPr>
        <w:t xml:space="preserve"> допълнителна </w:t>
      </w:r>
      <w:r>
        <w:rPr>
          <w:rStyle w:val="Bodytext2Bold"/>
          <w:rFonts w:eastAsiaTheme="minorHAnsi"/>
          <w:b w:val="0"/>
          <w:lang w:val="bg-BG"/>
        </w:rPr>
        <w:t xml:space="preserve">помощ за </w:t>
      </w:r>
      <w:r w:rsidRPr="00862505">
        <w:rPr>
          <w:rStyle w:val="Bodytext2Bold"/>
          <w:rFonts w:eastAsiaTheme="minorHAnsi"/>
          <w:b w:val="0"/>
          <w:lang w:val="bg-BG"/>
        </w:rPr>
        <w:t>подкрепа за</w:t>
      </w:r>
      <w:r w:rsidR="003B667E">
        <w:rPr>
          <w:rFonts w:ascii="Times New Roman" w:hAnsi="Times New Roman" w:cs="Times New Roman"/>
          <w:sz w:val="24"/>
          <w:szCs w:val="24"/>
        </w:rPr>
        <w:t xml:space="preserve"> сближаването на държавите </w:t>
      </w:r>
      <w:r w:rsidRPr="001A44E0">
        <w:rPr>
          <w:rFonts w:ascii="Times New Roman" w:hAnsi="Times New Roman" w:cs="Times New Roman"/>
          <w:sz w:val="24"/>
          <w:szCs w:val="24"/>
        </w:rPr>
        <w:t xml:space="preserve">членки с бюджет от </w:t>
      </w:r>
      <w:r w:rsidRPr="0014436B">
        <w:rPr>
          <w:rFonts w:ascii="Times New Roman" w:hAnsi="Times New Roman" w:cs="Times New Roman"/>
          <w:b/>
          <w:sz w:val="24"/>
          <w:szCs w:val="24"/>
        </w:rPr>
        <w:t>55 млрд. евро</w:t>
      </w:r>
      <w:r w:rsidRPr="001A44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Помощта </w:t>
      </w:r>
      <w:r w:rsidRPr="001A44E0">
        <w:rPr>
          <w:rFonts w:ascii="Times New Roman" w:hAnsi="Times New Roman" w:cs="Times New Roman"/>
          <w:sz w:val="24"/>
          <w:szCs w:val="24"/>
        </w:rPr>
        <w:t>ще бъде наличн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44E0">
        <w:rPr>
          <w:rFonts w:ascii="Times New Roman" w:hAnsi="Times New Roman" w:cs="Times New Roman"/>
          <w:sz w:val="24"/>
          <w:szCs w:val="24"/>
        </w:rPr>
        <w:t xml:space="preserve"> от 2020 г. и ще бъде разпределен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44E0">
        <w:rPr>
          <w:rFonts w:ascii="Times New Roman" w:hAnsi="Times New Roman" w:cs="Times New Roman"/>
          <w:sz w:val="24"/>
          <w:szCs w:val="24"/>
        </w:rPr>
        <w:t>, като се вземе предвид въздействието на кризата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A44E0">
        <w:rPr>
          <w:rFonts w:ascii="Times New Roman" w:hAnsi="Times New Roman" w:cs="Times New Roman"/>
          <w:sz w:val="24"/>
          <w:szCs w:val="24"/>
        </w:rPr>
        <w:t xml:space="preserve"> ще подкрепи работниците и малките и средните предприятия, здравните системи и екологичните и цифровите преходи и ще бъде на разположение в различните сектори.</w:t>
      </w:r>
    </w:p>
    <w:p w:rsidR="00A63E12" w:rsidRPr="00D129B7" w:rsidRDefault="00E11F6A" w:rsidP="00E11F6A">
      <w:pPr>
        <w:pStyle w:val="Bodytext30"/>
        <w:shd w:val="clear" w:color="auto" w:fill="auto"/>
        <w:spacing w:before="0" w:after="244" w:line="278" w:lineRule="exact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3NotBold"/>
          <w:rFonts w:eastAsiaTheme="minorHAnsi"/>
          <w:lang w:val="bg-BG"/>
        </w:rPr>
        <w:t xml:space="preserve">1.2. </w:t>
      </w:r>
      <w:r w:rsidR="00A63E12" w:rsidRPr="001A44E0">
        <w:rPr>
          <w:rStyle w:val="Bodytext3NotBold"/>
          <w:rFonts w:eastAsiaTheme="minorHAnsi"/>
          <w:lang w:val="bg-BG"/>
        </w:rPr>
        <w:t xml:space="preserve">Вторият стълб е за съживяване </w:t>
      </w:r>
      <w:r w:rsidR="00A63E12" w:rsidRPr="00D129B7">
        <w:rPr>
          <w:rFonts w:ascii="Times New Roman" w:hAnsi="Times New Roman" w:cs="Times New Roman"/>
          <w:b w:val="0"/>
          <w:sz w:val="24"/>
          <w:szCs w:val="24"/>
        </w:rPr>
        <w:t>на икономиката на ЕС чрез стимулиране на частните инвестиции.</w:t>
      </w:r>
    </w:p>
    <w:p w:rsidR="00A63E12" w:rsidRPr="0014436B" w:rsidRDefault="00A63E12" w:rsidP="0014436B">
      <w:pPr>
        <w:pStyle w:val="Bodytext30"/>
        <w:numPr>
          <w:ilvl w:val="0"/>
          <w:numId w:val="2"/>
        </w:numPr>
        <w:shd w:val="clear" w:color="auto" w:fill="auto"/>
        <w:spacing w:before="0" w:after="240" w:line="274" w:lineRule="exact"/>
        <w:ind w:left="740" w:hanging="340"/>
        <w:jc w:val="both"/>
        <w:rPr>
          <w:rStyle w:val="Bodytext2Bold"/>
          <w:rFonts w:eastAsiaTheme="minorHAnsi"/>
          <w:lang w:val="bg-BG"/>
        </w:rPr>
      </w:pPr>
      <w:r w:rsidRPr="00D129B7">
        <w:rPr>
          <w:rStyle w:val="Bodytext2Bold"/>
          <w:rFonts w:eastAsiaTheme="minorHAnsi"/>
          <w:lang w:val="bg-BG"/>
        </w:rPr>
        <w:t>Нов</w:t>
      </w:r>
      <w:r w:rsidRPr="001A44E0">
        <w:rPr>
          <w:rStyle w:val="Bodytext2Bold"/>
          <w:rFonts w:eastAsiaTheme="minorHAnsi"/>
          <w:lang w:val="bg-BG"/>
        </w:rPr>
        <w:t xml:space="preserve"> </w:t>
      </w:r>
      <w:r w:rsidRPr="0014436B">
        <w:rPr>
          <w:rStyle w:val="Bodytext2Bold"/>
          <w:rFonts w:eastAsiaTheme="minorHAnsi"/>
          <w:b/>
          <w:lang w:val="bg-BG"/>
        </w:rPr>
        <w:t>инструмент за подкрепа на платежоспособността</w:t>
      </w:r>
      <w:r w:rsidRPr="0014436B">
        <w:rPr>
          <w:rStyle w:val="Bodytext2Bold"/>
          <w:rFonts w:eastAsiaTheme="minorHAnsi"/>
          <w:lang w:val="bg-BG"/>
        </w:rPr>
        <w:t xml:space="preserve"> ще</w:t>
      </w:r>
      <w:r w:rsidRPr="001A44E0">
        <w:rPr>
          <w:rStyle w:val="Bodytext2Bold"/>
          <w:rFonts w:eastAsiaTheme="minorHAnsi"/>
          <w:lang w:val="bg-BG"/>
        </w:rPr>
        <w:t xml:space="preserve"> </w:t>
      </w:r>
      <w:r w:rsidRPr="00D129B7">
        <w:rPr>
          <w:rStyle w:val="Bodytext2Bold"/>
          <w:rFonts w:eastAsiaTheme="minorHAnsi"/>
          <w:lang w:val="bg-BG"/>
        </w:rPr>
        <w:t>мобилизира частни ресурси за</w:t>
      </w:r>
      <w:r w:rsidRPr="001A44E0">
        <w:rPr>
          <w:rStyle w:val="Bodytext2Bold"/>
          <w:rFonts w:eastAsiaTheme="minorHAnsi"/>
          <w:lang w:val="bg-BG"/>
        </w:rPr>
        <w:t xml:space="preserve"> </w:t>
      </w:r>
      <w:r w:rsidRPr="0014436B">
        <w:rPr>
          <w:rStyle w:val="Bodytext2Bold"/>
          <w:rFonts w:eastAsiaTheme="minorHAnsi"/>
          <w:lang w:val="bg-BG"/>
        </w:rPr>
        <w:t>осигуряване на спешна подкрепа на иначе стабилни дружества. Инвестициите ще бъдат насочени към компании в секторите, регионите и държавите, които са най-засегнати</w:t>
      </w:r>
      <w:r w:rsidR="0014436B">
        <w:rPr>
          <w:rStyle w:val="Bodytext2Bold"/>
          <w:rFonts w:eastAsiaTheme="minorHAnsi"/>
          <w:lang w:val="bg-BG"/>
        </w:rPr>
        <w:t xml:space="preserve"> от кризата</w:t>
      </w:r>
      <w:r w:rsidRPr="0014436B">
        <w:rPr>
          <w:rStyle w:val="Bodytext2Bold"/>
          <w:rFonts w:eastAsiaTheme="minorHAnsi"/>
          <w:lang w:val="bg-BG"/>
        </w:rPr>
        <w:t>. Това ще спомогне за изравняване на усл</w:t>
      </w:r>
      <w:r w:rsidR="0014436B">
        <w:rPr>
          <w:rStyle w:val="Bodytext2Bold"/>
          <w:rFonts w:eastAsiaTheme="minorHAnsi"/>
          <w:lang w:val="bg-BG"/>
        </w:rPr>
        <w:t>овията на действие за държавите</w:t>
      </w:r>
      <w:r w:rsidR="003B667E">
        <w:rPr>
          <w:rStyle w:val="Bodytext2Bold"/>
          <w:rFonts w:eastAsiaTheme="minorHAnsi"/>
          <w:lang w:val="bg-BG"/>
        </w:rPr>
        <w:t xml:space="preserve"> </w:t>
      </w:r>
      <w:r w:rsidRPr="0014436B">
        <w:rPr>
          <w:rStyle w:val="Bodytext2Bold"/>
          <w:rFonts w:eastAsiaTheme="minorHAnsi"/>
          <w:lang w:val="bg-BG"/>
        </w:rPr>
        <w:t>членки, които са по-ма</w:t>
      </w:r>
      <w:r w:rsidR="0014436B">
        <w:rPr>
          <w:rStyle w:val="Bodytext2Bold"/>
          <w:rFonts w:eastAsiaTheme="minorHAnsi"/>
          <w:lang w:val="bg-BG"/>
        </w:rPr>
        <w:t>лко в състояние да подкрепят икономиките си чрез държавна помощ. Инструментът</w:t>
      </w:r>
      <w:r w:rsidRPr="0014436B">
        <w:rPr>
          <w:rStyle w:val="Bodytext2Bold"/>
          <w:rFonts w:eastAsiaTheme="minorHAnsi"/>
          <w:lang w:val="bg-BG"/>
        </w:rPr>
        <w:t xml:space="preserve"> може да функционира от 2020 г. и ще има бюджет от </w:t>
      </w:r>
      <w:r w:rsidRPr="0014436B">
        <w:rPr>
          <w:rStyle w:val="Bodytext2Bold"/>
          <w:rFonts w:eastAsiaTheme="minorHAnsi"/>
          <w:b/>
          <w:lang w:val="bg-BG"/>
        </w:rPr>
        <w:t>31 млрд. евро,</w:t>
      </w:r>
      <w:r w:rsidRPr="0014436B">
        <w:rPr>
          <w:rStyle w:val="Bodytext2Bold"/>
          <w:rFonts w:eastAsiaTheme="minorHAnsi"/>
          <w:lang w:val="bg-BG"/>
        </w:rPr>
        <w:t xml:space="preserve"> чиято цел е да отключи над 300 млрд. евро подкрепа за платежоспособност. </w:t>
      </w:r>
    </w:p>
    <w:p w:rsidR="00A63E12" w:rsidRPr="00E11F6A" w:rsidRDefault="00E11F6A" w:rsidP="00E11F6A">
      <w:pPr>
        <w:pStyle w:val="Bodytext20"/>
        <w:shd w:val="clear" w:color="auto" w:fill="auto"/>
        <w:spacing w:after="24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3E12" w:rsidRPr="00E11F6A">
        <w:rPr>
          <w:rFonts w:ascii="Times New Roman" w:hAnsi="Times New Roman" w:cs="Times New Roman"/>
          <w:sz w:val="24"/>
          <w:szCs w:val="24"/>
        </w:rPr>
        <w:t xml:space="preserve">Подобряване на </w:t>
      </w:r>
      <w:proofErr w:type="spellStart"/>
      <w:r w:rsidR="00A63E12" w:rsidRPr="00E11F6A">
        <w:rPr>
          <w:rFonts w:ascii="Times New Roman" w:hAnsi="Times New Roman" w:cs="Times New Roman"/>
          <w:b/>
          <w:sz w:val="24"/>
          <w:szCs w:val="24"/>
        </w:rPr>
        <w:t>InvestEU</w:t>
      </w:r>
      <w:proofErr w:type="spellEnd"/>
      <w:r w:rsidR="00A63E12" w:rsidRPr="00FE2681">
        <w:rPr>
          <w:rFonts w:ascii="Times New Roman" w:hAnsi="Times New Roman" w:cs="Times New Roman"/>
          <w:sz w:val="24"/>
          <w:szCs w:val="24"/>
        </w:rPr>
        <w:t>, водещата</w:t>
      </w:r>
      <w:r w:rsidR="00A63E12" w:rsidRPr="00E11F6A">
        <w:rPr>
          <w:rFonts w:ascii="Times New Roman" w:hAnsi="Times New Roman" w:cs="Times New Roman"/>
          <w:sz w:val="24"/>
          <w:szCs w:val="24"/>
        </w:rPr>
        <w:t xml:space="preserve"> инвестиционна програма на ЕС.</w:t>
      </w:r>
    </w:p>
    <w:p w:rsidR="00A63E12" w:rsidRPr="001A44E0" w:rsidRDefault="00A63E12" w:rsidP="00A63E12">
      <w:pPr>
        <w:pStyle w:val="Bodytext20"/>
        <w:numPr>
          <w:ilvl w:val="0"/>
          <w:numId w:val="3"/>
        </w:numPr>
        <w:shd w:val="clear" w:color="auto" w:fill="auto"/>
        <w:spacing w:after="24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2681">
        <w:rPr>
          <w:rStyle w:val="Bodytext2Bold"/>
          <w:rFonts w:eastAsiaTheme="minorHAnsi"/>
          <w:b w:val="0"/>
          <w:lang w:val="bg-BG"/>
        </w:rPr>
        <w:t xml:space="preserve">Ще бъде създаден </w:t>
      </w:r>
      <w:r w:rsidRPr="00E11F6A">
        <w:rPr>
          <w:rStyle w:val="Bodytext2Bold"/>
          <w:rFonts w:eastAsiaTheme="minorHAnsi"/>
          <w:lang w:val="bg-BG"/>
        </w:rPr>
        <w:t xml:space="preserve">Стратегически инвестиционен </w:t>
      </w:r>
      <w:r w:rsidRPr="00E11F6A">
        <w:rPr>
          <w:rFonts w:ascii="Times New Roman" w:hAnsi="Times New Roman" w:cs="Times New Roman"/>
          <w:b/>
          <w:sz w:val="24"/>
          <w:szCs w:val="24"/>
        </w:rPr>
        <w:t>механизъм</w:t>
      </w:r>
      <w:r w:rsidRPr="001A44E0">
        <w:rPr>
          <w:rFonts w:ascii="Times New Roman" w:hAnsi="Times New Roman" w:cs="Times New Roman"/>
          <w:sz w:val="24"/>
          <w:szCs w:val="24"/>
        </w:rPr>
        <w:t xml:space="preserve"> в рамките на </w:t>
      </w:r>
      <w:proofErr w:type="spellStart"/>
      <w:r w:rsidRPr="00FE2681">
        <w:rPr>
          <w:rFonts w:ascii="Times New Roman" w:hAnsi="Times New Roman" w:cs="Times New Roman"/>
          <w:sz w:val="24"/>
          <w:szCs w:val="24"/>
        </w:rPr>
        <w:t>InvestEU</w:t>
      </w:r>
      <w:proofErr w:type="spellEnd"/>
      <w:r w:rsidRPr="001A44E0">
        <w:rPr>
          <w:rFonts w:ascii="Times New Roman" w:hAnsi="Times New Roman" w:cs="Times New Roman"/>
          <w:sz w:val="24"/>
          <w:szCs w:val="24"/>
        </w:rPr>
        <w:t xml:space="preserve">. Той ще може да отключи 150 млрд. евро инвестиции благодарение на </w:t>
      </w:r>
      <w:r w:rsidRPr="00E11F6A">
        <w:rPr>
          <w:rFonts w:ascii="Times New Roman" w:hAnsi="Times New Roman" w:cs="Times New Roman"/>
          <w:b/>
          <w:sz w:val="24"/>
          <w:szCs w:val="24"/>
        </w:rPr>
        <w:t>15 млрд. евро</w:t>
      </w:r>
      <w:r w:rsidRPr="001A44E0">
        <w:rPr>
          <w:rFonts w:ascii="Times New Roman" w:hAnsi="Times New Roman" w:cs="Times New Roman"/>
          <w:sz w:val="24"/>
          <w:szCs w:val="24"/>
        </w:rPr>
        <w:t>, вложени в</w:t>
      </w:r>
      <w:r w:rsidR="00904067">
        <w:rPr>
          <w:rFonts w:ascii="Times New Roman" w:hAnsi="Times New Roman" w:cs="Times New Roman"/>
          <w:sz w:val="24"/>
          <w:szCs w:val="24"/>
        </w:rPr>
        <w:t xml:space="preserve"> нея от </w:t>
      </w:r>
      <w:r w:rsidR="003B667E">
        <w:rPr>
          <w:rFonts w:ascii="Times New Roman" w:hAnsi="Times New Roman" w:cs="Times New Roman"/>
          <w:sz w:val="24"/>
          <w:szCs w:val="24"/>
        </w:rPr>
        <w:t>фонд „Следващо поколение ЕС“</w:t>
      </w:r>
      <w:r w:rsidRPr="001A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E12" w:rsidRDefault="00A63E12" w:rsidP="00A63E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81">
        <w:rPr>
          <w:rFonts w:ascii="Times New Roman" w:hAnsi="Times New Roman" w:cs="Times New Roman"/>
          <w:sz w:val="24"/>
          <w:szCs w:val="24"/>
        </w:rPr>
        <w:t>За да се подпомогне създаването на повече работни места, ще бъде поставен акцент и върху ускоряването на производството и внедряването на устойчиви</w:t>
      </w:r>
      <w:r w:rsidRPr="00FE2681">
        <w:rPr>
          <w:rStyle w:val="Bodytext2Bold"/>
          <w:rFonts w:eastAsiaTheme="minorHAnsi"/>
          <w:lang w:val="bg-BG"/>
        </w:rPr>
        <w:t xml:space="preserve"> </w:t>
      </w:r>
      <w:r w:rsidRPr="00FE2681">
        <w:rPr>
          <w:rStyle w:val="Bodytext2Bold"/>
          <w:rFonts w:eastAsiaTheme="minorHAnsi"/>
          <w:b w:val="0"/>
          <w:lang w:val="bg-BG"/>
        </w:rPr>
        <w:t>превозни средства и плавателни съдове, както и на</w:t>
      </w:r>
      <w:r w:rsidRPr="00FE2681">
        <w:rPr>
          <w:rStyle w:val="Bodytext2Bold"/>
          <w:rFonts w:eastAsiaTheme="minorHAnsi"/>
          <w:lang w:val="bg-BG"/>
        </w:rPr>
        <w:t xml:space="preserve"> </w:t>
      </w:r>
      <w:r w:rsidRPr="00FE2681">
        <w:rPr>
          <w:rFonts w:ascii="Times New Roman" w:hAnsi="Times New Roman" w:cs="Times New Roman"/>
          <w:sz w:val="24"/>
          <w:szCs w:val="24"/>
        </w:rPr>
        <w:t xml:space="preserve">алтернативни горива. Механизмът за свързване на Европа, </w:t>
      </w:r>
      <w:proofErr w:type="spellStart"/>
      <w:r w:rsidRPr="00FE2681">
        <w:rPr>
          <w:rFonts w:ascii="Times New Roman" w:hAnsi="Times New Roman" w:cs="Times New Roman"/>
          <w:sz w:val="24"/>
          <w:szCs w:val="24"/>
        </w:rPr>
        <w:t>InvestEU</w:t>
      </w:r>
      <w:proofErr w:type="spellEnd"/>
      <w:r w:rsidRPr="00FE2681">
        <w:rPr>
          <w:rFonts w:ascii="Times New Roman" w:hAnsi="Times New Roman" w:cs="Times New Roman"/>
          <w:sz w:val="24"/>
          <w:szCs w:val="24"/>
        </w:rPr>
        <w:t xml:space="preserve"> и други фондове ще </w:t>
      </w:r>
      <w:r w:rsidRPr="00FE2681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подпомогнат финансирането на инсталирането на един милион точки за зареждане, обновяването на </w:t>
      </w:r>
      <w:proofErr w:type="spellStart"/>
      <w:r w:rsidRPr="00FE2681">
        <w:rPr>
          <w:rStyle w:val="tlid-translation"/>
          <w:rFonts w:ascii="Times New Roman" w:hAnsi="Times New Roman" w:cs="Times New Roman"/>
          <w:sz w:val="24"/>
          <w:szCs w:val="24"/>
        </w:rPr>
        <w:t>автопарка</w:t>
      </w:r>
      <w:proofErr w:type="spellEnd"/>
      <w:r w:rsidRPr="00FE2681">
        <w:rPr>
          <w:rStyle w:val="tlid-translation"/>
          <w:rFonts w:ascii="Times New Roman" w:hAnsi="Times New Roman" w:cs="Times New Roman"/>
          <w:sz w:val="24"/>
          <w:szCs w:val="24"/>
        </w:rPr>
        <w:t>, устойчивата транспортна инфраструктура и ще даде възможност за преминаване към чиста градска мобилност.</w:t>
      </w:r>
      <w:r w:rsidRPr="00FE2681">
        <w:rPr>
          <w:rFonts w:ascii="Times New Roman" w:hAnsi="Times New Roman" w:cs="Times New Roman"/>
          <w:sz w:val="24"/>
          <w:szCs w:val="24"/>
        </w:rPr>
        <w:t xml:space="preserve"> Публичните инвестиции за възобновяване на възстановяването на транспортния сектор следва да дойдат с ангажимент от промишлеността да инвестира в по-чиста и по-устойчива мобилност.</w:t>
      </w:r>
    </w:p>
    <w:p w:rsidR="00A63E12" w:rsidRPr="00A63E12" w:rsidRDefault="00A63E12" w:rsidP="00A63E1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11F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към Съобщение на комисията относно бюджетните измерения на</w:t>
      </w: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плана за възстановяване на Европа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63E1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63E12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COM (2020) 442 Final</w:t>
      </w:r>
      <w:r w:rsidRPr="00A63E1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A63E12" w:rsidRPr="00A63E12" w:rsidRDefault="00A63E12" w:rsidP="00E11F6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Финансовите инструменти, които </w:t>
      </w:r>
      <w:r w:rsidR="00E11F6A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считаме, че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определяне на правилата за приложение, </w:t>
      </w:r>
      <w:r w:rsidRPr="00BA71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биха могли да финансират мерки в транспортния сектор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са:</w:t>
      </w:r>
    </w:p>
    <w:p w:rsidR="00A63E12" w:rsidRPr="00A63E12" w:rsidRDefault="00A63E12" w:rsidP="00A63E12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Механизъм за възстановяване и устойчивост (</w:t>
      </w:r>
      <w:proofErr w:type="spellStart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Recovery</w:t>
      </w:r>
      <w:proofErr w:type="spellEnd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and</w:t>
      </w:r>
      <w:proofErr w:type="spellEnd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Resilience</w:t>
      </w:r>
      <w:proofErr w:type="spellEnd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Facility</w:t>
      </w:r>
      <w:proofErr w:type="spellEnd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е подкрепа за инв</w:t>
      </w:r>
      <w:r w:rsidR="00BA7164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естициите и реформите с оглед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повишаване на устойчивостта и насърчаване на устойчивия растеж на икономиките. Финансиране под формата на безвъзмездна финансова помощ (грантове) и заеми.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Държавите членки ще подготвят национални планове за възстановяване и устойчивост, съдържащи програмите им за инвестиции и реформи, включително пакети с финансиране от Механизма. Европейската комисия ще оценява плановете на основата на редица фактори, включително зелената и цифровата трансформация. Няма да се изисква национално съфинансиране. </w:t>
      </w:r>
    </w:p>
    <w:p w:rsidR="00A63E12" w:rsidRPr="00A63E12" w:rsidRDefault="00E11F6A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финансиране на Механизма</w:t>
      </w:r>
      <w:r w:rsidR="00A63E12"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бъде в размер на 560 млрд. евро, от които 310 млрд. евро за грантове и 250 млрд. евро за заеми.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механизмът допуска и ЕК одобри, в националните планов</w:t>
      </w:r>
      <w:r w:rsidR="00477EC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биха могли да бъдат включени и </w:t>
      </w:r>
      <w:r w:rsidR="00D33C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мерки, 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транспорта.</w:t>
      </w:r>
    </w:p>
    <w:p w:rsidR="00A63E12" w:rsidRPr="00A63E12" w:rsidRDefault="00A63E12" w:rsidP="00A63E12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Помощ за възстановява</w:t>
      </w:r>
      <w:r w:rsidR="00E11F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</w:t>
      </w:r>
      <w:r w:rsidR="00D33C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кохезията в</w:t>
      </w: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териториите на ЕС (REACT EU)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този инструмент е инвестирането в краткосрочни антикризисни мерки основно чрез безвъзмездна финансова помощ (грантове). Инструментът ще е достъпен за множество сектори (за сега са посочени туризъм и култура), предимно в държавите и регионите</w:t>
      </w:r>
      <w:r w:rsidR="00E11F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засегнати най тежко от </w:t>
      </w:r>
      <w:r w:rsidRPr="00A63E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COVID-19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Инвестициите, посредством кохезионните програми, ще са насочени към възстановяване на пазарите на труда, включително чрез субсидии за заетост, схеми за краткосрочно работно време и мерки за младежка заетост, подкрепа за системите на здравеопазване и осигуряване на съществена ликвидна подкрепа за оборотен капитал за малките и средните предприятия.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условията на програмата допускат, предприятия от автомобилния сектор биха могли да се възползват.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Периодът на действие ще бъде 2020 г. – 2022 г., а финансовият ресурс – 55 млрд. евро.</w:t>
      </w:r>
    </w:p>
    <w:p w:rsidR="00A63E12" w:rsidRPr="00A63E12" w:rsidRDefault="00A63E12" w:rsidP="00A63E12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INVEST EU (включително Инструмент за стратегически инвестиции)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е мобилизирането, посредством предоставянето на банкови гаранции, на инвестиции в подкрепа на възстановяването и дългосрочния растеж.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INVEST EU вече има одобрени четири области на приложение, една от които е „Устойчива инфраструктура“, към която попадат и мерките, свързани с транспорта. Създава се нова пета област – Инструмент за стратегически инвестиции, насочена към реализацията на стратегически проекти, включително свързани с критичната инфраструктура. 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ще бъде допълнено с 15,3 млрд. евро за съществуващите области и 15 млрд. евро за Инструмента за стратегически инвестиции, което ще позволи ниво на гаранции от 72 млрд. евро и общо инвестиционно ниво от 400 млрд. евро.</w:t>
      </w:r>
    </w:p>
    <w:p w:rsidR="00A63E12" w:rsidRPr="00A63E12" w:rsidRDefault="00A63E12" w:rsidP="00A63E12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Инструмент за подкрепа на платежоспособността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Инструмента е мобилизирането н</w:t>
      </w:r>
      <w:r w:rsidR="00BA7164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частни инвестиции</w:t>
      </w:r>
      <w:r w:rsidR="00BA716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да се избегнат огромни капиталови дефицити и възможни фалити на иначе жизнеспособни дружества</w:t>
      </w:r>
      <w:r w:rsidR="00BA716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засегнати от кризата. Инструментът е част от Европейският фонд за стратегически инвестиции и ще бъде с временен характер. Условията на инструмента ще бъдат в съответствие с правилата за 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предоставя</w:t>
      </w:r>
      <w:r w:rsidR="00BA71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на държавна помощ, с оглед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постигането на равнопоставеност. Също така ще позволява съчетаване с подобни схеми на национално ниво.</w:t>
      </w:r>
    </w:p>
    <w:p w:rsidR="00A63E12" w:rsidRPr="00A63E12" w:rsidRDefault="00A63E12" w:rsidP="00A63E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 пакет от 31 млрд. евро ще увеличи гаранциите с 66 млрд. евро, което ще позволи мобилизирането на инвестиции от 300 млрд. евро.</w:t>
      </w:r>
    </w:p>
    <w:p w:rsidR="00A63E12" w:rsidRPr="00A63E12" w:rsidRDefault="00A63E12" w:rsidP="00A63E12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приложението са включени и инструментите </w:t>
      </w:r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EU4HEALTH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rescEU</w:t>
      </w:r>
      <w:proofErr w:type="spellEnd"/>
      <w:r w:rsidRPr="00A63E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вероятно няма да имат отношение към транспорта.</w:t>
      </w:r>
    </w:p>
    <w:p w:rsidR="00A63E12" w:rsidRDefault="00A63E12" w:rsidP="00A63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B8B" w:rsidRPr="00873B8B" w:rsidRDefault="00873B8B" w:rsidP="00873B8B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3B8B">
        <w:rPr>
          <w:rFonts w:ascii="Times New Roman" w:hAnsi="Times New Roman" w:cs="Times New Roman"/>
          <w:b/>
          <w:sz w:val="24"/>
          <w:szCs w:val="24"/>
        </w:rPr>
        <w:t>Бюджет за европейско възстановяване и устойчивост</w:t>
      </w:r>
    </w:p>
    <w:p w:rsidR="00873B8B" w:rsidRPr="00873B8B" w:rsidRDefault="00873B8B" w:rsidP="00873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873B8B" w:rsidRPr="00873B8B" w:rsidTr="006B37A3">
        <w:trPr>
          <w:trHeight w:hRule="exact" w:val="1281"/>
        </w:trPr>
        <w:tc>
          <w:tcPr>
            <w:tcW w:w="4957" w:type="dxa"/>
          </w:tcPr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Sure</w:t>
            </w:r>
            <w:proofErr w:type="spellEnd"/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/ESM </w:t>
            </w:r>
            <w:proofErr w:type="spellStart"/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ризисна подкрепа/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гаранционен фонд на ЕИБ за</w:t>
            </w:r>
          </w:p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аботници и предприятия</w:t>
            </w:r>
          </w:p>
        </w:tc>
        <w:tc>
          <w:tcPr>
            <w:tcW w:w="4677" w:type="dxa"/>
          </w:tcPr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 млрд. евро</w:t>
            </w:r>
          </w:p>
        </w:tc>
      </w:tr>
      <w:tr w:rsidR="00873B8B" w:rsidRPr="00873B8B" w:rsidTr="00873B8B">
        <w:trPr>
          <w:trHeight w:hRule="exact" w:val="705"/>
        </w:trPr>
        <w:tc>
          <w:tcPr>
            <w:tcW w:w="4957" w:type="dxa"/>
          </w:tcPr>
          <w:p w:rsidR="00873B8B" w:rsidRPr="003B667E" w:rsidRDefault="003B667E" w:rsidP="00873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7E">
              <w:rPr>
                <w:rFonts w:ascii="Times New Roman" w:hAnsi="Times New Roman" w:cs="Times New Roman"/>
                <w:b/>
                <w:sz w:val="24"/>
                <w:szCs w:val="24"/>
              </w:rPr>
              <w:t>Фонд „Следващо поколение ЕС“</w:t>
            </w:r>
          </w:p>
        </w:tc>
        <w:tc>
          <w:tcPr>
            <w:tcW w:w="4677" w:type="dxa"/>
          </w:tcPr>
          <w:p w:rsidR="00873B8B" w:rsidRDefault="00873B8B" w:rsidP="00873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Временно укрепване</w:t>
            </w:r>
          </w:p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750 млрд. евро </w:t>
            </w:r>
          </w:p>
        </w:tc>
      </w:tr>
      <w:tr w:rsidR="00873B8B" w:rsidRPr="00873B8B" w:rsidTr="006B37A3">
        <w:trPr>
          <w:trHeight w:hRule="exact" w:val="345"/>
        </w:trPr>
        <w:tc>
          <w:tcPr>
            <w:tcW w:w="4957" w:type="dxa"/>
          </w:tcPr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Многогодишна финансова рамка</w:t>
            </w:r>
          </w:p>
        </w:tc>
        <w:tc>
          <w:tcPr>
            <w:tcW w:w="4677" w:type="dxa"/>
          </w:tcPr>
          <w:p w:rsidR="00873B8B" w:rsidRPr="00873B8B" w:rsidRDefault="00873B8B" w:rsidP="0087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 млрд. евро</w:t>
            </w:r>
          </w:p>
        </w:tc>
      </w:tr>
    </w:tbl>
    <w:p w:rsidR="00873B8B" w:rsidRDefault="00873B8B" w:rsidP="00873B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B8B" w:rsidRPr="00873B8B" w:rsidRDefault="00873B8B" w:rsidP="0087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Многогодишна</w:t>
      </w:r>
      <w:r w:rsidRPr="00873B8B">
        <w:rPr>
          <w:rFonts w:ascii="Times New Roman" w:hAnsi="Times New Roman" w:cs="Times New Roman"/>
          <w:b/>
          <w:sz w:val="24"/>
          <w:szCs w:val="24"/>
        </w:rPr>
        <w:t xml:space="preserve"> финансова рамка за пер</w:t>
      </w:r>
      <w:r>
        <w:rPr>
          <w:rFonts w:ascii="Times New Roman" w:hAnsi="Times New Roman" w:cs="Times New Roman"/>
          <w:b/>
          <w:sz w:val="24"/>
          <w:szCs w:val="24"/>
        </w:rPr>
        <w:t>иода 2021-2027 г.:</w:t>
      </w:r>
    </w:p>
    <w:p w:rsidR="00AD539B" w:rsidRPr="00AD539B" w:rsidRDefault="00CF25D9" w:rsidP="00AD5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539B">
        <w:rPr>
          <w:rFonts w:ascii="Times New Roman" w:hAnsi="Times New Roman" w:cs="Times New Roman"/>
          <w:sz w:val="24"/>
          <w:szCs w:val="24"/>
        </w:rPr>
        <w:t>бщо за периода 2021</w:t>
      </w:r>
      <w:r w:rsidR="003B667E">
        <w:rPr>
          <w:rFonts w:ascii="Times New Roman" w:hAnsi="Times New Roman" w:cs="Times New Roman"/>
          <w:sz w:val="24"/>
          <w:szCs w:val="24"/>
        </w:rPr>
        <w:t>-</w:t>
      </w:r>
      <w:r w:rsidRPr="00AD539B">
        <w:rPr>
          <w:rFonts w:ascii="Times New Roman" w:hAnsi="Times New Roman" w:cs="Times New Roman"/>
          <w:sz w:val="24"/>
          <w:szCs w:val="24"/>
        </w:rPr>
        <w:t>2027 г.</w:t>
      </w:r>
      <w:r>
        <w:rPr>
          <w:rFonts w:ascii="Times New Roman" w:hAnsi="Times New Roman" w:cs="Times New Roman"/>
          <w:sz w:val="24"/>
          <w:szCs w:val="24"/>
        </w:rPr>
        <w:t xml:space="preserve"> бюджетът на д</w:t>
      </w:r>
      <w:r w:rsidR="00AD539B">
        <w:rPr>
          <w:rFonts w:ascii="Times New Roman" w:hAnsi="Times New Roman" w:cs="Times New Roman"/>
          <w:sz w:val="24"/>
          <w:szCs w:val="24"/>
        </w:rPr>
        <w:t>ействащите фондове, през които се финансират транспортни проекти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5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бъде</w:t>
      </w:r>
      <w:r w:rsidR="00AD539B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AD539B" w:rsidRDefault="00AD539B" w:rsidP="00873B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Европейски фонд за регионално развитие – </w:t>
      </w:r>
      <w:r w:rsidR="00CF2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222 133 млрд.</w:t>
      </w:r>
      <w:r w:rsidR="00CF25D9">
        <w:rPr>
          <w:rFonts w:ascii="Times New Roman" w:hAnsi="Times New Roman" w:cs="Times New Roman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39B" w:rsidRDefault="00AD539B" w:rsidP="00873B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Кохезионен фонд – 45 914 </w:t>
      </w:r>
      <w:r w:rsidR="00CF25D9">
        <w:rPr>
          <w:rFonts w:ascii="Times New Roman" w:hAnsi="Times New Roman" w:cs="Times New Roman"/>
          <w:sz w:val="24"/>
          <w:szCs w:val="24"/>
        </w:rPr>
        <w:t>млрд. евро</w:t>
      </w:r>
      <w:r>
        <w:rPr>
          <w:rFonts w:ascii="Times New Roman" w:hAnsi="Times New Roman" w:cs="Times New Roman"/>
          <w:sz w:val="24"/>
          <w:szCs w:val="24"/>
        </w:rPr>
        <w:t xml:space="preserve">, от които 11 286 </w:t>
      </w:r>
      <w:r w:rsidR="00CF25D9">
        <w:rPr>
          <w:rFonts w:ascii="Times New Roman" w:hAnsi="Times New Roman" w:cs="Times New Roman"/>
          <w:sz w:val="24"/>
          <w:szCs w:val="24"/>
        </w:rPr>
        <w:t>млрд. евро</w:t>
      </w:r>
      <w:r>
        <w:rPr>
          <w:rFonts w:ascii="Times New Roman" w:hAnsi="Times New Roman" w:cs="Times New Roman"/>
          <w:sz w:val="24"/>
          <w:szCs w:val="24"/>
        </w:rPr>
        <w:t xml:space="preserve"> принос към МСЕ</w:t>
      </w:r>
    </w:p>
    <w:p w:rsidR="00873B8B" w:rsidRPr="00873B8B" w:rsidRDefault="00873B8B" w:rsidP="00873B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8B">
        <w:rPr>
          <w:rFonts w:ascii="Times New Roman" w:hAnsi="Times New Roman" w:cs="Times New Roman"/>
          <w:sz w:val="24"/>
          <w:szCs w:val="24"/>
        </w:rPr>
        <w:t>Механизъм за с</w:t>
      </w:r>
      <w:r w:rsidR="00CF25D9">
        <w:rPr>
          <w:rFonts w:ascii="Times New Roman" w:hAnsi="Times New Roman" w:cs="Times New Roman"/>
          <w:sz w:val="24"/>
          <w:szCs w:val="24"/>
        </w:rPr>
        <w:t>вързване на Европа – транспорт</w:t>
      </w:r>
      <w:r w:rsidRPr="0087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3B8B">
        <w:rPr>
          <w:rFonts w:ascii="Times New Roman" w:hAnsi="Times New Roman" w:cs="Times New Roman"/>
          <w:sz w:val="24"/>
          <w:szCs w:val="24"/>
        </w:rPr>
        <w:t>14.521 милиарда евро.</w:t>
      </w:r>
    </w:p>
    <w:p w:rsidR="00873B8B" w:rsidRDefault="00873B8B" w:rsidP="00A63E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B8B" w:rsidSect="00607B68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08" w:rsidRDefault="00390608" w:rsidP="003B667E">
      <w:pPr>
        <w:spacing w:after="0" w:line="240" w:lineRule="auto"/>
      </w:pPr>
      <w:r>
        <w:separator/>
      </w:r>
    </w:p>
  </w:endnote>
  <w:endnote w:type="continuationSeparator" w:id="0">
    <w:p w:rsidR="00390608" w:rsidRDefault="00390608" w:rsidP="003B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607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67E" w:rsidRDefault="003B6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1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667E" w:rsidRDefault="003B6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08" w:rsidRDefault="00390608" w:rsidP="003B667E">
      <w:pPr>
        <w:spacing w:after="0" w:line="240" w:lineRule="auto"/>
      </w:pPr>
      <w:r>
        <w:separator/>
      </w:r>
    </w:p>
  </w:footnote>
  <w:footnote w:type="continuationSeparator" w:id="0">
    <w:p w:rsidR="00390608" w:rsidRDefault="00390608" w:rsidP="003B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3CB"/>
    <w:multiLevelType w:val="hybridMultilevel"/>
    <w:tmpl w:val="31029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33C"/>
    <w:multiLevelType w:val="hybridMultilevel"/>
    <w:tmpl w:val="E05A92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C58"/>
    <w:multiLevelType w:val="hybridMultilevel"/>
    <w:tmpl w:val="1480B48A"/>
    <w:lvl w:ilvl="0" w:tplc="47F4E7E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7FDD"/>
    <w:multiLevelType w:val="multilevel"/>
    <w:tmpl w:val="5A8636D0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4E75197D"/>
    <w:multiLevelType w:val="multilevel"/>
    <w:tmpl w:val="FD16C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26F54"/>
    <w:multiLevelType w:val="hybridMultilevel"/>
    <w:tmpl w:val="DEB2F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15BB0"/>
    <w:multiLevelType w:val="hybridMultilevel"/>
    <w:tmpl w:val="62BAF19C"/>
    <w:lvl w:ilvl="0" w:tplc="47F4E7E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8F0"/>
    <w:multiLevelType w:val="hybridMultilevel"/>
    <w:tmpl w:val="C714E7FA"/>
    <w:lvl w:ilvl="0" w:tplc="0402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D0A35F6"/>
    <w:multiLevelType w:val="hybridMultilevel"/>
    <w:tmpl w:val="DF9275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F"/>
    <w:rsid w:val="000F31A3"/>
    <w:rsid w:val="00116B80"/>
    <w:rsid w:val="0014436B"/>
    <w:rsid w:val="001849DD"/>
    <w:rsid w:val="001A44E0"/>
    <w:rsid w:val="001C3A48"/>
    <w:rsid w:val="00266C21"/>
    <w:rsid w:val="00390608"/>
    <w:rsid w:val="003B667E"/>
    <w:rsid w:val="00477ECE"/>
    <w:rsid w:val="005B6661"/>
    <w:rsid w:val="00607B68"/>
    <w:rsid w:val="00750A3F"/>
    <w:rsid w:val="007F015D"/>
    <w:rsid w:val="00862505"/>
    <w:rsid w:val="00873B8B"/>
    <w:rsid w:val="00904067"/>
    <w:rsid w:val="00996C18"/>
    <w:rsid w:val="00A63E12"/>
    <w:rsid w:val="00AD539B"/>
    <w:rsid w:val="00B030B7"/>
    <w:rsid w:val="00B2255B"/>
    <w:rsid w:val="00BA7164"/>
    <w:rsid w:val="00C66997"/>
    <w:rsid w:val="00CA6EEC"/>
    <w:rsid w:val="00CC1DFF"/>
    <w:rsid w:val="00CF25D9"/>
    <w:rsid w:val="00D129B7"/>
    <w:rsid w:val="00D33CD7"/>
    <w:rsid w:val="00D7570F"/>
    <w:rsid w:val="00E11F6A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E260"/>
  <w15:chartTrackingRefBased/>
  <w15:docId w15:val="{D7A87CF9-B5C7-4C97-916E-8D66921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607B68"/>
    <w:rPr>
      <w:shd w:val="clear" w:color="auto" w:fill="FFFFFF"/>
    </w:rPr>
  </w:style>
  <w:style w:type="character" w:customStyle="1" w:styleId="Bodytext3">
    <w:name w:val="Body text|3_"/>
    <w:basedOn w:val="DefaultParagraphFont"/>
    <w:link w:val="Bodytext30"/>
    <w:rsid w:val="00607B68"/>
    <w:rPr>
      <w:b/>
      <w:bCs/>
      <w:shd w:val="clear" w:color="auto" w:fill="FFFFFF"/>
    </w:rPr>
  </w:style>
  <w:style w:type="character" w:customStyle="1" w:styleId="Bodytext5">
    <w:name w:val="Body text|5_"/>
    <w:basedOn w:val="DefaultParagraphFont"/>
    <w:link w:val="Bodytext50"/>
    <w:rsid w:val="00607B68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607B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fr" w:eastAsia="en-US" w:bidi="en-US"/>
    </w:rPr>
  </w:style>
  <w:style w:type="character" w:customStyle="1" w:styleId="Bodytext7">
    <w:name w:val="Body text|7_"/>
    <w:basedOn w:val="DefaultParagraphFont"/>
    <w:link w:val="Bodytext70"/>
    <w:rsid w:val="00607B68"/>
    <w:rPr>
      <w:i/>
      <w:iCs/>
      <w:shd w:val="clear" w:color="auto" w:fill="FFFFFF"/>
    </w:rPr>
  </w:style>
  <w:style w:type="character" w:customStyle="1" w:styleId="Bodytext3NotBold">
    <w:name w:val="Body text|3 + Not Bold"/>
    <w:basedOn w:val="Bodytext3"/>
    <w:semiHidden/>
    <w:unhideWhenUsed/>
    <w:rsid w:val="00607B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fr" w:eastAsia="en-US" w:bidi="en-US"/>
    </w:rPr>
  </w:style>
  <w:style w:type="character" w:customStyle="1" w:styleId="Bodytext2Italic">
    <w:name w:val="Body text|2 + Italic"/>
    <w:basedOn w:val="Bodytext2"/>
    <w:semiHidden/>
    <w:unhideWhenUsed/>
    <w:rsid w:val="00607B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fr" w:eastAsia="en-US" w:bidi="en-US"/>
    </w:rPr>
  </w:style>
  <w:style w:type="paragraph" w:customStyle="1" w:styleId="Bodytext20">
    <w:name w:val="Body text|2"/>
    <w:basedOn w:val="Normal"/>
    <w:link w:val="Bodytext2"/>
    <w:qFormat/>
    <w:rsid w:val="00607B68"/>
    <w:pPr>
      <w:widowControl w:val="0"/>
      <w:shd w:val="clear" w:color="auto" w:fill="FFFFFF"/>
      <w:spacing w:after="1440" w:line="269" w:lineRule="exact"/>
      <w:ind w:hanging="500"/>
    </w:pPr>
  </w:style>
  <w:style w:type="paragraph" w:customStyle="1" w:styleId="Bodytext30">
    <w:name w:val="Body text|3"/>
    <w:basedOn w:val="Normal"/>
    <w:link w:val="Bodytext3"/>
    <w:rsid w:val="00607B68"/>
    <w:pPr>
      <w:widowControl w:val="0"/>
      <w:shd w:val="clear" w:color="auto" w:fill="FFFFFF"/>
      <w:spacing w:before="1440" w:after="0" w:line="269" w:lineRule="exact"/>
      <w:ind w:hanging="500"/>
      <w:jc w:val="center"/>
    </w:pPr>
    <w:rPr>
      <w:b/>
      <w:bCs/>
    </w:rPr>
  </w:style>
  <w:style w:type="paragraph" w:customStyle="1" w:styleId="Bodytext50">
    <w:name w:val="Body text|5"/>
    <w:basedOn w:val="Normal"/>
    <w:link w:val="Bodytext5"/>
    <w:rsid w:val="00607B68"/>
    <w:pPr>
      <w:widowControl w:val="0"/>
      <w:shd w:val="clear" w:color="auto" w:fill="FFFFFF"/>
      <w:spacing w:before="240" w:after="240" w:line="266" w:lineRule="exact"/>
      <w:jc w:val="both"/>
    </w:pPr>
    <w:rPr>
      <w:b/>
      <w:bCs/>
      <w:sz w:val="18"/>
      <w:szCs w:val="18"/>
    </w:rPr>
  </w:style>
  <w:style w:type="paragraph" w:customStyle="1" w:styleId="Bodytext70">
    <w:name w:val="Body text|7"/>
    <w:basedOn w:val="Normal"/>
    <w:link w:val="Bodytext7"/>
    <w:rsid w:val="00607B68"/>
    <w:pPr>
      <w:widowControl w:val="0"/>
      <w:shd w:val="clear" w:color="auto" w:fill="FFFFFF"/>
      <w:spacing w:before="240" w:after="240" w:line="266" w:lineRule="exact"/>
      <w:jc w:val="both"/>
    </w:pPr>
    <w:rPr>
      <w:i/>
      <w:iCs/>
    </w:rPr>
  </w:style>
  <w:style w:type="character" w:customStyle="1" w:styleId="tlid-translation">
    <w:name w:val="tlid-translation"/>
    <w:basedOn w:val="DefaultParagraphFont"/>
    <w:rsid w:val="00FE2681"/>
  </w:style>
  <w:style w:type="paragraph" w:styleId="ListParagraph">
    <w:name w:val="List Paragraph"/>
    <w:basedOn w:val="Normal"/>
    <w:uiPriority w:val="34"/>
    <w:qFormat/>
    <w:rsid w:val="00FE2681"/>
    <w:pPr>
      <w:ind w:left="720"/>
      <w:contextualSpacing/>
    </w:pPr>
  </w:style>
  <w:style w:type="table" w:styleId="TableGrid">
    <w:name w:val="Table Grid"/>
    <w:basedOn w:val="TableNormal"/>
    <w:uiPriority w:val="39"/>
    <w:rsid w:val="00A6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7E"/>
  </w:style>
  <w:style w:type="paragraph" w:styleId="Footer">
    <w:name w:val="footer"/>
    <w:basedOn w:val="Normal"/>
    <w:link w:val="FooterChar"/>
    <w:uiPriority w:val="99"/>
    <w:unhideWhenUsed/>
    <w:rsid w:val="003B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7E"/>
  </w:style>
  <w:style w:type="paragraph" w:styleId="BalloonText">
    <w:name w:val="Balloon Text"/>
    <w:basedOn w:val="Normal"/>
    <w:link w:val="BalloonTextChar"/>
    <w:uiPriority w:val="99"/>
    <w:semiHidden/>
    <w:unhideWhenUsed/>
    <w:rsid w:val="003B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Georgieva</dc:creator>
  <cp:keywords/>
  <dc:description/>
  <cp:lastModifiedBy>Hristina Stoytcheva</cp:lastModifiedBy>
  <cp:revision>6</cp:revision>
  <cp:lastPrinted>2020-05-28T11:41:00Z</cp:lastPrinted>
  <dcterms:created xsi:type="dcterms:W3CDTF">2020-05-28T11:32:00Z</dcterms:created>
  <dcterms:modified xsi:type="dcterms:W3CDTF">2020-05-28T15:15:00Z</dcterms:modified>
</cp:coreProperties>
</file>