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9D" w:rsidRPr="00DD40A8" w:rsidRDefault="00AB40E0" w:rsidP="00DD40A8">
      <w:pPr>
        <w:jc w:val="center"/>
        <w:rPr>
          <w:b/>
          <w:sz w:val="28"/>
          <w:szCs w:val="28"/>
        </w:rPr>
      </w:pPr>
      <w:r w:rsidRPr="00DD40A8">
        <w:rPr>
          <w:b/>
          <w:sz w:val="28"/>
          <w:szCs w:val="28"/>
        </w:rPr>
        <w:t>Решение на Комисията</w:t>
      </w:r>
    </w:p>
    <w:p w:rsidR="00AB40E0" w:rsidRPr="00DD40A8" w:rsidRDefault="00DD40A8" w:rsidP="00E24820">
      <w:pPr>
        <w:jc w:val="center"/>
      </w:pPr>
      <w:r w:rsidRPr="00DD40A8">
        <w:t>о</w:t>
      </w:r>
      <w:r w:rsidR="00AB40E0" w:rsidRPr="00DD40A8">
        <w:t xml:space="preserve">т 28 </w:t>
      </w:r>
      <w:r w:rsidR="00E24820">
        <w:t>н</w:t>
      </w:r>
      <w:r w:rsidR="00AB40E0" w:rsidRPr="00DD40A8">
        <w:t>оември 2011</w:t>
      </w:r>
    </w:p>
    <w:p w:rsidR="00AB40E0" w:rsidRPr="00DD40A8" w:rsidRDefault="00DD40A8" w:rsidP="00E24820">
      <w:pPr>
        <w:jc w:val="center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 xml:space="preserve">за </w:t>
      </w:r>
      <w:r w:rsidR="00AB40E0" w:rsidRPr="00DD40A8">
        <w:rPr>
          <w:rFonts w:eastAsia="Times New Roman" w:cs="Times New Roman"/>
          <w:szCs w:val="24"/>
          <w:lang w:eastAsia="en-GB"/>
        </w:rPr>
        <w:t>създаване на Европейската платформа на множеството заинтересовани страни по въпросите на стандартизацията в областта на ИКТ</w:t>
      </w:r>
    </w:p>
    <w:p w:rsidR="00DD40A8" w:rsidRPr="00DD40A8" w:rsidRDefault="00DD40A8" w:rsidP="00E24820">
      <w:pPr>
        <w:jc w:val="center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(Европейска многостранна платформа за стандартизация в областта на ИКТ)</w:t>
      </w:r>
    </w:p>
    <w:p w:rsidR="00AB40E0" w:rsidRPr="00DD40A8" w:rsidRDefault="00AB40E0" w:rsidP="00E24820">
      <w:pPr>
        <w:jc w:val="center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(2011/С 349/04)</w:t>
      </w:r>
    </w:p>
    <w:p w:rsidR="00AB40E0" w:rsidRPr="00DD40A8" w:rsidRDefault="00AB40E0" w:rsidP="00DD40A8">
      <w:pPr>
        <w:jc w:val="both"/>
        <w:rPr>
          <w:rFonts w:eastAsia="Times New Roman" w:cs="Times New Roman"/>
          <w:szCs w:val="24"/>
          <w:lang w:eastAsia="en-GB"/>
        </w:rPr>
      </w:pPr>
    </w:p>
    <w:p w:rsidR="00AB40E0" w:rsidRPr="00DD40A8" w:rsidRDefault="00AB40E0" w:rsidP="00DD40A8">
      <w:pPr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ЕВРОПЕЙСКАТА КОМИСИЯ,</w:t>
      </w:r>
    </w:p>
    <w:p w:rsidR="00EE4CAC" w:rsidRPr="00DD40A8" w:rsidRDefault="007F1BF7" w:rsidP="00DD40A8">
      <w:pPr>
        <w:jc w:val="both"/>
      </w:pPr>
      <w:r w:rsidRPr="00DD40A8">
        <w:t>Взимайки</w:t>
      </w:r>
      <w:r w:rsidR="00EE4CAC" w:rsidRPr="00DD40A8">
        <w:t xml:space="preserve"> предвид</w:t>
      </w:r>
      <w:r w:rsidR="00AB40E0" w:rsidRPr="00DD40A8">
        <w:t xml:space="preserve"> Договора за функционирането на Европейския съюз,</w:t>
      </w:r>
      <w:r w:rsidR="00AB40E0" w:rsidRPr="00DD40A8">
        <w:br/>
      </w:r>
      <w:r w:rsidR="00EE4CAC" w:rsidRPr="00DD40A8">
        <w:t>Където</w:t>
      </w:r>
      <w:r w:rsidR="00AB40E0" w:rsidRPr="00DD40A8">
        <w:t>:</w:t>
      </w:r>
    </w:p>
    <w:p w:rsidR="00EE4CAC" w:rsidRPr="00DD40A8" w:rsidRDefault="00AB40E0" w:rsidP="00E24820">
      <w:pPr>
        <w:spacing w:after="120"/>
        <w:jc w:val="both"/>
      </w:pPr>
      <w:r w:rsidRPr="00DD40A8">
        <w:t xml:space="preserve">(1) В стратегията </w:t>
      </w:r>
      <w:r w:rsidR="00DD40A8" w:rsidRPr="00DD40A8">
        <w:t>„</w:t>
      </w:r>
      <w:r w:rsidRPr="00DD40A8">
        <w:t>Европа 2020</w:t>
      </w:r>
      <w:r w:rsidR="00DD40A8" w:rsidRPr="00DD40A8">
        <w:t>“</w:t>
      </w:r>
      <w:r w:rsidRPr="00DD40A8">
        <w:t>, както е посочено в съобще</w:t>
      </w:r>
      <w:r w:rsidR="00DD40A8" w:rsidRPr="00DD40A8">
        <w:t>нието на Комисията, озаглавено „</w:t>
      </w:r>
      <w:r w:rsidRPr="00DD40A8">
        <w:t xml:space="preserve">Европа 2020: Стратегия за интелигентен, устойчив и приобщаващ растеж", </w:t>
      </w:r>
      <w:r w:rsidR="00EE4CAC" w:rsidRPr="00DD40A8">
        <w:t xml:space="preserve">е установена </w:t>
      </w:r>
      <w:r w:rsidRPr="00DD40A8">
        <w:t>визия</w:t>
      </w:r>
      <w:r w:rsidR="00EE4CAC" w:rsidRPr="00DD40A8">
        <w:t>та</w:t>
      </w:r>
      <w:r w:rsidRPr="00DD40A8">
        <w:t xml:space="preserve"> за европейска социална пазарна икономика през 21-ти век</w:t>
      </w:r>
      <w:r w:rsidR="00EE4CAC" w:rsidRPr="00DD40A8">
        <w:t>, възползваща се от</w:t>
      </w:r>
      <w:r w:rsidRPr="00DD40A8">
        <w:t xml:space="preserve"> пълн</w:t>
      </w:r>
      <w:r w:rsidR="00EE4CAC" w:rsidRPr="00DD40A8">
        <w:t>ите</w:t>
      </w:r>
      <w:r w:rsidRPr="00DD40A8">
        <w:t xml:space="preserve"> икономически и социални ползи </w:t>
      </w:r>
      <w:r w:rsidR="00EE4CAC" w:rsidRPr="00DD40A8">
        <w:t xml:space="preserve">на </w:t>
      </w:r>
      <w:r w:rsidRPr="00DD40A8">
        <w:t>цифров</w:t>
      </w:r>
      <w:r w:rsidR="00EE4CAC" w:rsidRPr="00DD40A8">
        <w:t>ото</w:t>
      </w:r>
      <w:r w:rsidRPr="00DD40A8">
        <w:t xml:space="preserve"> общество. </w:t>
      </w:r>
      <w:r w:rsidR="00EE4CAC" w:rsidRPr="00DD40A8">
        <w:t>Тя</w:t>
      </w:r>
      <w:r w:rsidRPr="00DD40A8">
        <w:t xml:space="preserve"> подчертава значението на </w:t>
      </w:r>
      <w:r w:rsidR="00EE4CAC" w:rsidRPr="00DD40A8">
        <w:t>подпомагането</w:t>
      </w:r>
      <w:r w:rsidRPr="00DD40A8">
        <w:t xml:space="preserve"> на растежа на европейската икономика, като същевременно с</w:t>
      </w:r>
      <w:r w:rsidR="00EE4CAC" w:rsidRPr="00DD40A8">
        <w:t xml:space="preserve">е </w:t>
      </w:r>
      <w:r w:rsidR="00E24820" w:rsidRPr="00DD40A8">
        <w:t>поддържат</w:t>
      </w:r>
      <w:r w:rsidRPr="00DD40A8">
        <w:t xml:space="preserve"> високи нива на производителност </w:t>
      </w:r>
      <w:r w:rsidR="00EE4CAC" w:rsidRPr="00DD40A8">
        <w:t>на труда</w:t>
      </w:r>
      <w:r w:rsidRPr="00DD40A8">
        <w:t xml:space="preserve">, </w:t>
      </w:r>
      <w:r w:rsidR="00EE4CAC" w:rsidRPr="00DD40A8">
        <w:t>ниски нива на въглеродни емисии и социално единство</w:t>
      </w:r>
      <w:r w:rsidRPr="00DD40A8">
        <w:t>.</w:t>
      </w:r>
    </w:p>
    <w:p w:rsidR="00EE4CAC" w:rsidRPr="00DD40A8" w:rsidRDefault="00AB40E0" w:rsidP="00E24820">
      <w:pPr>
        <w:spacing w:after="120"/>
        <w:jc w:val="both"/>
      </w:pPr>
      <w:r w:rsidRPr="00DD40A8">
        <w:t>(2) Ед</w:t>
      </w:r>
      <w:r w:rsidR="00DD40A8" w:rsidRPr="00DD40A8">
        <w:t>на</w:t>
      </w:r>
      <w:r w:rsidRPr="00DD40A8">
        <w:t xml:space="preserve"> от водещите инициативи на стратегията Европа 2020, определени в съобщението на Комисията, озаглавено "</w:t>
      </w:r>
      <w:r w:rsidR="00EE4CAC" w:rsidRPr="00DD40A8">
        <w:rPr>
          <w:rFonts w:cs="EUAlbertina"/>
          <w:color w:val="000000"/>
        </w:rPr>
        <w:t xml:space="preserve">A </w:t>
      </w:r>
      <w:proofErr w:type="spellStart"/>
      <w:r w:rsidR="00EE4CAC" w:rsidRPr="00DD40A8">
        <w:rPr>
          <w:rFonts w:cs="EUAlbertina"/>
          <w:color w:val="000000"/>
        </w:rPr>
        <w:t>Digital</w:t>
      </w:r>
      <w:proofErr w:type="spellEnd"/>
      <w:r w:rsidR="00EE4CAC" w:rsidRPr="00DD40A8">
        <w:rPr>
          <w:rFonts w:cs="EUAlbertina"/>
          <w:color w:val="000000"/>
        </w:rPr>
        <w:t xml:space="preserve"> </w:t>
      </w:r>
      <w:proofErr w:type="spellStart"/>
      <w:r w:rsidR="00EE4CAC" w:rsidRPr="00DD40A8">
        <w:rPr>
          <w:rFonts w:cs="EUAlbertina"/>
          <w:color w:val="000000"/>
        </w:rPr>
        <w:t>Agenda</w:t>
      </w:r>
      <w:proofErr w:type="spellEnd"/>
      <w:r w:rsidR="00EE4CAC" w:rsidRPr="00DD40A8">
        <w:rPr>
          <w:rFonts w:cs="EUAlbertina"/>
          <w:color w:val="000000"/>
        </w:rPr>
        <w:t xml:space="preserve"> </w:t>
      </w:r>
      <w:proofErr w:type="spellStart"/>
      <w:r w:rsidR="00EE4CAC" w:rsidRPr="00DD40A8">
        <w:rPr>
          <w:rFonts w:cs="EUAlbertina"/>
          <w:color w:val="000000"/>
        </w:rPr>
        <w:t>for</w:t>
      </w:r>
      <w:proofErr w:type="spellEnd"/>
      <w:r w:rsidR="00EE4CAC" w:rsidRPr="00DD40A8">
        <w:rPr>
          <w:rFonts w:cs="EUAlbertina"/>
          <w:color w:val="000000"/>
        </w:rPr>
        <w:t xml:space="preserve"> </w:t>
      </w:r>
      <w:proofErr w:type="spellStart"/>
      <w:r w:rsidR="00EE4CAC" w:rsidRPr="00DD40A8">
        <w:rPr>
          <w:rFonts w:cs="EUAlbertina"/>
          <w:color w:val="000000"/>
        </w:rPr>
        <w:t>Europe</w:t>
      </w:r>
      <w:proofErr w:type="spellEnd"/>
      <w:r w:rsidR="00EE4CAC" w:rsidRPr="00DD40A8">
        <w:t xml:space="preserve"> </w:t>
      </w:r>
      <w:r w:rsidRPr="00DD40A8">
        <w:t xml:space="preserve">", </w:t>
      </w:r>
      <w:r w:rsidR="00BF577B" w:rsidRPr="00DD40A8">
        <w:t>отрежда водеща</w:t>
      </w:r>
      <w:r w:rsidRPr="00DD40A8">
        <w:t xml:space="preserve"> роля </w:t>
      </w:r>
      <w:r w:rsidR="00BF577B" w:rsidRPr="00DD40A8">
        <w:t>на</w:t>
      </w:r>
      <w:r w:rsidRPr="00DD40A8">
        <w:t xml:space="preserve"> подобряване</w:t>
      </w:r>
      <w:r w:rsidR="00BF577B" w:rsidRPr="00DD40A8">
        <w:t>то на процеса на определяне на стандарти</w:t>
      </w:r>
      <w:r w:rsidRPr="00DD40A8">
        <w:t xml:space="preserve"> в областта на информационните и комуникационните технологии (ИКТ) </w:t>
      </w:r>
      <w:r w:rsidR="00BF577B" w:rsidRPr="00DD40A8">
        <w:t>с цел осигуряването на</w:t>
      </w:r>
      <w:r w:rsidRPr="00DD40A8">
        <w:t xml:space="preserve"> оперативна съвместимост между ИКТ приложения, услуги и продукти с оглед на намаляване фрагментацията на единния цифров пазар, като в същото време </w:t>
      </w:r>
      <w:r w:rsidR="00EE4CAC" w:rsidRPr="00DD40A8">
        <w:t>се насърчават</w:t>
      </w:r>
      <w:r w:rsidRPr="00DD40A8">
        <w:t xml:space="preserve"> иновациите и конкуренцията.</w:t>
      </w:r>
    </w:p>
    <w:p w:rsidR="00F1767E" w:rsidRPr="00DD40A8" w:rsidRDefault="00AB40E0" w:rsidP="00E24820">
      <w:pPr>
        <w:spacing w:after="120"/>
        <w:jc w:val="both"/>
      </w:pPr>
      <w:r w:rsidRPr="00DD40A8">
        <w:t xml:space="preserve">(3) Друга водеща инициатива на стратегията </w:t>
      </w:r>
      <w:r w:rsidR="00DD40A8" w:rsidRPr="00DD40A8">
        <w:t>„</w:t>
      </w:r>
      <w:r w:rsidRPr="00DD40A8">
        <w:t>Европа 2020</w:t>
      </w:r>
      <w:r w:rsidR="00DD40A8" w:rsidRPr="00DD40A8">
        <w:t>“</w:t>
      </w:r>
      <w:r w:rsidRPr="00DD40A8">
        <w:t xml:space="preserve">, </w:t>
      </w:r>
      <w:r w:rsidR="00F1767E" w:rsidRPr="00DD40A8">
        <w:t>посочена</w:t>
      </w:r>
      <w:r w:rsidRPr="00DD40A8">
        <w:t xml:space="preserve"> в съобщението на Комисията, озаглавен</w:t>
      </w:r>
      <w:r w:rsidR="00F1767E" w:rsidRPr="00DD40A8">
        <w:t>а</w:t>
      </w:r>
      <w:r w:rsidR="00DD40A8" w:rsidRPr="00DD40A8">
        <w:t xml:space="preserve"> „</w:t>
      </w:r>
      <w:r w:rsidRPr="00DD40A8">
        <w:t>Интегрирана индустриална политика за ерата на глобализацията - Извеждане на конкурентоспособността и устойчивото развитие</w:t>
      </w:r>
      <w:r w:rsidR="00F1767E" w:rsidRPr="00DD40A8">
        <w:t xml:space="preserve"> на преден план</w:t>
      </w:r>
      <w:r w:rsidR="00DD40A8" w:rsidRPr="00DD40A8">
        <w:t>“</w:t>
      </w:r>
      <w:r w:rsidRPr="00DD40A8">
        <w:t xml:space="preserve">, призовава Европа да разработи стандарти </w:t>
      </w:r>
      <w:r w:rsidR="00DD40A8" w:rsidRPr="00DD40A8">
        <w:t>за система, която отговаря на</w:t>
      </w:r>
      <w:r w:rsidRPr="00DD40A8">
        <w:t xml:space="preserve"> очакванията както на пазарните участници и на европейските публични органи, така </w:t>
      </w:r>
      <w:r w:rsidR="00DD40A8" w:rsidRPr="00DD40A8">
        <w:t xml:space="preserve">и </w:t>
      </w:r>
      <w:r w:rsidRPr="00DD40A8">
        <w:t>за насърчаване на европейското влияние извън единния пазар в глобализираната икономика.</w:t>
      </w:r>
    </w:p>
    <w:p w:rsidR="003341FD" w:rsidRPr="00DD40A8" w:rsidRDefault="00AB40E0" w:rsidP="00E24820">
      <w:pPr>
        <w:spacing w:after="120"/>
        <w:jc w:val="both"/>
        <w:rPr>
          <w:highlight w:val="yellow"/>
        </w:rPr>
      </w:pPr>
      <w:r w:rsidRPr="00DD40A8">
        <w:t xml:space="preserve">(4) </w:t>
      </w:r>
      <w:r w:rsidR="00DD40A8" w:rsidRPr="00DD40A8">
        <w:t>Съобщението</w:t>
      </w:r>
      <w:r w:rsidRPr="00DD40A8">
        <w:t xml:space="preserve"> на Комисията, озаглавено </w:t>
      </w:r>
      <w:r w:rsidR="00DD40A8" w:rsidRPr="00DD40A8">
        <w:t>„</w:t>
      </w:r>
      <w:r w:rsidRPr="00DD40A8">
        <w:t>Стратегическа визия за европейските стандарти: към по</w:t>
      </w:r>
      <w:r w:rsidR="00BB52DD" w:rsidRPr="00DD40A8">
        <w:t>добрен</w:t>
      </w:r>
      <w:r w:rsidRPr="00DD40A8">
        <w:t xml:space="preserve"> и ускорен устойчив растеж на европейската икономика до 2020 г.</w:t>
      </w:r>
      <w:r w:rsidR="00DD40A8" w:rsidRPr="00DD40A8">
        <w:t>“</w:t>
      </w:r>
      <w:r w:rsidRPr="00DD40A8">
        <w:t xml:space="preserve">, посочва, че през 2011 г. Комисията </w:t>
      </w:r>
      <w:r w:rsidR="00BB52DD" w:rsidRPr="00DD40A8">
        <w:t xml:space="preserve">ще създаде и ръководи специализирана платформа на базата на подхода на </w:t>
      </w:r>
      <w:r w:rsidRPr="00DD40A8">
        <w:t>множество</w:t>
      </w:r>
      <w:r w:rsidR="00BB52DD" w:rsidRPr="00DD40A8">
        <w:t>то</w:t>
      </w:r>
      <w:r w:rsidRPr="00DD40A8">
        <w:t xml:space="preserve"> заинтересовани страни</w:t>
      </w:r>
      <w:r w:rsidR="00BB52DD" w:rsidRPr="00DD40A8">
        <w:t>, която да съветва</w:t>
      </w:r>
      <w:r w:rsidRPr="00DD40A8">
        <w:t xml:space="preserve"> по въпросите, свързани с прилагането на политиката за стандартизация на ИКТ, включително работната програма за стандартизация в областта на ИКТ, </w:t>
      </w:r>
      <w:r w:rsidR="00BB52DD" w:rsidRPr="00DD40A8">
        <w:t xml:space="preserve">определянето на </w:t>
      </w:r>
      <w:r w:rsidR="00BB52DD" w:rsidRPr="00DD40A8">
        <w:lastRenderedPageBreak/>
        <w:t>приоритетите в</w:t>
      </w:r>
      <w:r w:rsidRPr="00DD40A8">
        <w:t xml:space="preserve"> подкрепа на законодателство и политики и определяне на спецификации, разработени от световните организации за развитие на ИКТ стандарти.</w:t>
      </w:r>
    </w:p>
    <w:p w:rsidR="003341FD" w:rsidRPr="00DD40A8" w:rsidRDefault="00AB40E0" w:rsidP="00E24820">
      <w:pPr>
        <w:spacing w:after="120"/>
        <w:jc w:val="both"/>
      </w:pPr>
      <w:r w:rsidRPr="00DD40A8">
        <w:t>(5) Поради това е необходимо да се създаде платформа на</w:t>
      </w:r>
      <w:r w:rsidR="003341FD" w:rsidRPr="00DD40A8">
        <w:t xml:space="preserve"> базата на модела на</w:t>
      </w:r>
      <w:r w:rsidRPr="00DD40A8">
        <w:t xml:space="preserve"> множество</w:t>
      </w:r>
      <w:r w:rsidR="003341FD" w:rsidRPr="00DD40A8">
        <w:t>то</w:t>
      </w:r>
      <w:r w:rsidRPr="00DD40A8">
        <w:t xml:space="preserve"> заинтересовани страни в областта на стандартизацията </w:t>
      </w:r>
      <w:r w:rsidR="00DD40A8" w:rsidRPr="00DD40A8">
        <w:t>в</w:t>
      </w:r>
      <w:r w:rsidRPr="00DD40A8">
        <w:t xml:space="preserve"> ИКТ и да се определят задачите и структурата </w:t>
      </w:r>
      <w:r w:rsidR="003341FD" w:rsidRPr="00DD40A8">
        <w:t>й</w:t>
      </w:r>
      <w:r w:rsidRPr="00DD40A8">
        <w:t>.</w:t>
      </w:r>
    </w:p>
    <w:p w:rsidR="00AB40E0" w:rsidRPr="00DD40A8" w:rsidRDefault="00AB40E0" w:rsidP="00E24820">
      <w:pPr>
        <w:spacing w:after="120"/>
        <w:jc w:val="both"/>
      </w:pPr>
      <w:r w:rsidRPr="00DD40A8">
        <w:t xml:space="preserve">(6) Платформата на </w:t>
      </w:r>
      <w:r w:rsidR="003341FD" w:rsidRPr="00DD40A8">
        <w:t xml:space="preserve">базата на модела на </w:t>
      </w:r>
      <w:r w:rsidRPr="00DD40A8">
        <w:t>множество заинтересовани страни трябва да се състои от представители на националните органи на държавите-членки и страните от Е</w:t>
      </w:r>
      <w:r w:rsidR="003341FD" w:rsidRPr="00DD40A8">
        <w:t>АСТ; заинтересовани организации</w:t>
      </w:r>
      <w:r w:rsidRPr="00DD40A8">
        <w:t xml:space="preserve"> представляващи промишлеността, малките и средни предприятия, потребители и други о</w:t>
      </w:r>
      <w:r w:rsidR="003341FD" w:rsidRPr="00DD40A8">
        <w:t>бществени заинтересовани страни;</w:t>
      </w:r>
      <w:r w:rsidRPr="00DD40A8">
        <w:t xml:space="preserve"> европейските и международните органи по стандартизация и други организации с нестопанска цел, които са професионални общества</w:t>
      </w:r>
      <w:r w:rsidR="003341FD" w:rsidRPr="00DD40A8">
        <w:t>;</w:t>
      </w:r>
      <w:r w:rsidRPr="00DD40A8">
        <w:t xml:space="preserve"> промишлени или търговски асоциации или други организации с нестопанска цел, работещи в Европа, </w:t>
      </w:r>
      <w:r w:rsidR="003341FD" w:rsidRPr="00DD40A8">
        <w:t>които в</w:t>
      </w:r>
      <w:r w:rsidRPr="00DD40A8">
        <w:t xml:space="preserve"> рамките на </w:t>
      </w:r>
      <w:r w:rsidR="003341FD" w:rsidRPr="00DD40A8">
        <w:t>своят</w:t>
      </w:r>
      <w:r w:rsidRPr="00DD40A8">
        <w:t>а компетентност разработват стандарти в областта на ИКТ.</w:t>
      </w:r>
    </w:p>
    <w:p w:rsidR="003341FD" w:rsidRPr="00DD40A8" w:rsidRDefault="003341FD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 xml:space="preserve">(7) Правилата за разкриване на информация от членовете на Платформата трябва да бъдат създадени като се вземат предвид правилата на Комисията относно сигурността, определени в приложението към Решение на Комисията 2001/844 / ЕО, ЕОВС, </w:t>
      </w:r>
      <w:proofErr w:type="spellStart"/>
      <w:r w:rsidRPr="00DD40A8">
        <w:rPr>
          <w:rFonts w:eastAsia="Times New Roman" w:cs="Times New Roman"/>
          <w:szCs w:val="24"/>
          <w:lang w:eastAsia="en-GB"/>
        </w:rPr>
        <w:t>Евратом</w:t>
      </w:r>
      <w:proofErr w:type="spellEnd"/>
      <w:r w:rsidRPr="00DD40A8">
        <w:rPr>
          <w:rFonts w:eastAsia="Times New Roman" w:cs="Times New Roman"/>
          <w:szCs w:val="24"/>
          <w:lang w:eastAsia="en-GB"/>
        </w:rPr>
        <w:t>.</w:t>
      </w:r>
    </w:p>
    <w:p w:rsidR="003341FD" w:rsidRPr="00DD40A8" w:rsidRDefault="003341FD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(8) Личните данни трябва да бъдат обработвани в съответствие с Регламент (ЕО) № 45/2001 на Европейския парламент и на Съвета от 18 декември 2000 г. относно защитата на лицата по отношение на обработката на лични данни от институции и органи на Общността и за свободното движение на тези данни</w:t>
      </w:r>
      <w:r w:rsidR="007F1BF7" w:rsidRPr="00DD40A8">
        <w:rPr>
          <w:rFonts w:eastAsia="Times New Roman" w:cs="Times New Roman"/>
          <w:szCs w:val="24"/>
          <w:lang w:eastAsia="en-GB"/>
        </w:rPr>
        <w:t>.</w:t>
      </w:r>
    </w:p>
    <w:p w:rsidR="007F1BF7" w:rsidRPr="00DD40A8" w:rsidRDefault="007F1BF7" w:rsidP="00DD40A8">
      <w:pPr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7F1BF7" w:rsidRPr="00DD40A8" w:rsidRDefault="007F1BF7" w:rsidP="00DD40A8">
      <w:pPr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СТИГА ДО СЛЕДНОТО РЕШЕНИЕ:</w:t>
      </w:r>
    </w:p>
    <w:p w:rsidR="007F1BF7" w:rsidRPr="00DD40A8" w:rsidRDefault="007F1BF7" w:rsidP="00DD40A8">
      <w:pPr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7F1BF7" w:rsidRPr="00FA232B" w:rsidRDefault="007F1BF7" w:rsidP="00DD40A8">
      <w:pPr>
        <w:spacing w:after="0" w:line="240" w:lineRule="auto"/>
        <w:jc w:val="both"/>
        <w:rPr>
          <w:rFonts w:eastAsia="Times New Roman" w:cs="Times New Roman"/>
          <w:b/>
          <w:szCs w:val="24"/>
          <w:lang w:eastAsia="en-GB"/>
        </w:rPr>
      </w:pPr>
      <w:r w:rsidRPr="00FA232B">
        <w:rPr>
          <w:rFonts w:eastAsia="Times New Roman" w:cs="Times New Roman"/>
          <w:b/>
          <w:szCs w:val="24"/>
          <w:lang w:eastAsia="en-GB"/>
        </w:rPr>
        <w:t>Член 1</w:t>
      </w:r>
    </w:p>
    <w:p w:rsidR="007F1BF7" w:rsidRPr="00FA232B" w:rsidRDefault="007F1BF7" w:rsidP="00DD40A8">
      <w:pPr>
        <w:spacing w:after="60" w:line="240" w:lineRule="auto"/>
        <w:jc w:val="both"/>
        <w:rPr>
          <w:rFonts w:eastAsia="Times New Roman" w:cs="Times New Roman"/>
          <w:b/>
          <w:szCs w:val="24"/>
          <w:u w:val="single"/>
          <w:lang w:eastAsia="en-GB"/>
        </w:rPr>
      </w:pPr>
      <w:r w:rsidRPr="00FA232B">
        <w:rPr>
          <w:rFonts w:eastAsia="Times New Roman" w:cs="Times New Roman"/>
          <w:b/>
          <w:szCs w:val="24"/>
          <w:u w:val="single"/>
          <w:lang w:eastAsia="en-GB"/>
        </w:rPr>
        <w:t>Предмет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Създава се Европейската платформа на базата на модела на множеството заинтересовани страни по въпросите на стандартизацията в областта на ИКТ, наричан</w:t>
      </w:r>
      <w:r w:rsidR="00DD40A8">
        <w:rPr>
          <w:rFonts w:eastAsia="Times New Roman" w:cs="Times New Roman"/>
          <w:szCs w:val="24"/>
          <w:lang w:eastAsia="en-GB"/>
        </w:rPr>
        <w:t>а</w:t>
      </w:r>
      <w:r w:rsidRPr="00DD40A8">
        <w:rPr>
          <w:rFonts w:eastAsia="Times New Roman" w:cs="Times New Roman"/>
          <w:szCs w:val="24"/>
          <w:lang w:eastAsia="en-GB"/>
        </w:rPr>
        <w:t xml:space="preserve"> по-нататък </w:t>
      </w:r>
      <w:r w:rsidR="00DD40A8">
        <w:rPr>
          <w:rFonts w:eastAsia="Times New Roman" w:cs="Times New Roman"/>
          <w:szCs w:val="24"/>
          <w:lang w:eastAsia="en-GB"/>
        </w:rPr>
        <w:t>„</w:t>
      </w:r>
      <w:r w:rsidRPr="00DD40A8">
        <w:rPr>
          <w:rFonts w:eastAsia="Times New Roman" w:cs="Times New Roman"/>
          <w:szCs w:val="24"/>
          <w:lang w:eastAsia="en-GB"/>
        </w:rPr>
        <w:t>Платформата</w:t>
      </w:r>
      <w:r w:rsidR="00DD40A8">
        <w:rPr>
          <w:rFonts w:eastAsia="Times New Roman" w:cs="Times New Roman"/>
          <w:szCs w:val="24"/>
          <w:lang w:eastAsia="en-GB"/>
        </w:rPr>
        <w:t>“</w:t>
      </w:r>
      <w:r w:rsidRPr="00DD40A8">
        <w:rPr>
          <w:rFonts w:eastAsia="Times New Roman" w:cs="Times New Roman"/>
          <w:szCs w:val="24"/>
          <w:lang w:eastAsia="en-GB"/>
        </w:rPr>
        <w:t>.</w:t>
      </w:r>
    </w:p>
    <w:p w:rsidR="00FA232B" w:rsidRDefault="00FA232B" w:rsidP="00DD40A8">
      <w:pPr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</w:p>
    <w:p w:rsidR="007F1BF7" w:rsidRPr="00FA232B" w:rsidRDefault="007F1BF7" w:rsidP="00DD40A8">
      <w:pPr>
        <w:spacing w:after="0" w:line="240" w:lineRule="auto"/>
        <w:jc w:val="both"/>
        <w:rPr>
          <w:rFonts w:eastAsia="Times New Roman" w:cs="Times New Roman"/>
          <w:b/>
          <w:szCs w:val="24"/>
          <w:lang w:eastAsia="en-GB"/>
        </w:rPr>
      </w:pPr>
      <w:r w:rsidRPr="00FA232B">
        <w:rPr>
          <w:rFonts w:eastAsia="Times New Roman" w:cs="Times New Roman"/>
          <w:b/>
          <w:szCs w:val="24"/>
          <w:lang w:eastAsia="en-GB"/>
        </w:rPr>
        <w:t>Член 2</w:t>
      </w:r>
    </w:p>
    <w:p w:rsidR="007F1BF7" w:rsidRPr="00FA232B" w:rsidRDefault="007F1BF7" w:rsidP="00DD40A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en-GB"/>
        </w:rPr>
      </w:pPr>
      <w:r w:rsidRPr="00FA232B">
        <w:rPr>
          <w:rFonts w:eastAsia="Times New Roman" w:cs="Times New Roman"/>
          <w:b/>
          <w:szCs w:val="24"/>
          <w:u w:val="single"/>
          <w:lang w:eastAsia="en-GB"/>
        </w:rPr>
        <w:t>Задачи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Задачи на Платформата ще бъдат: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а</w:t>
      </w:r>
      <w:r w:rsidRPr="00DD40A8">
        <w:rPr>
          <w:rFonts w:eastAsia="Times New Roman" w:cs="Times New Roman"/>
          <w:szCs w:val="24"/>
          <w:lang w:eastAsia="en-GB"/>
        </w:rPr>
        <w:t xml:space="preserve">) да съветва Комисията по всички въпроси, свързани с европейската политика за стандартизация </w:t>
      </w:r>
      <w:r w:rsidR="00DD40A8">
        <w:rPr>
          <w:rFonts w:eastAsia="Times New Roman" w:cs="Times New Roman"/>
          <w:szCs w:val="24"/>
          <w:lang w:eastAsia="en-GB"/>
        </w:rPr>
        <w:t>в</w:t>
      </w:r>
      <w:r w:rsidRPr="00DD40A8">
        <w:rPr>
          <w:rFonts w:eastAsia="Times New Roman" w:cs="Times New Roman"/>
          <w:szCs w:val="24"/>
          <w:lang w:eastAsia="en-GB"/>
        </w:rPr>
        <w:t xml:space="preserve"> ИКТ и </w:t>
      </w:r>
      <w:r w:rsidR="00DD40A8" w:rsidRPr="00DD40A8">
        <w:rPr>
          <w:rFonts w:eastAsia="Times New Roman" w:cs="Times New Roman"/>
          <w:szCs w:val="24"/>
          <w:lang w:eastAsia="en-GB"/>
        </w:rPr>
        <w:t>нейното</w:t>
      </w:r>
      <w:r w:rsidRPr="00DD40A8">
        <w:rPr>
          <w:rFonts w:eastAsia="Times New Roman" w:cs="Times New Roman"/>
          <w:szCs w:val="24"/>
          <w:lang w:eastAsia="en-GB"/>
        </w:rPr>
        <w:t xml:space="preserve"> ефективно прилагане; 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б</w:t>
      </w:r>
      <w:r w:rsidRPr="00DD40A8">
        <w:rPr>
          <w:rFonts w:eastAsia="Times New Roman" w:cs="Times New Roman"/>
          <w:szCs w:val="24"/>
          <w:lang w:eastAsia="en-GB"/>
        </w:rPr>
        <w:t xml:space="preserve">) да съветва Комисията по </w:t>
      </w:r>
      <w:r w:rsidR="00DD40A8" w:rsidRPr="00DD40A8">
        <w:rPr>
          <w:rFonts w:eastAsia="Times New Roman" w:cs="Times New Roman"/>
          <w:szCs w:val="24"/>
          <w:lang w:eastAsia="en-GB"/>
        </w:rPr>
        <w:t>нейната работна програма и приоритетите й</w:t>
      </w:r>
      <w:r w:rsidR="00DD40A8" w:rsidRPr="00DD40A8">
        <w:rPr>
          <w:rFonts w:eastAsia="Times New Roman" w:cs="Times New Roman"/>
          <w:szCs w:val="24"/>
          <w:lang w:eastAsia="en-GB"/>
        </w:rPr>
        <w:t xml:space="preserve"> </w:t>
      </w:r>
      <w:r w:rsidR="00DD40A8">
        <w:rPr>
          <w:rFonts w:eastAsia="Times New Roman" w:cs="Times New Roman"/>
          <w:szCs w:val="24"/>
          <w:lang w:eastAsia="en-GB"/>
        </w:rPr>
        <w:t xml:space="preserve">в областта на </w:t>
      </w:r>
      <w:r w:rsidRPr="00DD40A8">
        <w:rPr>
          <w:rFonts w:eastAsia="Times New Roman" w:cs="Times New Roman"/>
          <w:szCs w:val="24"/>
          <w:lang w:eastAsia="en-GB"/>
        </w:rPr>
        <w:t xml:space="preserve">стандартизацията </w:t>
      </w:r>
      <w:r w:rsidR="00DD40A8">
        <w:rPr>
          <w:rFonts w:eastAsia="Times New Roman" w:cs="Times New Roman"/>
          <w:szCs w:val="24"/>
          <w:lang w:eastAsia="en-GB"/>
        </w:rPr>
        <w:t>в</w:t>
      </w:r>
      <w:r w:rsidRPr="00DD40A8">
        <w:rPr>
          <w:rFonts w:eastAsia="Times New Roman" w:cs="Times New Roman"/>
          <w:szCs w:val="24"/>
          <w:lang w:eastAsia="en-GB"/>
        </w:rPr>
        <w:t xml:space="preserve"> ИКТ;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в</w:t>
      </w:r>
      <w:r w:rsidRPr="00DD40A8">
        <w:rPr>
          <w:rFonts w:eastAsia="Times New Roman" w:cs="Times New Roman"/>
          <w:szCs w:val="24"/>
          <w:lang w:eastAsia="en-GB"/>
        </w:rPr>
        <w:t>) да идентифицира потенциалните бъдещи нужди от ИКТ стандартизация в подкрепа на Европейското законодателство, политики и обществените поръчки;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г</w:t>
      </w:r>
      <w:r w:rsidRPr="00DD40A8">
        <w:rPr>
          <w:rFonts w:eastAsia="Times New Roman" w:cs="Times New Roman"/>
          <w:szCs w:val="24"/>
          <w:lang w:eastAsia="en-GB"/>
        </w:rPr>
        <w:t xml:space="preserve">) да съветва Комисията относно възможните мандати за ИКТ стандартизация, отнасящи се за европейските органи по стандартизация и дейностите, които могат да </w:t>
      </w:r>
      <w:r w:rsidRPr="00DD40A8">
        <w:rPr>
          <w:rFonts w:eastAsia="Times New Roman" w:cs="Times New Roman"/>
          <w:szCs w:val="24"/>
          <w:lang w:eastAsia="en-GB"/>
        </w:rPr>
        <w:lastRenderedPageBreak/>
        <w:t>бъдат извършени от други органи, в сътрудничество с европейските органи по стандартизация;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д</w:t>
      </w:r>
      <w:r w:rsidRPr="00DD40A8">
        <w:rPr>
          <w:rFonts w:eastAsia="Times New Roman" w:cs="Times New Roman"/>
          <w:szCs w:val="24"/>
          <w:lang w:eastAsia="en-GB"/>
        </w:rPr>
        <w:t xml:space="preserve">) да консултира Комисията относно напредъка на стандартизацията </w:t>
      </w:r>
      <w:r w:rsidR="00DD40A8">
        <w:rPr>
          <w:rFonts w:eastAsia="Times New Roman" w:cs="Times New Roman"/>
          <w:szCs w:val="24"/>
          <w:lang w:eastAsia="en-GB"/>
        </w:rPr>
        <w:t>в</w:t>
      </w:r>
      <w:r w:rsidRPr="00DD40A8">
        <w:rPr>
          <w:rFonts w:eastAsia="Times New Roman" w:cs="Times New Roman"/>
          <w:szCs w:val="24"/>
          <w:lang w:eastAsia="en-GB"/>
        </w:rPr>
        <w:t xml:space="preserve"> ИКТ и свързаните с тях дейности в подкрепа на законодателството и политиките;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е</w:t>
      </w:r>
      <w:r w:rsidRPr="00DD40A8">
        <w:rPr>
          <w:rFonts w:eastAsia="Times New Roman" w:cs="Times New Roman"/>
          <w:szCs w:val="24"/>
          <w:lang w:eastAsia="en-GB"/>
        </w:rPr>
        <w:t>) да съветва Комисията по нейните</w:t>
      </w:r>
      <w:r w:rsidR="00DD40A8">
        <w:rPr>
          <w:rFonts w:eastAsia="Times New Roman" w:cs="Times New Roman"/>
          <w:szCs w:val="24"/>
          <w:lang w:eastAsia="en-GB"/>
        </w:rPr>
        <w:t xml:space="preserve"> </w:t>
      </w:r>
      <w:r w:rsidRPr="00DD40A8">
        <w:rPr>
          <w:rFonts w:eastAsia="Times New Roman" w:cs="Times New Roman"/>
          <w:szCs w:val="24"/>
          <w:lang w:eastAsia="en-GB"/>
        </w:rPr>
        <w:t>спецификации в сферата на ИКТ, които не са национални, европейски или международни относно европейската стандартизация;</w:t>
      </w:r>
    </w:p>
    <w:p w:rsidR="007F1BF7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ж</w:t>
      </w:r>
      <w:r w:rsidRPr="00DD40A8">
        <w:rPr>
          <w:rFonts w:eastAsia="Times New Roman" w:cs="Times New Roman"/>
          <w:szCs w:val="24"/>
          <w:lang w:eastAsia="en-GB"/>
        </w:rPr>
        <w:t>) да съветва Комисията относно сътрудничеството между организациите за развитие на стандарти и европейските стандартизационни органи, с цел подобряване интеграцията на работата им в европейската ИКТ стандартизация и гарантиране наличието на стандарти за ИКТ в подкрепа на оперативна съвместимост;</w:t>
      </w:r>
    </w:p>
    <w:p w:rsidR="003341FD" w:rsidRPr="00DD40A8" w:rsidRDefault="007F1BF7" w:rsidP="00E24820">
      <w:pPr>
        <w:spacing w:after="120"/>
        <w:jc w:val="both"/>
        <w:rPr>
          <w:rFonts w:eastAsia="Times New Roman" w:cs="Times New Roman"/>
          <w:szCs w:val="24"/>
          <w:lang w:eastAsia="en-GB"/>
        </w:rPr>
      </w:pPr>
      <w:r w:rsidRPr="00DD40A8">
        <w:rPr>
          <w:rFonts w:eastAsia="Times New Roman" w:cs="Times New Roman"/>
          <w:szCs w:val="24"/>
          <w:lang w:eastAsia="en-GB"/>
        </w:rPr>
        <w:t>(</w:t>
      </w:r>
      <w:r w:rsidR="00E24820">
        <w:rPr>
          <w:rFonts w:eastAsia="Times New Roman" w:cs="Times New Roman"/>
          <w:szCs w:val="24"/>
          <w:lang w:eastAsia="en-GB"/>
        </w:rPr>
        <w:t>з</w:t>
      </w:r>
      <w:r w:rsidRPr="00DD40A8">
        <w:rPr>
          <w:rFonts w:eastAsia="Times New Roman" w:cs="Times New Roman"/>
          <w:szCs w:val="24"/>
          <w:lang w:eastAsia="en-GB"/>
        </w:rPr>
        <w:t>) се събира информация за работните програми на организации</w:t>
      </w:r>
      <w:r w:rsidR="002D73AB" w:rsidRPr="00DD40A8">
        <w:rPr>
          <w:rFonts w:eastAsia="Times New Roman" w:cs="Times New Roman"/>
          <w:szCs w:val="24"/>
          <w:lang w:eastAsia="en-GB"/>
        </w:rPr>
        <w:t>те</w:t>
      </w:r>
      <w:r w:rsidRPr="00DD40A8">
        <w:rPr>
          <w:rFonts w:eastAsia="Times New Roman" w:cs="Times New Roman"/>
          <w:szCs w:val="24"/>
          <w:lang w:eastAsia="en-GB"/>
        </w:rPr>
        <w:t xml:space="preserve"> за развитие на </w:t>
      </w:r>
      <w:r w:rsidR="00DD40A8">
        <w:rPr>
          <w:rFonts w:eastAsia="Times New Roman" w:cs="Times New Roman"/>
          <w:szCs w:val="24"/>
          <w:lang w:eastAsia="en-GB"/>
        </w:rPr>
        <w:t xml:space="preserve">ИКТ </w:t>
      </w:r>
      <w:r w:rsidRPr="00DD40A8">
        <w:rPr>
          <w:rFonts w:eastAsia="Times New Roman" w:cs="Times New Roman"/>
          <w:szCs w:val="24"/>
          <w:lang w:eastAsia="en-GB"/>
        </w:rPr>
        <w:t xml:space="preserve">стандарти </w:t>
      </w:r>
      <w:r w:rsidR="002D73AB" w:rsidRPr="00DD40A8">
        <w:rPr>
          <w:rFonts w:eastAsia="Times New Roman" w:cs="Times New Roman"/>
          <w:szCs w:val="24"/>
          <w:lang w:eastAsia="en-GB"/>
        </w:rPr>
        <w:t>с цел осигуряването на</w:t>
      </w:r>
      <w:r w:rsidRPr="00DD40A8">
        <w:rPr>
          <w:rFonts w:eastAsia="Times New Roman" w:cs="Times New Roman"/>
          <w:szCs w:val="24"/>
          <w:lang w:eastAsia="en-GB"/>
        </w:rPr>
        <w:t xml:space="preserve"> координация и избягване</w:t>
      </w:r>
      <w:r w:rsidR="002D73AB" w:rsidRPr="00DD40A8">
        <w:rPr>
          <w:rFonts w:eastAsia="Times New Roman" w:cs="Times New Roman"/>
          <w:szCs w:val="24"/>
          <w:lang w:eastAsia="en-GB"/>
        </w:rPr>
        <w:t xml:space="preserve">то на ненужно </w:t>
      </w:r>
      <w:r w:rsidRPr="00DD40A8">
        <w:rPr>
          <w:rFonts w:eastAsia="Times New Roman" w:cs="Times New Roman"/>
          <w:szCs w:val="24"/>
          <w:lang w:eastAsia="en-GB"/>
        </w:rPr>
        <w:t>дублиране или разпокъсаността на усилията.</w:t>
      </w:r>
    </w:p>
    <w:p w:rsidR="00FA232B" w:rsidRDefault="00FA232B" w:rsidP="00DD40A8">
      <w:pPr>
        <w:spacing w:after="0" w:line="240" w:lineRule="auto"/>
        <w:jc w:val="both"/>
      </w:pPr>
    </w:p>
    <w:p w:rsidR="002D73AB" w:rsidRPr="00FA232B" w:rsidRDefault="002D73AB" w:rsidP="00DD40A8">
      <w:pPr>
        <w:spacing w:after="0" w:line="240" w:lineRule="auto"/>
        <w:jc w:val="both"/>
        <w:rPr>
          <w:b/>
        </w:rPr>
      </w:pPr>
      <w:r w:rsidRPr="00FA232B">
        <w:rPr>
          <w:b/>
        </w:rPr>
        <w:t>Член 3</w:t>
      </w:r>
    </w:p>
    <w:p w:rsidR="002D73AB" w:rsidRPr="00FA232B" w:rsidRDefault="002D73AB" w:rsidP="00DD40A8">
      <w:pPr>
        <w:spacing w:after="0" w:line="240" w:lineRule="auto"/>
        <w:jc w:val="both"/>
        <w:rPr>
          <w:b/>
          <w:u w:val="single"/>
        </w:rPr>
      </w:pPr>
      <w:r w:rsidRPr="00FA232B">
        <w:rPr>
          <w:b/>
          <w:u w:val="single"/>
        </w:rPr>
        <w:t>Консултация</w:t>
      </w:r>
    </w:p>
    <w:p w:rsidR="002D73AB" w:rsidRPr="00DD40A8" w:rsidRDefault="002D73AB" w:rsidP="00E24820">
      <w:pPr>
        <w:spacing w:after="120"/>
        <w:jc w:val="both"/>
      </w:pPr>
      <w:r w:rsidRPr="00DD40A8">
        <w:t>Комисията може да се консултира с Платформата по всеки въпрос, свързан с:</w:t>
      </w:r>
    </w:p>
    <w:p w:rsidR="002D73AB" w:rsidRPr="00DD40A8" w:rsidRDefault="002D73AB" w:rsidP="00E24820">
      <w:pPr>
        <w:spacing w:after="120"/>
        <w:jc w:val="both"/>
      </w:pPr>
      <w:r w:rsidRPr="00DD40A8">
        <w:t>(</w:t>
      </w:r>
      <w:r w:rsidR="00E24820">
        <w:t>а</w:t>
      </w:r>
      <w:r w:rsidRPr="00DD40A8">
        <w:t>) други инициативи, които могат да бъдат предприети на равнището на Съюза за справяне с пречките пред оперативната съвместимост в областта на ИКТ;</w:t>
      </w:r>
    </w:p>
    <w:p w:rsidR="002D73AB" w:rsidRPr="00DD40A8" w:rsidRDefault="002D73AB" w:rsidP="00E24820">
      <w:pPr>
        <w:spacing w:after="120"/>
        <w:jc w:val="both"/>
      </w:pPr>
      <w:r w:rsidRPr="00DD40A8">
        <w:t>(</w:t>
      </w:r>
      <w:r w:rsidR="00E24820">
        <w:t>б</w:t>
      </w:r>
      <w:r w:rsidRPr="00DD40A8">
        <w:t>) национални, европейски и международни инициативи, свързани със стандартизацията в подкрепа на оперативната съвместимост в областта на ИКТ.</w:t>
      </w:r>
    </w:p>
    <w:p w:rsidR="00FA232B" w:rsidRDefault="00FA232B" w:rsidP="00DD40A8">
      <w:pPr>
        <w:spacing w:after="0" w:line="240" w:lineRule="auto"/>
        <w:jc w:val="both"/>
      </w:pPr>
    </w:p>
    <w:p w:rsidR="002D73AB" w:rsidRPr="00FA232B" w:rsidRDefault="002D73AB" w:rsidP="00DD40A8">
      <w:pPr>
        <w:spacing w:after="0" w:line="240" w:lineRule="auto"/>
        <w:jc w:val="both"/>
        <w:rPr>
          <w:b/>
        </w:rPr>
      </w:pPr>
      <w:r w:rsidRPr="00FA232B">
        <w:rPr>
          <w:b/>
        </w:rPr>
        <w:t>Член 4</w:t>
      </w:r>
    </w:p>
    <w:p w:rsidR="002D73AB" w:rsidRPr="00FA232B" w:rsidRDefault="002D73AB" w:rsidP="00DD40A8">
      <w:pPr>
        <w:spacing w:after="0" w:line="240" w:lineRule="auto"/>
        <w:jc w:val="both"/>
        <w:rPr>
          <w:u w:val="single"/>
        </w:rPr>
      </w:pPr>
      <w:r w:rsidRPr="00FA232B">
        <w:rPr>
          <w:b/>
          <w:u w:val="single"/>
        </w:rPr>
        <w:t>Членство – назначаване</w:t>
      </w:r>
    </w:p>
    <w:p w:rsidR="002D73AB" w:rsidRPr="00DD40A8" w:rsidRDefault="002D73AB" w:rsidP="00E24820">
      <w:pPr>
        <w:spacing w:after="120"/>
        <w:jc w:val="both"/>
      </w:pPr>
      <w:r w:rsidRPr="00DD40A8">
        <w:t>1. Платформата ще се състои от максимум 67 членове.</w:t>
      </w:r>
    </w:p>
    <w:p w:rsidR="002D73AB" w:rsidRPr="00DD40A8" w:rsidRDefault="002D73AB" w:rsidP="00E24820">
      <w:pPr>
        <w:spacing w:after="120"/>
        <w:jc w:val="both"/>
      </w:pPr>
      <w:r w:rsidRPr="00DD40A8">
        <w:t>2. Членовете ще бъдат представители на националните органи на държавите-членки и страните от ЕАСТ и организации, представляващи заинтересованите страни по стандартизация в областта на ИКТ, назначени от Комисията, както следва:</w:t>
      </w:r>
    </w:p>
    <w:p w:rsidR="002D73AB" w:rsidRPr="00DD40A8" w:rsidRDefault="002D73AB" w:rsidP="00E24820">
      <w:pPr>
        <w:spacing w:after="120"/>
        <w:jc w:val="both"/>
      </w:pPr>
      <w:r w:rsidRPr="00DD40A8">
        <w:t>(</w:t>
      </w:r>
      <w:r w:rsidR="00FA232B">
        <w:t>а</w:t>
      </w:r>
      <w:r w:rsidRPr="00DD40A8">
        <w:t>) до 18 организации, представляващи промишлеността, малките и средни предприятия и обществените заинтересовани страни;</w:t>
      </w:r>
    </w:p>
    <w:p w:rsidR="002D73AB" w:rsidRPr="00DD40A8" w:rsidRDefault="002D73AB" w:rsidP="00E24820">
      <w:pPr>
        <w:spacing w:after="120"/>
        <w:jc w:val="both"/>
      </w:pPr>
      <w:r w:rsidRPr="00DD40A8">
        <w:t>(</w:t>
      </w:r>
      <w:r w:rsidR="00FA232B">
        <w:t>б</w:t>
      </w:r>
      <w:r w:rsidRPr="00DD40A8">
        <w:t>) до 14 европейски и международни органи по стандартизация и други организации с нестопанска цел, които са професионални общества, промишлени или търговски асоциации или други организации с нестопанска цел, работещи в Европа, и разработващи стандарти в областта на ИКТ.</w:t>
      </w:r>
    </w:p>
    <w:p w:rsidR="002D73AB" w:rsidRPr="00DD40A8" w:rsidRDefault="002D73AB" w:rsidP="00E24820">
      <w:pPr>
        <w:spacing w:after="120"/>
        <w:jc w:val="both"/>
      </w:pPr>
      <w:r w:rsidRPr="00DD40A8">
        <w:t>3. Членовете, посочени в 2 (а) и (б), се назначава</w:t>
      </w:r>
      <w:r w:rsidR="00DD40A8">
        <w:t>т</w:t>
      </w:r>
      <w:r w:rsidRPr="00DD40A8">
        <w:t xml:space="preserve"> от генералните директори на ГД </w:t>
      </w:r>
      <w:r w:rsidR="00DD40A8">
        <w:t>„</w:t>
      </w:r>
      <w:r w:rsidRPr="00DD40A8">
        <w:t xml:space="preserve">Предприятия и </w:t>
      </w:r>
      <w:r w:rsidR="00DD40A8">
        <w:t>индустрия“</w:t>
      </w:r>
      <w:r w:rsidRPr="00DD40A8">
        <w:t xml:space="preserve"> и ГД </w:t>
      </w:r>
      <w:r w:rsidR="00DD40A8">
        <w:t>„</w:t>
      </w:r>
      <w:r w:rsidRPr="00DD40A8">
        <w:t>Информационно общество и медии</w:t>
      </w:r>
      <w:r w:rsidR="00DD40A8">
        <w:t>“</w:t>
      </w:r>
      <w:r w:rsidRPr="00DD40A8">
        <w:t xml:space="preserve"> от името на Комисията от съответните организации на заинтересованите страни с цел постигане на балансирано представителство</w:t>
      </w:r>
      <w:r w:rsidR="00E24820">
        <w:t>,</w:t>
      </w:r>
      <w:r w:rsidRPr="00DD40A8">
        <w:t xml:space="preserve"> като се вземат предвид задачите и необходимата експертиза</w:t>
      </w:r>
      <w:r w:rsidR="00E24820">
        <w:t>.</w:t>
      </w:r>
    </w:p>
    <w:p w:rsidR="002D73AB" w:rsidRPr="00DD40A8" w:rsidRDefault="002D73AB" w:rsidP="00E24820">
      <w:pPr>
        <w:spacing w:after="120"/>
        <w:jc w:val="both"/>
      </w:pPr>
      <w:r w:rsidRPr="00DD40A8">
        <w:lastRenderedPageBreak/>
        <w:t>4. Националните органи и организации, назначени от Комисията</w:t>
      </w:r>
      <w:r w:rsidR="00E24820">
        <w:t>,</w:t>
      </w:r>
      <w:r w:rsidRPr="00DD40A8">
        <w:t xml:space="preserve"> номинират свой представител, както и заместник-представител, които да участват в дейностите на </w:t>
      </w:r>
      <w:r w:rsidR="00E24820">
        <w:t>П</w:t>
      </w:r>
      <w:r w:rsidRPr="00DD40A8">
        <w:t>латформата.</w:t>
      </w:r>
    </w:p>
    <w:p w:rsidR="002D73AB" w:rsidRPr="00DD40A8" w:rsidRDefault="002D73AB" w:rsidP="00E24820">
      <w:pPr>
        <w:spacing w:after="120"/>
        <w:jc w:val="both"/>
      </w:pPr>
      <w:r w:rsidRPr="00DD40A8">
        <w:t xml:space="preserve">5. Членовете на </w:t>
      </w:r>
      <w:r w:rsidR="00E24820">
        <w:t>П</w:t>
      </w:r>
      <w:r w:rsidRPr="00DD40A8">
        <w:t>латформата се назначават за срок от три години. Те остават на длъжност, докато не бъдат заменени или мандатът им не изтече. Техният мандат може да бъде подновен.</w:t>
      </w:r>
    </w:p>
    <w:p w:rsidR="002D73AB" w:rsidRPr="00DD40A8" w:rsidRDefault="002D73AB" w:rsidP="00E24820">
      <w:pPr>
        <w:spacing w:after="120"/>
        <w:jc w:val="both"/>
      </w:pPr>
      <w:r w:rsidRPr="00DD40A8">
        <w:t>6. Членовете, които вече не са в състояние да допринасят ефективно за работата на платформата, които подадат оставка или не отговарят на условията, посочени в член 339 от Договора, могат да бъдат заменени за остатъка от мандата им.</w:t>
      </w:r>
    </w:p>
    <w:p w:rsidR="002D73AB" w:rsidRPr="00DD40A8" w:rsidRDefault="002D73AB" w:rsidP="00E24820">
      <w:pPr>
        <w:spacing w:after="120"/>
        <w:jc w:val="both"/>
      </w:pPr>
      <w:r w:rsidRPr="00DD40A8">
        <w:t>7. Имената на членовете, посочени в членове 2 (а) и (б), се публикуват в регистъра на Комисията за експертни груп</w:t>
      </w:r>
      <w:r w:rsidR="00E24820">
        <w:t>и и други подобни организации („</w:t>
      </w:r>
      <w:r w:rsidRPr="00DD40A8">
        <w:t>Регистърът</w:t>
      </w:r>
      <w:r w:rsidR="00E24820">
        <w:t>“</w:t>
      </w:r>
      <w:r w:rsidRPr="00DD40A8">
        <w:t>).</w:t>
      </w:r>
    </w:p>
    <w:p w:rsidR="002D73AB" w:rsidRPr="00DD40A8" w:rsidRDefault="002D73AB" w:rsidP="00E24820">
      <w:pPr>
        <w:spacing w:after="120"/>
        <w:jc w:val="both"/>
      </w:pPr>
      <w:r w:rsidRPr="00DD40A8">
        <w:t>8. Лични данни се събират, обработват и публикуват в съответствие с Регламент (ЕО) № 45/2001.</w:t>
      </w:r>
    </w:p>
    <w:p w:rsidR="00FA232B" w:rsidRDefault="00FA232B" w:rsidP="00DD40A8">
      <w:pPr>
        <w:spacing w:after="0" w:line="240" w:lineRule="auto"/>
        <w:jc w:val="both"/>
      </w:pPr>
    </w:p>
    <w:p w:rsidR="002D73AB" w:rsidRPr="00FA232B" w:rsidRDefault="00A2666A" w:rsidP="00DD40A8">
      <w:pPr>
        <w:spacing w:after="0" w:line="240" w:lineRule="auto"/>
        <w:jc w:val="both"/>
        <w:rPr>
          <w:b/>
        </w:rPr>
      </w:pPr>
      <w:r w:rsidRPr="00FA232B">
        <w:rPr>
          <w:b/>
        </w:rPr>
        <w:t>Ч</w:t>
      </w:r>
      <w:r w:rsidR="002D73AB" w:rsidRPr="00FA232B">
        <w:rPr>
          <w:b/>
        </w:rPr>
        <w:t>лен 5</w:t>
      </w:r>
    </w:p>
    <w:p w:rsidR="002D73AB" w:rsidRPr="00FA232B" w:rsidRDefault="00E24820" w:rsidP="00DD40A8">
      <w:pPr>
        <w:spacing w:after="0" w:line="240" w:lineRule="auto"/>
        <w:jc w:val="both"/>
        <w:rPr>
          <w:b/>
          <w:u w:val="single"/>
        </w:rPr>
      </w:pPr>
      <w:r w:rsidRPr="00FA232B">
        <w:rPr>
          <w:b/>
          <w:u w:val="single"/>
        </w:rPr>
        <w:t>Дейности</w:t>
      </w:r>
    </w:p>
    <w:p w:rsidR="002D73AB" w:rsidRPr="00DD40A8" w:rsidRDefault="002D73AB" w:rsidP="00E24820">
      <w:pPr>
        <w:spacing w:after="120"/>
        <w:jc w:val="both"/>
      </w:pPr>
      <w:r w:rsidRPr="00DD40A8">
        <w:t xml:space="preserve">1. Платформата се председателства от службите на ГД </w:t>
      </w:r>
      <w:r w:rsidR="00E24820">
        <w:t>„</w:t>
      </w:r>
      <w:r w:rsidRPr="00DD40A8">
        <w:t xml:space="preserve">Предприятия и </w:t>
      </w:r>
      <w:r w:rsidR="00E24820">
        <w:t>индустрия“</w:t>
      </w:r>
      <w:r w:rsidRPr="00DD40A8">
        <w:t xml:space="preserve"> и ГД </w:t>
      </w:r>
      <w:r w:rsidR="00E24820">
        <w:t>„</w:t>
      </w:r>
      <w:r w:rsidRPr="00DD40A8">
        <w:t>Информационно общество и медии</w:t>
      </w:r>
      <w:r w:rsidR="00E24820">
        <w:t>“</w:t>
      </w:r>
      <w:r w:rsidRPr="00DD40A8">
        <w:t>.</w:t>
      </w:r>
    </w:p>
    <w:p w:rsidR="002D73AB" w:rsidRPr="00DD40A8" w:rsidRDefault="002D73AB" w:rsidP="00E24820">
      <w:pPr>
        <w:spacing w:after="120"/>
        <w:jc w:val="both"/>
      </w:pPr>
      <w:r w:rsidRPr="00DD40A8">
        <w:t xml:space="preserve">2. </w:t>
      </w:r>
      <w:r w:rsidR="00A2666A" w:rsidRPr="00DD40A8">
        <w:t>При</w:t>
      </w:r>
      <w:r w:rsidRPr="00DD40A8">
        <w:t xml:space="preserve"> съгласие </w:t>
      </w:r>
      <w:r w:rsidR="00A2666A" w:rsidRPr="00DD40A8">
        <w:t>на</w:t>
      </w:r>
      <w:r w:rsidRPr="00DD40A8">
        <w:t xml:space="preserve"> представител на Комисията, </w:t>
      </w:r>
      <w:r w:rsidR="00E24820">
        <w:t>П</w:t>
      </w:r>
      <w:r w:rsidRPr="00DD40A8">
        <w:t>латформата може да създава подгрупи за проучване на конкрет</w:t>
      </w:r>
      <w:r w:rsidR="00A2666A" w:rsidRPr="00DD40A8">
        <w:t>ни въпроси въз основа на задания</w:t>
      </w:r>
      <w:r w:rsidRPr="00DD40A8">
        <w:t xml:space="preserve">, определени от </w:t>
      </w:r>
      <w:r w:rsidR="00E24820">
        <w:t>П</w:t>
      </w:r>
      <w:r w:rsidRPr="00DD40A8">
        <w:t xml:space="preserve">латформата. Тези подгрупи се разпускат веднага след като </w:t>
      </w:r>
      <w:r w:rsidR="00A2666A" w:rsidRPr="00DD40A8">
        <w:t>са</w:t>
      </w:r>
      <w:r w:rsidRPr="00DD40A8">
        <w:t xml:space="preserve"> изпълнил</w:t>
      </w:r>
      <w:r w:rsidR="00A2666A" w:rsidRPr="00DD40A8">
        <w:t>и</w:t>
      </w:r>
      <w:r w:rsidRPr="00DD40A8">
        <w:t xml:space="preserve"> </w:t>
      </w:r>
      <w:r w:rsidR="00A2666A" w:rsidRPr="00DD40A8">
        <w:t>дейността</w:t>
      </w:r>
      <w:r w:rsidRPr="00DD40A8">
        <w:t xml:space="preserve"> си.</w:t>
      </w:r>
    </w:p>
    <w:p w:rsidR="002D73AB" w:rsidRPr="00DD40A8" w:rsidRDefault="002D73AB" w:rsidP="00E24820">
      <w:pPr>
        <w:spacing w:after="120"/>
        <w:jc w:val="both"/>
      </w:pPr>
      <w:r w:rsidRPr="00DD40A8">
        <w:t>3. Представителят на Комисията може да покани експерти със специфична компетентност по въпрос от дневния</w:t>
      </w:r>
      <w:r w:rsidR="00A2666A" w:rsidRPr="00DD40A8">
        <w:t xml:space="preserve"> ред да участват в работата на Платформата</w:t>
      </w:r>
      <w:r w:rsidRPr="00DD40A8">
        <w:t>. В допълнение, предст</w:t>
      </w:r>
      <w:r w:rsidR="00A2666A" w:rsidRPr="00DD40A8">
        <w:t>авител на Комисията може да дава</w:t>
      </w:r>
      <w:r w:rsidRPr="00DD40A8">
        <w:t xml:space="preserve"> статут на наблюдател на лица или организации, както е определено в член 8 (3) от хоризонталните правила за експертните групи и </w:t>
      </w:r>
      <w:r w:rsidR="00A2666A" w:rsidRPr="00DD40A8">
        <w:t xml:space="preserve">страните – </w:t>
      </w:r>
      <w:r w:rsidRPr="00DD40A8">
        <w:t>кандидат</w:t>
      </w:r>
      <w:r w:rsidR="00A2666A" w:rsidRPr="00DD40A8">
        <w:t xml:space="preserve">и. </w:t>
      </w:r>
    </w:p>
    <w:p w:rsidR="002D73AB" w:rsidRPr="00DD40A8" w:rsidRDefault="002D73AB" w:rsidP="00E24820">
      <w:pPr>
        <w:spacing w:after="120"/>
        <w:jc w:val="both"/>
      </w:pPr>
      <w:r w:rsidRPr="00DD40A8">
        <w:t xml:space="preserve">4. Членовете на </w:t>
      </w:r>
      <w:r w:rsidR="00A2666A" w:rsidRPr="00DD40A8">
        <w:t>П</w:t>
      </w:r>
      <w:r w:rsidRPr="00DD40A8">
        <w:t>латформата и техните представители, както и поканените експерти и наблюдатели, се съобразяват със задълженията за професионална тайна, установени в Договорите и правилата за тяхното прилагане, както и с правилата на Комисията относно сигурността по отношение на защитата на класифицираната информация</w:t>
      </w:r>
      <w:r w:rsidR="00A2666A" w:rsidRPr="00DD40A8">
        <w:t xml:space="preserve"> в ЕС</w:t>
      </w:r>
      <w:r w:rsidRPr="00DD40A8">
        <w:t xml:space="preserve">, предвидена в приложението към Решение 2001/844 / ЕО, ЕОВС, </w:t>
      </w:r>
      <w:proofErr w:type="spellStart"/>
      <w:r w:rsidRPr="00DD40A8">
        <w:t>Евратом</w:t>
      </w:r>
      <w:proofErr w:type="spellEnd"/>
      <w:r w:rsidRPr="00DD40A8">
        <w:t>. Ако те не спазват тези задължения, Комисията може да предприеме мерки</w:t>
      </w:r>
      <w:r w:rsidR="00A2666A" w:rsidRPr="00DD40A8">
        <w:t xml:space="preserve"> по своя преценка</w:t>
      </w:r>
      <w:r w:rsidRPr="00DD40A8">
        <w:t>.</w:t>
      </w:r>
    </w:p>
    <w:p w:rsidR="002D73AB" w:rsidRPr="00DD40A8" w:rsidRDefault="002D73AB" w:rsidP="00E24820">
      <w:pPr>
        <w:spacing w:after="120"/>
        <w:jc w:val="both"/>
      </w:pPr>
      <w:r w:rsidRPr="00DD40A8">
        <w:t>5. Заседанията н</w:t>
      </w:r>
      <w:r w:rsidR="00A2666A" w:rsidRPr="00DD40A8">
        <w:t>а П</w:t>
      </w:r>
      <w:r w:rsidRPr="00DD40A8">
        <w:t xml:space="preserve">латформата и всички подгрупи се провеждат в помещенията на Комисията. Комисията предоставя </w:t>
      </w:r>
      <w:r w:rsidR="00E24820">
        <w:t>секретариат</w:t>
      </w:r>
      <w:r w:rsidRPr="00DD40A8">
        <w:t>. Други длъжностни лица на Комисията, проявяващи интерес към разискванията, могат д</w:t>
      </w:r>
      <w:r w:rsidR="00A2666A" w:rsidRPr="00DD40A8">
        <w:t>а присъстват на заседанията на П</w:t>
      </w:r>
      <w:r w:rsidRPr="00DD40A8">
        <w:t>латформата и нейните подгрупи.</w:t>
      </w:r>
    </w:p>
    <w:p w:rsidR="002D73AB" w:rsidRPr="00DD40A8" w:rsidRDefault="002D73AB" w:rsidP="00E24820">
      <w:pPr>
        <w:spacing w:after="120"/>
        <w:jc w:val="both"/>
      </w:pPr>
      <w:r w:rsidRPr="00DD40A8">
        <w:t>6. Платформата приема всички необходими процедурни правила, включително правилата за конфликт на интереси, въз основа на стандартния процедурен правилник за експертните групи, приети от Комисията.</w:t>
      </w:r>
    </w:p>
    <w:p w:rsidR="002D73AB" w:rsidRPr="00DD40A8" w:rsidRDefault="002D73AB" w:rsidP="00E24820">
      <w:pPr>
        <w:spacing w:after="120"/>
        <w:jc w:val="both"/>
      </w:pPr>
      <w:r w:rsidRPr="00DD40A8">
        <w:lastRenderedPageBreak/>
        <w:t xml:space="preserve">7. Комисията публикува съответната информация за дейностите, извършвани от </w:t>
      </w:r>
      <w:r w:rsidR="00E24820">
        <w:t>П</w:t>
      </w:r>
      <w:r w:rsidRPr="00DD40A8">
        <w:t xml:space="preserve">латформата, чрез включването </w:t>
      </w:r>
      <w:r w:rsidR="00A2666A" w:rsidRPr="00DD40A8">
        <w:t>й</w:t>
      </w:r>
      <w:r w:rsidRPr="00DD40A8">
        <w:t xml:space="preserve"> в </w:t>
      </w:r>
      <w:r w:rsidR="00E24820">
        <w:t>Р</w:t>
      </w:r>
      <w:r w:rsidRPr="00DD40A8">
        <w:t xml:space="preserve">егистъра или чрез връзка от </w:t>
      </w:r>
      <w:r w:rsidR="00E24820">
        <w:t>Р</w:t>
      </w:r>
      <w:r w:rsidRPr="00DD40A8">
        <w:t>егистъра към специализиран уебсайт.</w:t>
      </w:r>
    </w:p>
    <w:p w:rsidR="00AB40E0" w:rsidRPr="00DD40A8" w:rsidRDefault="002D73AB" w:rsidP="00E24820">
      <w:pPr>
        <w:spacing w:after="120"/>
        <w:jc w:val="both"/>
      </w:pPr>
      <w:r w:rsidRPr="00DD40A8">
        <w:t>8. Съвместният изследователски център може да предоставя научни консултации и услуги в рамките на своята област на компетентност.</w:t>
      </w:r>
    </w:p>
    <w:p w:rsidR="00FA232B" w:rsidRDefault="00FA232B" w:rsidP="00DD40A8">
      <w:pPr>
        <w:spacing w:after="0" w:line="240" w:lineRule="auto"/>
        <w:jc w:val="both"/>
      </w:pPr>
    </w:p>
    <w:p w:rsidR="00A2666A" w:rsidRPr="00FA232B" w:rsidRDefault="00A2666A" w:rsidP="00DD40A8">
      <w:pPr>
        <w:spacing w:after="0" w:line="240" w:lineRule="auto"/>
        <w:jc w:val="both"/>
        <w:rPr>
          <w:b/>
        </w:rPr>
      </w:pPr>
      <w:r w:rsidRPr="00FA232B">
        <w:rPr>
          <w:b/>
        </w:rPr>
        <w:t>Член 6</w:t>
      </w:r>
    </w:p>
    <w:p w:rsidR="00A2666A" w:rsidRPr="00FA232B" w:rsidRDefault="00A2666A" w:rsidP="00DD40A8">
      <w:pPr>
        <w:spacing w:after="0" w:line="240" w:lineRule="auto"/>
        <w:jc w:val="both"/>
        <w:rPr>
          <w:b/>
          <w:u w:val="single"/>
        </w:rPr>
      </w:pPr>
      <w:r w:rsidRPr="00FA232B">
        <w:rPr>
          <w:b/>
          <w:u w:val="single"/>
        </w:rPr>
        <w:t>Разходи за срещи</w:t>
      </w:r>
    </w:p>
    <w:p w:rsidR="00A2666A" w:rsidRPr="00DD40A8" w:rsidRDefault="00A2666A" w:rsidP="00E24820">
      <w:pPr>
        <w:spacing w:after="120"/>
        <w:jc w:val="both"/>
      </w:pPr>
      <w:r w:rsidRPr="00DD40A8">
        <w:t>1. На участниците в дейностите на Платформата не се заплаща възнаграждение за извършените от тях услуги.</w:t>
      </w:r>
    </w:p>
    <w:p w:rsidR="00A2666A" w:rsidRPr="00DD40A8" w:rsidRDefault="00A2666A" w:rsidP="00E24820">
      <w:pPr>
        <w:spacing w:after="120"/>
        <w:jc w:val="both"/>
      </w:pPr>
      <w:r w:rsidRPr="00DD40A8">
        <w:t>2. Пътните и дневните разходи на участниците в дейностите на Платформата се възстановяват от Комисията в съответствие с действащите разпоредби в рамките на Комисията.</w:t>
      </w:r>
    </w:p>
    <w:p w:rsidR="00A2666A" w:rsidRPr="00DD40A8" w:rsidRDefault="00A2666A" w:rsidP="00E24820">
      <w:pPr>
        <w:spacing w:after="120"/>
        <w:jc w:val="both"/>
      </w:pPr>
      <w:r w:rsidRPr="00DD40A8">
        <w:t>3. Посочените разходи се възстановяват в рамките на наличните бюджетни средства, отпуснати в рамките на годишната процедура за разпределение на ресурсите.</w:t>
      </w:r>
    </w:p>
    <w:p w:rsidR="00FA232B" w:rsidRDefault="00FA232B" w:rsidP="00DD40A8">
      <w:pPr>
        <w:spacing w:after="0" w:line="240" w:lineRule="auto"/>
        <w:jc w:val="both"/>
      </w:pPr>
    </w:p>
    <w:p w:rsidR="00A2666A" w:rsidRPr="00FA232B" w:rsidRDefault="00A2666A" w:rsidP="00DD40A8">
      <w:pPr>
        <w:spacing w:after="0" w:line="240" w:lineRule="auto"/>
        <w:jc w:val="both"/>
        <w:rPr>
          <w:b/>
        </w:rPr>
      </w:pPr>
      <w:r w:rsidRPr="00FA232B">
        <w:rPr>
          <w:b/>
        </w:rPr>
        <w:t>Член 7</w:t>
      </w:r>
    </w:p>
    <w:p w:rsidR="00A2666A" w:rsidRPr="00FA232B" w:rsidRDefault="00A2666A" w:rsidP="00DD40A8">
      <w:pPr>
        <w:spacing w:after="0" w:line="240" w:lineRule="auto"/>
        <w:jc w:val="both"/>
        <w:rPr>
          <w:b/>
          <w:u w:val="single"/>
        </w:rPr>
      </w:pPr>
      <w:r w:rsidRPr="00FA232B">
        <w:rPr>
          <w:b/>
          <w:u w:val="single"/>
        </w:rPr>
        <w:t>Приложимост</w:t>
      </w:r>
    </w:p>
    <w:p w:rsidR="00A2666A" w:rsidRPr="00DD40A8" w:rsidRDefault="00A2666A" w:rsidP="00E24820">
      <w:pPr>
        <w:spacing w:after="120"/>
        <w:jc w:val="both"/>
      </w:pPr>
      <w:r w:rsidRPr="00DD40A8">
        <w:t xml:space="preserve">Настоящото </w:t>
      </w:r>
      <w:r w:rsidR="00FA232B">
        <w:t>Р</w:t>
      </w:r>
      <w:r w:rsidRPr="00DD40A8">
        <w:t>ешение се прилага от 1 януари 2012 година.</w:t>
      </w:r>
    </w:p>
    <w:p w:rsidR="00A2666A" w:rsidRPr="00DD40A8" w:rsidRDefault="00A2666A" w:rsidP="00DD40A8">
      <w:pPr>
        <w:jc w:val="both"/>
      </w:pPr>
      <w:r w:rsidRPr="00DD40A8">
        <w:t>Съставено в Брюксел на 28 ноември 2011</w:t>
      </w:r>
      <w:r w:rsidR="00FA232B">
        <w:t xml:space="preserve"> г</w:t>
      </w:r>
      <w:bookmarkStart w:id="0" w:name="_GoBack"/>
      <w:bookmarkEnd w:id="0"/>
      <w:r w:rsidRPr="00DD40A8">
        <w:t>.</w:t>
      </w:r>
    </w:p>
    <w:p w:rsidR="00A2666A" w:rsidRPr="00DD40A8" w:rsidRDefault="00A2666A" w:rsidP="00DD40A8">
      <w:pPr>
        <w:jc w:val="both"/>
        <w:rPr>
          <w:i/>
        </w:rPr>
      </w:pPr>
      <w:r w:rsidRPr="00DD40A8">
        <w:rPr>
          <w:i/>
        </w:rPr>
        <w:t>За Комисията</w:t>
      </w:r>
    </w:p>
    <w:p w:rsidR="00A2666A" w:rsidRPr="00DD40A8" w:rsidRDefault="00A2666A" w:rsidP="00DD40A8">
      <w:pPr>
        <w:jc w:val="both"/>
      </w:pPr>
      <w:proofErr w:type="spellStart"/>
      <w:r w:rsidRPr="00DD40A8">
        <w:t>Antonio</w:t>
      </w:r>
      <w:proofErr w:type="spellEnd"/>
      <w:r w:rsidRPr="00DD40A8">
        <w:t xml:space="preserve"> TAJANI</w:t>
      </w:r>
    </w:p>
    <w:p w:rsidR="00A2666A" w:rsidRPr="00DD40A8" w:rsidRDefault="00A2666A" w:rsidP="00DD40A8">
      <w:pPr>
        <w:jc w:val="both"/>
        <w:rPr>
          <w:i/>
        </w:rPr>
      </w:pPr>
      <w:r w:rsidRPr="00DD40A8">
        <w:rPr>
          <w:i/>
        </w:rPr>
        <w:t xml:space="preserve">Заместник-председател C 349/6 Официален вестник на Европейския съюз 30.11.2011 г. </w:t>
      </w:r>
    </w:p>
    <w:sectPr w:rsidR="00A2666A" w:rsidRPr="00DD40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43" w:rsidRDefault="001C2843" w:rsidP="00DD40A8">
      <w:pPr>
        <w:spacing w:after="0" w:line="240" w:lineRule="auto"/>
      </w:pPr>
      <w:r>
        <w:separator/>
      </w:r>
    </w:p>
  </w:endnote>
  <w:endnote w:type="continuationSeparator" w:id="0">
    <w:p w:rsidR="001C2843" w:rsidRDefault="001C2843" w:rsidP="00DD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73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0A8" w:rsidRDefault="00DD40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3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40A8" w:rsidRDefault="00DD4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43" w:rsidRDefault="001C2843" w:rsidP="00DD40A8">
      <w:pPr>
        <w:spacing w:after="0" w:line="240" w:lineRule="auto"/>
      </w:pPr>
      <w:r>
        <w:separator/>
      </w:r>
    </w:p>
  </w:footnote>
  <w:footnote w:type="continuationSeparator" w:id="0">
    <w:p w:rsidR="001C2843" w:rsidRDefault="001C2843" w:rsidP="00DD4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7"/>
    <w:rsid w:val="001C2843"/>
    <w:rsid w:val="002D73AB"/>
    <w:rsid w:val="003341FD"/>
    <w:rsid w:val="003C4824"/>
    <w:rsid w:val="007A5C97"/>
    <w:rsid w:val="007F1BF7"/>
    <w:rsid w:val="008710CA"/>
    <w:rsid w:val="00A2666A"/>
    <w:rsid w:val="00AB40E0"/>
    <w:rsid w:val="00B053F0"/>
    <w:rsid w:val="00BB52DD"/>
    <w:rsid w:val="00BF577B"/>
    <w:rsid w:val="00DD40A8"/>
    <w:rsid w:val="00E24820"/>
    <w:rsid w:val="00E81AF7"/>
    <w:rsid w:val="00EE4CAC"/>
    <w:rsid w:val="00F1767E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7F5A7-ADED-4F9F-9975-FFCC0B93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0E0"/>
    <w:rPr>
      <w:rFonts w:ascii="Times New Roman" w:hAnsi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B40E0"/>
  </w:style>
  <w:style w:type="paragraph" w:styleId="ListParagraph">
    <w:name w:val="List Paragraph"/>
    <w:basedOn w:val="Normal"/>
    <w:uiPriority w:val="34"/>
    <w:qFormat/>
    <w:rsid w:val="002D7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0A8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D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A8"/>
    <w:rPr>
      <w:rFonts w:ascii="Times New Roman" w:hAnsi="Times New Roman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Dumbo</dc:creator>
  <cp:keywords/>
  <dc:description/>
  <cp:lastModifiedBy>Daniela Pesheva</cp:lastModifiedBy>
  <cp:revision>3</cp:revision>
  <dcterms:created xsi:type="dcterms:W3CDTF">2016-02-16T09:03:00Z</dcterms:created>
  <dcterms:modified xsi:type="dcterms:W3CDTF">2016-02-16T09:42:00Z</dcterms:modified>
</cp:coreProperties>
</file>