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90590E" w14:textId="77777777" w:rsidR="008B6D97" w:rsidRPr="00852B77" w:rsidRDefault="008B6D97" w:rsidP="008B6D97">
      <w:pPr>
        <w:spacing w:after="0" w:line="240" w:lineRule="auto"/>
        <w:jc w:val="center"/>
        <w:rPr>
          <w:rFonts w:ascii="Times New Roman" w:hAnsi="Times New Roman"/>
          <w:b/>
          <w:sz w:val="24"/>
          <w:szCs w:val="24"/>
        </w:rPr>
      </w:pPr>
      <w:r w:rsidRPr="00852B77">
        <w:rPr>
          <w:rFonts w:ascii="Times New Roman" w:hAnsi="Times New Roman"/>
          <w:b/>
          <w:sz w:val="24"/>
          <w:szCs w:val="24"/>
        </w:rPr>
        <w:t>СПРАВКА</w:t>
      </w:r>
    </w:p>
    <w:p w14:paraId="5FB55A0E" w14:textId="4E5D5BEC" w:rsidR="008B6D97" w:rsidRPr="00852B77" w:rsidRDefault="00104ABF" w:rsidP="008B6D97">
      <w:pPr>
        <w:spacing w:after="0" w:line="240" w:lineRule="auto"/>
        <w:jc w:val="center"/>
        <w:rPr>
          <w:rFonts w:ascii="Times New Roman" w:hAnsi="Times New Roman"/>
          <w:b/>
          <w:sz w:val="24"/>
          <w:szCs w:val="24"/>
        </w:rPr>
      </w:pPr>
      <w:r>
        <w:rPr>
          <w:rFonts w:ascii="Times New Roman" w:hAnsi="Times New Roman"/>
          <w:b/>
          <w:sz w:val="24"/>
          <w:szCs w:val="24"/>
        </w:rPr>
        <w:t>З</w:t>
      </w:r>
      <w:r w:rsidR="008B6D97" w:rsidRPr="00852B77">
        <w:rPr>
          <w:rFonts w:ascii="Times New Roman" w:hAnsi="Times New Roman"/>
          <w:b/>
          <w:sz w:val="24"/>
          <w:szCs w:val="24"/>
        </w:rPr>
        <w:t>А</w:t>
      </w:r>
    </w:p>
    <w:p w14:paraId="4BDBFAD9" w14:textId="213DCC7D" w:rsidR="001A2870" w:rsidRPr="001A2870" w:rsidRDefault="008B6D97" w:rsidP="001A2870">
      <w:pPr>
        <w:spacing w:after="0" w:line="240" w:lineRule="auto"/>
        <w:jc w:val="center"/>
        <w:rPr>
          <w:rFonts w:ascii="Times New Roman" w:hAnsi="Times New Roman"/>
          <w:b/>
          <w:sz w:val="24"/>
          <w:szCs w:val="24"/>
        </w:rPr>
      </w:pPr>
      <w:r w:rsidRPr="00852B77">
        <w:rPr>
          <w:rFonts w:ascii="Times New Roman" w:hAnsi="Times New Roman"/>
          <w:b/>
          <w:sz w:val="24"/>
          <w:szCs w:val="24"/>
        </w:rPr>
        <w:t>ПОСТЪПИЛИТЕ СТАНОВИЩА В СРОКА НА ОБЩЕСТВЕНОТО ОБСЪЖДАНЕ НА</w:t>
      </w:r>
      <w:r w:rsidR="001A2870" w:rsidRPr="00852B77">
        <w:rPr>
          <w:rFonts w:ascii="Times New Roman" w:hAnsi="Times New Roman"/>
          <w:b/>
          <w:sz w:val="24"/>
          <w:szCs w:val="24"/>
        </w:rPr>
        <w:t xml:space="preserve"> </w:t>
      </w:r>
      <w:r w:rsidR="001A2870" w:rsidRPr="001A2870">
        <w:rPr>
          <w:rFonts w:ascii="Times New Roman" w:hAnsi="Times New Roman"/>
          <w:b/>
          <w:sz w:val="24"/>
          <w:szCs w:val="24"/>
        </w:rPr>
        <w:t>ПРОЕКТ</w:t>
      </w:r>
      <w:r w:rsidR="001A2870">
        <w:rPr>
          <w:rFonts w:ascii="Times New Roman" w:hAnsi="Times New Roman"/>
          <w:b/>
          <w:sz w:val="24"/>
          <w:szCs w:val="24"/>
          <w:lang w:val="en-US"/>
        </w:rPr>
        <w:t>A</w:t>
      </w:r>
      <w:r w:rsidR="001A2870" w:rsidRPr="001A2870">
        <w:rPr>
          <w:rFonts w:ascii="Times New Roman" w:hAnsi="Times New Roman"/>
          <w:b/>
          <w:sz w:val="24"/>
          <w:szCs w:val="24"/>
        </w:rPr>
        <w:t xml:space="preserve"> НА НАРЕДБА ЗА ИЗМЕНЕНИЕ И ДОПЪЛНЕНИЕ НА НАРЕДБА № 847 ОТ 15.01.2010 </w:t>
      </w:r>
      <w:r w:rsidR="00E66F1C">
        <w:rPr>
          <w:rFonts w:ascii="Times New Roman" w:hAnsi="Times New Roman"/>
          <w:b/>
          <w:sz w:val="24"/>
          <w:szCs w:val="24"/>
        </w:rPr>
        <w:t>Г</w:t>
      </w:r>
      <w:r w:rsidR="001A2870" w:rsidRPr="001A2870">
        <w:rPr>
          <w:rFonts w:ascii="Times New Roman" w:hAnsi="Times New Roman"/>
          <w:b/>
          <w:sz w:val="24"/>
          <w:szCs w:val="24"/>
        </w:rPr>
        <w:t>. ЗА ВЪВЕЖДАНЕ НА НАЦИОНАЛНА ПРОЦЕДУРА ЗА ДОСТЪП ДО ПАЗАРА НА ВЪЗДУШНИ ПРЕВОЗВАЧИ НА ОБЩНОСТТА, УСТАНОВЕНИ В РЕПУБЛИКА БЪЛГАРИЯ, ПО ВЪЗДУШНИ ЛИНИИ, ДОГОВОРЕНИ СЪГЛАСНО МЕЖДУНАРОДНИ ДОГОВОРИ НА РЕПУБЛИКА БЪЛГАРИЯ С ДЪРЖАВИ ИЗВЪН ЕВРОПЕЙСКИЯ СЪЮЗ, (ОБН., ДВ, БР. 8 ОТ 2010 Г., ПОПР., БР. 11 ОТ 2010 Г., ИЗМ. И ДОП., ДВ, БР. 7 ОТ 2017 Г.)</w:t>
      </w:r>
    </w:p>
    <w:p w14:paraId="51332774" w14:textId="77777777" w:rsidR="001A2870" w:rsidRPr="001A2870" w:rsidRDefault="001A2870" w:rsidP="001A2870">
      <w:pPr>
        <w:spacing w:after="0" w:line="240" w:lineRule="auto"/>
        <w:jc w:val="center"/>
        <w:rPr>
          <w:rFonts w:ascii="Times New Roman" w:hAnsi="Times New Roman"/>
          <w:b/>
          <w:sz w:val="24"/>
          <w:szCs w:val="24"/>
        </w:rPr>
      </w:pPr>
    </w:p>
    <w:p w14:paraId="5AA9F85E" w14:textId="77777777" w:rsidR="008B6D97" w:rsidRPr="00852B77" w:rsidRDefault="008B6D97" w:rsidP="008B6D97">
      <w:pPr>
        <w:spacing w:after="0" w:line="240" w:lineRule="auto"/>
        <w:jc w:val="center"/>
        <w:rPr>
          <w:rFonts w:ascii="Times New Roman" w:hAnsi="Times New Roman"/>
          <w:b/>
          <w:sz w:val="24"/>
          <w:szCs w:val="24"/>
        </w:rPr>
      </w:pPr>
    </w:p>
    <w:tbl>
      <w:tblPr>
        <w:tblW w:w="121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600" w:firstRow="0" w:lastRow="0" w:firstColumn="0" w:lastColumn="0" w:noHBand="1" w:noVBand="1"/>
      </w:tblPr>
      <w:tblGrid>
        <w:gridCol w:w="10"/>
        <w:gridCol w:w="472"/>
        <w:gridCol w:w="5362"/>
        <w:gridCol w:w="12"/>
        <w:gridCol w:w="1652"/>
        <w:gridCol w:w="10"/>
        <w:gridCol w:w="4668"/>
      </w:tblGrid>
      <w:tr w:rsidR="008B6D97" w:rsidRPr="00852B77" w14:paraId="2B1C86AD" w14:textId="77777777" w:rsidTr="007C43CC">
        <w:trPr>
          <w:gridBefore w:val="1"/>
          <w:wBefore w:w="10" w:type="dxa"/>
          <w:tblHeader/>
          <w:jc w:val="center"/>
        </w:trPr>
        <w:tc>
          <w:tcPr>
            <w:tcW w:w="472" w:type="dxa"/>
            <w:shd w:val="clear" w:color="auto" w:fill="D9E2F3" w:themeFill="accent1" w:themeFillTint="33"/>
          </w:tcPr>
          <w:p w14:paraId="5B769A77" w14:textId="3AE24D3C" w:rsidR="008B6D97" w:rsidRPr="00852B77" w:rsidRDefault="008B6D97" w:rsidP="008B6D97">
            <w:pPr>
              <w:spacing w:after="0" w:line="240" w:lineRule="auto"/>
              <w:ind w:left="57" w:right="57"/>
              <w:jc w:val="center"/>
              <w:rPr>
                <w:rFonts w:ascii="Times New Roman" w:hAnsi="Times New Roman"/>
                <w:b/>
                <w:bCs/>
                <w:sz w:val="24"/>
                <w:szCs w:val="24"/>
              </w:rPr>
            </w:pPr>
            <w:r w:rsidRPr="00852B77">
              <w:rPr>
                <w:rFonts w:ascii="Times New Roman" w:hAnsi="Times New Roman"/>
                <w:i/>
                <w:iCs/>
                <w:sz w:val="24"/>
                <w:szCs w:val="24"/>
              </w:rPr>
              <w:t>№ по ред</w:t>
            </w:r>
          </w:p>
        </w:tc>
        <w:tc>
          <w:tcPr>
            <w:tcW w:w="5374" w:type="dxa"/>
            <w:gridSpan w:val="2"/>
            <w:shd w:val="clear" w:color="auto" w:fill="D9E2F3" w:themeFill="accent1" w:themeFillTint="33"/>
          </w:tcPr>
          <w:p w14:paraId="45AA0630" w14:textId="3997837D" w:rsidR="008B6D97" w:rsidRPr="00852B77" w:rsidRDefault="008B6D97" w:rsidP="008B6D97">
            <w:pPr>
              <w:spacing w:after="0" w:line="240" w:lineRule="auto"/>
              <w:ind w:left="57" w:right="57"/>
              <w:jc w:val="center"/>
              <w:rPr>
                <w:rFonts w:ascii="Times New Roman" w:hAnsi="Times New Roman"/>
                <w:b/>
                <w:bCs/>
                <w:sz w:val="24"/>
                <w:szCs w:val="24"/>
              </w:rPr>
            </w:pPr>
            <w:r w:rsidRPr="00852B77">
              <w:rPr>
                <w:rFonts w:ascii="Times New Roman" w:hAnsi="Times New Roman"/>
                <w:b/>
                <w:bCs/>
                <w:sz w:val="24"/>
                <w:szCs w:val="24"/>
              </w:rPr>
              <w:t>Предложение</w:t>
            </w:r>
          </w:p>
        </w:tc>
        <w:tc>
          <w:tcPr>
            <w:tcW w:w="1662" w:type="dxa"/>
            <w:gridSpan w:val="2"/>
            <w:shd w:val="clear" w:color="auto" w:fill="D9E2F3" w:themeFill="accent1" w:themeFillTint="33"/>
          </w:tcPr>
          <w:p w14:paraId="26BC49B0" w14:textId="77777777" w:rsidR="008B6D97" w:rsidRPr="00852B77" w:rsidRDefault="008B6D97" w:rsidP="008B6D97">
            <w:pPr>
              <w:spacing w:after="0" w:line="240" w:lineRule="auto"/>
              <w:ind w:left="57" w:right="57"/>
              <w:jc w:val="center"/>
              <w:rPr>
                <w:rFonts w:ascii="Times New Roman" w:hAnsi="Times New Roman"/>
                <w:b/>
                <w:bCs/>
                <w:sz w:val="24"/>
                <w:szCs w:val="24"/>
              </w:rPr>
            </w:pPr>
            <w:r w:rsidRPr="00852B77">
              <w:rPr>
                <w:rFonts w:ascii="Times New Roman" w:hAnsi="Times New Roman"/>
                <w:b/>
                <w:bCs/>
                <w:sz w:val="24"/>
                <w:szCs w:val="24"/>
              </w:rPr>
              <w:t xml:space="preserve">Приема се/ не се приема </w:t>
            </w:r>
          </w:p>
        </w:tc>
        <w:tc>
          <w:tcPr>
            <w:tcW w:w="4668" w:type="dxa"/>
            <w:shd w:val="clear" w:color="auto" w:fill="D9E2F3" w:themeFill="accent1" w:themeFillTint="33"/>
          </w:tcPr>
          <w:p w14:paraId="2063AE25" w14:textId="77777777" w:rsidR="008B6D97" w:rsidRPr="00852B77" w:rsidRDefault="008B6D97" w:rsidP="008B6D97">
            <w:pPr>
              <w:spacing w:after="0" w:line="240" w:lineRule="auto"/>
              <w:ind w:left="57" w:right="57"/>
              <w:jc w:val="center"/>
              <w:rPr>
                <w:rFonts w:ascii="Times New Roman" w:hAnsi="Times New Roman"/>
                <w:b/>
                <w:bCs/>
                <w:sz w:val="24"/>
                <w:szCs w:val="24"/>
              </w:rPr>
            </w:pPr>
            <w:r w:rsidRPr="00852B77">
              <w:rPr>
                <w:rFonts w:ascii="Times New Roman" w:hAnsi="Times New Roman"/>
                <w:b/>
                <w:bCs/>
                <w:sz w:val="24"/>
                <w:szCs w:val="24"/>
              </w:rPr>
              <w:t>Мотиви за не/ приемане на предложението</w:t>
            </w:r>
          </w:p>
        </w:tc>
      </w:tr>
      <w:tr w:rsidR="008B6D97" w:rsidRPr="00852B77" w14:paraId="0361C065" w14:textId="77777777" w:rsidTr="007C43CC">
        <w:trPr>
          <w:gridBefore w:val="1"/>
          <w:wBefore w:w="10" w:type="dxa"/>
          <w:tblHeader/>
          <w:jc w:val="center"/>
        </w:trPr>
        <w:tc>
          <w:tcPr>
            <w:tcW w:w="472" w:type="dxa"/>
            <w:shd w:val="clear" w:color="auto" w:fill="D9E2F3" w:themeFill="accent1" w:themeFillTint="33"/>
          </w:tcPr>
          <w:p w14:paraId="50808360" w14:textId="723337E8" w:rsidR="008B6D97" w:rsidRPr="00852B77" w:rsidRDefault="008B6D97" w:rsidP="008B6D97">
            <w:pPr>
              <w:spacing w:after="0" w:line="240" w:lineRule="auto"/>
              <w:ind w:left="57" w:right="57"/>
              <w:jc w:val="center"/>
              <w:rPr>
                <w:rFonts w:ascii="Times New Roman" w:hAnsi="Times New Roman"/>
                <w:i/>
                <w:iCs/>
                <w:sz w:val="24"/>
                <w:szCs w:val="24"/>
              </w:rPr>
            </w:pPr>
            <w:r w:rsidRPr="00852B77">
              <w:rPr>
                <w:rFonts w:ascii="Times New Roman" w:hAnsi="Times New Roman"/>
                <w:i/>
                <w:iCs/>
                <w:sz w:val="24"/>
                <w:szCs w:val="24"/>
              </w:rPr>
              <w:t>1</w:t>
            </w:r>
          </w:p>
        </w:tc>
        <w:tc>
          <w:tcPr>
            <w:tcW w:w="5374" w:type="dxa"/>
            <w:gridSpan w:val="2"/>
            <w:shd w:val="clear" w:color="auto" w:fill="D9E2F3" w:themeFill="accent1" w:themeFillTint="33"/>
          </w:tcPr>
          <w:p w14:paraId="00676E66" w14:textId="31F4B37F" w:rsidR="008B6D97" w:rsidRPr="00852B77" w:rsidRDefault="008B6D97" w:rsidP="008B6D97">
            <w:pPr>
              <w:spacing w:after="0" w:line="240" w:lineRule="auto"/>
              <w:ind w:left="57" w:right="57"/>
              <w:jc w:val="center"/>
              <w:rPr>
                <w:rFonts w:ascii="Times New Roman" w:hAnsi="Times New Roman"/>
                <w:i/>
                <w:iCs/>
                <w:sz w:val="24"/>
                <w:szCs w:val="24"/>
              </w:rPr>
            </w:pPr>
            <w:r w:rsidRPr="00852B77">
              <w:rPr>
                <w:rFonts w:ascii="Times New Roman" w:hAnsi="Times New Roman"/>
                <w:i/>
                <w:iCs/>
                <w:sz w:val="24"/>
                <w:szCs w:val="24"/>
              </w:rPr>
              <w:t>2</w:t>
            </w:r>
          </w:p>
        </w:tc>
        <w:tc>
          <w:tcPr>
            <w:tcW w:w="1662" w:type="dxa"/>
            <w:gridSpan w:val="2"/>
            <w:shd w:val="clear" w:color="auto" w:fill="D9E2F3" w:themeFill="accent1" w:themeFillTint="33"/>
          </w:tcPr>
          <w:p w14:paraId="1B02E07A" w14:textId="1DE2229A" w:rsidR="008B6D97" w:rsidRPr="00852B77" w:rsidRDefault="008B6D97" w:rsidP="008B6D97">
            <w:pPr>
              <w:spacing w:after="0" w:line="240" w:lineRule="auto"/>
              <w:ind w:left="57" w:right="57"/>
              <w:jc w:val="center"/>
              <w:rPr>
                <w:rFonts w:ascii="Times New Roman" w:hAnsi="Times New Roman"/>
                <w:i/>
                <w:iCs/>
                <w:sz w:val="24"/>
                <w:szCs w:val="24"/>
              </w:rPr>
            </w:pPr>
            <w:r w:rsidRPr="00852B77">
              <w:rPr>
                <w:rFonts w:ascii="Times New Roman" w:hAnsi="Times New Roman"/>
                <w:i/>
                <w:iCs/>
                <w:sz w:val="24"/>
                <w:szCs w:val="24"/>
              </w:rPr>
              <w:t>3</w:t>
            </w:r>
          </w:p>
        </w:tc>
        <w:tc>
          <w:tcPr>
            <w:tcW w:w="4668" w:type="dxa"/>
            <w:shd w:val="clear" w:color="auto" w:fill="D9E2F3" w:themeFill="accent1" w:themeFillTint="33"/>
          </w:tcPr>
          <w:p w14:paraId="586A5C3F" w14:textId="0E753C19" w:rsidR="008B6D97" w:rsidRPr="00852B77" w:rsidRDefault="008B6D97" w:rsidP="008B6D97">
            <w:pPr>
              <w:spacing w:after="0" w:line="240" w:lineRule="auto"/>
              <w:ind w:left="57" w:right="57"/>
              <w:jc w:val="center"/>
              <w:rPr>
                <w:rFonts w:ascii="Times New Roman" w:hAnsi="Times New Roman"/>
                <w:i/>
                <w:iCs/>
                <w:sz w:val="24"/>
                <w:szCs w:val="24"/>
              </w:rPr>
            </w:pPr>
            <w:r w:rsidRPr="00852B77">
              <w:rPr>
                <w:rFonts w:ascii="Times New Roman" w:hAnsi="Times New Roman"/>
                <w:i/>
                <w:iCs/>
                <w:sz w:val="24"/>
                <w:szCs w:val="24"/>
              </w:rPr>
              <w:t>4</w:t>
            </w:r>
          </w:p>
        </w:tc>
      </w:tr>
      <w:tr w:rsidR="00486D64" w:rsidRPr="008B6D97" w14:paraId="5CB5B6E0" w14:textId="77777777" w:rsidTr="007C43CC">
        <w:trPr>
          <w:jc w:val="center"/>
        </w:trPr>
        <w:tc>
          <w:tcPr>
            <w:tcW w:w="482" w:type="dxa"/>
            <w:gridSpan w:val="2"/>
            <w:shd w:val="clear" w:color="auto" w:fill="auto"/>
          </w:tcPr>
          <w:p w14:paraId="50D48728" w14:textId="77777777" w:rsidR="00486D64" w:rsidRDefault="00486D64" w:rsidP="008B6D97">
            <w:pPr>
              <w:spacing w:after="0" w:line="240" w:lineRule="auto"/>
              <w:ind w:left="57" w:right="57"/>
              <w:jc w:val="both"/>
              <w:rPr>
                <w:rFonts w:ascii="Times New Roman" w:hAnsi="Times New Roman"/>
                <w:b/>
                <w:bCs/>
                <w:sz w:val="24"/>
                <w:szCs w:val="24"/>
              </w:rPr>
            </w:pPr>
          </w:p>
          <w:p w14:paraId="5846F140" w14:textId="77777777" w:rsidR="00A3124E" w:rsidRDefault="00A3124E" w:rsidP="008B6D97">
            <w:pPr>
              <w:spacing w:after="0" w:line="240" w:lineRule="auto"/>
              <w:ind w:left="57" w:right="57"/>
              <w:jc w:val="both"/>
              <w:rPr>
                <w:rFonts w:ascii="Times New Roman" w:hAnsi="Times New Roman"/>
                <w:b/>
                <w:bCs/>
                <w:sz w:val="24"/>
                <w:szCs w:val="24"/>
              </w:rPr>
            </w:pPr>
          </w:p>
          <w:p w14:paraId="461EE435" w14:textId="77777777" w:rsidR="00A3124E" w:rsidRDefault="00A3124E" w:rsidP="008B6D97">
            <w:pPr>
              <w:spacing w:after="0" w:line="240" w:lineRule="auto"/>
              <w:ind w:left="57" w:right="57"/>
              <w:jc w:val="both"/>
              <w:rPr>
                <w:rFonts w:ascii="Times New Roman" w:hAnsi="Times New Roman"/>
                <w:b/>
                <w:bCs/>
                <w:sz w:val="24"/>
                <w:szCs w:val="24"/>
              </w:rPr>
            </w:pPr>
          </w:p>
          <w:p w14:paraId="0138432E" w14:textId="77777777" w:rsidR="00A3124E" w:rsidRDefault="00A3124E" w:rsidP="008B6D97">
            <w:pPr>
              <w:spacing w:after="0" w:line="240" w:lineRule="auto"/>
              <w:ind w:left="57" w:right="57"/>
              <w:jc w:val="both"/>
              <w:rPr>
                <w:rFonts w:ascii="Times New Roman" w:hAnsi="Times New Roman"/>
                <w:b/>
                <w:bCs/>
                <w:sz w:val="24"/>
                <w:szCs w:val="24"/>
              </w:rPr>
            </w:pPr>
          </w:p>
          <w:p w14:paraId="5288D716" w14:textId="169C500C" w:rsidR="00A3124E" w:rsidRDefault="00A3124E" w:rsidP="008B6D97">
            <w:pPr>
              <w:spacing w:after="0" w:line="240" w:lineRule="auto"/>
              <w:ind w:left="57" w:right="57"/>
              <w:jc w:val="both"/>
              <w:rPr>
                <w:rFonts w:ascii="Times New Roman" w:hAnsi="Times New Roman"/>
                <w:b/>
                <w:bCs/>
                <w:sz w:val="24"/>
                <w:szCs w:val="24"/>
              </w:rPr>
            </w:pPr>
            <w:r>
              <w:rPr>
                <w:rFonts w:ascii="Times New Roman" w:hAnsi="Times New Roman"/>
                <w:b/>
                <w:bCs/>
                <w:sz w:val="24"/>
                <w:szCs w:val="24"/>
              </w:rPr>
              <w:t>1.</w:t>
            </w:r>
          </w:p>
          <w:p w14:paraId="7DDAEE87" w14:textId="77777777" w:rsidR="0054585C" w:rsidRDefault="0054585C" w:rsidP="008B6D97">
            <w:pPr>
              <w:spacing w:after="0" w:line="240" w:lineRule="auto"/>
              <w:ind w:left="57" w:right="57"/>
              <w:jc w:val="both"/>
              <w:rPr>
                <w:rFonts w:ascii="Times New Roman" w:hAnsi="Times New Roman"/>
                <w:b/>
                <w:bCs/>
                <w:sz w:val="24"/>
                <w:szCs w:val="24"/>
              </w:rPr>
            </w:pPr>
          </w:p>
          <w:p w14:paraId="6A06E9BD" w14:textId="77777777" w:rsidR="0054585C" w:rsidRDefault="0054585C" w:rsidP="008B6D97">
            <w:pPr>
              <w:spacing w:after="0" w:line="240" w:lineRule="auto"/>
              <w:ind w:left="57" w:right="57"/>
              <w:jc w:val="both"/>
              <w:rPr>
                <w:rFonts w:ascii="Times New Roman" w:hAnsi="Times New Roman"/>
                <w:b/>
                <w:bCs/>
                <w:sz w:val="24"/>
                <w:szCs w:val="24"/>
              </w:rPr>
            </w:pPr>
          </w:p>
          <w:p w14:paraId="46F202F4" w14:textId="77777777" w:rsidR="0054585C" w:rsidRDefault="0054585C" w:rsidP="008B6D97">
            <w:pPr>
              <w:spacing w:after="0" w:line="240" w:lineRule="auto"/>
              <w:ind w:left="57" w:right="57"/>
              <w:jc w:val="both"/>
              <w:rPr>
                <w:rFonts w:ascii="Times New Roman" w:hAnsi="Times New Roman"/>
                <w:b/>
                <w:bCs/>
                <w:sz w:val="24"/>
                <w:szCs w:val="24"/>
              </w:rPr>
            </w:pPr>
          </w:p>
          <w:p w14:paraId="322F131F" w14:textId="77777777" w:rsidR="0054585C" w:rsidRDefault="0054585C" w:rsidP="008B6D97">
            <w:pPr>
              <w:spacing w:after="0" w:line="240" w:lineRule="auto"/>
              <w:ind w:left="57" w:right="57"/>
              <w:jc w:val="both"/>
              <w:rPr>
                <w:rFonts w:ascii="Times New Roman" w:hAnsi="Times New Roman"/>
                <w:b/>
                <w:bCs/>
                <w:sz w:val="24"/>
                <w:szCs w:val="24"/>
              </w:rPr>
            </w:pPr>
          </w:p>
          <w:p w14:paraId="05175810" w14:textId="37A6426A" w:rsidR="00A3124E" w:rsidRDefault="00A3124E" w:rsidP="007B6A23">
            <w:pPr>
              <w:spacing w:after="0" w:line="240" w:lineRule="auto"/>
              <w:ind w:right="57"/>
              <w:jc w:val="both"/>
              <w:rPr>
                <w:rFonts w:ascii="Times New Roman" w:hAnsi="Times New Roman"/>
                <w:b/>
                <w:bCs/>
                <w:sz w:val="24"/>
                <w:szCs w:val="24"/>
              </w:rPr>
            </w:pPr>
          </w:p>
        </w:tc>
        <w:tc>
          <w:tcPr>
            <w:tcW w:w="5362" w:type="dxa"/>
            <w:shd w:val="clear" w:color="auto" w:fill="auto"/>
          </w:tcPr>
          <w:p w14:paraId="402FCDFE" w14:textId="77777777" w:rsidR="00A3124E" w:rsidRDefault="00A3124E" w:rsidP="00A3124E">
            <w:pPr>
              <w:spacing w:after="0" w:line="240" w:lineRule="auto"/>
              <w:ind w:left="57" w:right="57"/>
              <w:rPr>
                <w:rFonts w:ascii="Times New Roman" w:hAnsi="Times New Roman"/>
                <w:b/>
                <w:bCs/>
                <w:sz w:val="24"/>
                <w:szCs w:val="24"/>
              </w:rPr>
            </w:pPr>
            <w:r w:rsidRPr="00852B77">
              <w:rPr>
                <w:rFonts w:ascii="Times New Roman" w:hAnsi="Times New Roman"/>
                <w:b/>
                <w:bCs/>
                <w:sz w:val="24"/>
                <w:szCs w:val="24"/>
              </w:rPr>
              <w:t xml:space="preserve">Предложения </w:t>
            </w:r>
            <w:r>
              <w:rPr>
                <w:rFonts w:ascii="Times New Roman" w:hAnsi="Times New Roman"/>
                <w:b/>
                <w:bCs/>
                <w:sz w:val="24"/>
                <w:szCs w:val="24"/>
              </w:rPr>
              <w:t xml:space="preserve">на </w:t>
            </w:r>
            <w:r w:rsidRPr="00B2347B">
              <w:rPr>
                <w:rFonts w:ascii="Times New Roman" w:hAnsi="Times New Roman"/>
                <w:b/>
                <w:bCs/>
                <w:sz w:val="24"/>
                <w:szCs w:val="24"/>
              </w:rPr>
              <w:t>Асоциация</w:t>
            </w:r>
            <w:r>
              <w:rPr>
                <w:rFonts w:ascii="Times New Roman" w:hAnsi="Times New Roman"/>
                <w:b/>
                <w:bCs/>
                <w:sz w:val="24"/>
                <w:szCs w:val="24"/>
              </w:rPr>
              <w:t>та</w:t>
            </w:r>
            <w:r w:rsidRPr="00B2347B">
              <w:rPr>
                <w:rFonts w:ascii="Times New Roman" w:hAnsi="Times New Roman"/>
                <w:b/>
                <w:bCs/>
                <w:sz w:val="24"/>
                <w:szCs w:val="24"/>
              </w:rPr>
              <w:t xml:space="preserve"> на </w:t>
            </w:r>
            <w:r>
              <w:rPr>
                <w:rFonts w:ascii="Times New Roman" w:hAnsi="Times New Roman"/>
                <w:b/>
                <w:bCs/>
                <w:sz w:val="24"/>
                <w:szCs w:val="24"/>
              </w:rPr>
              <w:t>б</w:t>
            </w:r>
            <w:r w:rsidRPr="00B2347B">
              <w:rPr>
                <w:rFonts w:ascii="Times New Roman" w:hAnsi="Times New Roman"/>
                <w:b/>
                <w:bCs/>
                <w:sz w:val="24"/>
                <w:szCs w:val="24"/>
              </w:rPr>
              <w:t xml:space="preserve">ългарската </w:t>
            </w:r>
          </w:p>
          <w:p w14:paraId="04FE63A4" w14:textId="77777777" w:rsidR="00A3124E" w:rsidRDefault="00A3124E" w:rsidP="00A3124E">
            <w:pPr>
              <w:spacing w:after="0" w:line="240" w:lineRule="auto"/>
              <w:ind w:left="57" w:right="57"/>
              <w:rPr>
                <w:rFonts w:ascii="Times New Roman" w:hAnsi="Times New Roman"/>
                <w:b/>
                <w:bCs/>
                <w:sz w:val="24"/>
                <w:szCs w:val="24"/>
              </w:rPr>
            </w:pPr>
            <w:r>
              <w:rPr>
                <w:rFonts w:ascii="Times New Roman" w:hAnsi="Times New Roman"/>
                <w:b/>
                <w:bCs/>
                <w:sz w:val="24"/>
                <w:szCs w:val="24"/>
              </w:rPr>
              <w:t>а</w:t>
            </w:r>
            <w:r w:rsidRPr="00B2347B">
              <w:rPr>
                <w:rFonts w:ascii="Times New Roman" w:hAnsi="Times New Roman"/>
                <w:b/>
                <w:bCs/>
                <w:sz w:val="24"/>
                <w:szCs w:val="24"/>
              </w:rPr>
              <w:t xml:space="preserve">виационна </w:t>
            </w:r>
            <w:r>
              <w:rPr>
                <w:rFonts w:ascii="Times New Roman" w:hAnsi="Times New Roman"/>
                <w:b/>
                <w:bCs/>
                <w:sz w:val="24"/>
                <w:szCs w:val="24"/>
              </w:rPr>
              <w:t>и</w:t>
            </w:r>
            <w:r w:rsidRPr="00B2347B">
              <w:rPr>
                <w:rFonts w:ascii="Times New Roman" w:hAnsi="Times New Roman"/>
                <w:b/>
                <w:bCs/>
                <w:sz w:val="24"/>
                <w:szCs w:val="24"/>
              </w:rPr>
              <w:t>ндустрия</w:t>
            </w:r>
            <w:r w:rsidRPr="005829EC">
              <w:rPr>
                <w:rFonts w:ascii="Times New Roman" w:hAnsi="Times New Roman"/>
                <w:b/>
                <w:bCs/>
                <w:sz w:val="24"/>
                <w:szCs w:val="24"/>
                <w:lang w:val="ru-RU"/>
              </w:rPr>
              <w:t xml:space="preserve"> (</w:t>
            </w:r>
            <w:r>
              <w:rPr>
                <w:rFonts w:ascii="Times New Roman" w:hAnsi="Times New Roman"/>
                <w:b/>
                <w:bCs/>
                <w:sz w:val="24"/>
                <w:szCs w:val="24"/>
              </w:rPr>
              <w:t>АБАИ)</w:t>
            </w:r>
          </w:p>
          <w:p w14:paraId="6C644C70" w14:textId="2594091C" w:rsidR="00A3124E" w:rsidRDefault="00A3124E" w:rsidP="000D38CC">
            <w:pPr>
              <w:shd w:val="clear" w:color="auto" w:fill="FFFFFF"/>
              <w:spacing w:after="0" w:line="240" w:lineRule="auto"/>
              <w:jc w:val="both"/>
              <w:rPr>
                <w:rFonts w:ascii="Times New Roman" w:eastAsia="Times New Roman" w:hAnsi="Times New Roman"/>
                <w:color w:val="000000"/>
                <w:sz w:val="24"/>
                <w:szCs w:val="24"/>
              </w:rPr>
            </w:pPr>
          </w:p>
          <w:p w14:paraId="4CB6A5EC" w14:textId="77777777" w:rsidR="0054585C" w:rsidRDefault="0054585C" w:rsidP="0054585C">
            <w:pPr>
              <w:shd w:val="clear" w:color="auto" w:fill="FFFFFF"/>
              <w:spacing w:after="0" w:line="240" w:lineRule="auto"/>
              <w:jc w:val="both"/>
              <w:rPr>
                <w:rFonts w:ascii="Times New Roman" w:eastAsia="Times New Roman" w:hAnsi="Times New Roman"/>
                <w:color w:val="000000"/>
                <w:sz w:val="24"/>
                <w:szCs w:val="24"/>
              </w:rPr>
            </w:pPr>
          </w:p>
          <w:p w14:paraId="51938660" w14:textId="3BE60340" w:rsidR="0054585C" w:rsidRPr="0054585C" w:rsidRDefault="0054585C" w:rsidP="0054585C">
            <w:pPr>
              <w:shd w:val="clear" w:color="auto" w:fill="FFFFFF"/>
              <w:spacing w:after="0" w:line="240" w:lineRule="auto"/>
              <w:jc w:val="both"/>
              <w:rPr>
                <w:rFonts w:ascii="Times New Roman" w:eastAsia="Times New Roman" w:hAnsi="Times New Roman"/>
                <w:i/>
                <w:iCs/>
                <w:color w:val="000000"/>
                <w:sz w:val="24"/>
                <w:szCs w:val="24"/>
              </w:rPr>
            </w:pPr>
            <w:r w:rsidRPr="0054585C">
              <w:rPr>
                <w:rFonts w:ascii="Times New Roman" w:eastAsia="Times New Roman" w:hAnsi="Times New Roman"/>
                <w:i/>
                <w:iCs/>
                <w:color w:val="000000"/>
                <w:sz w:val="24"/>
                <w:szCs w:val="24"/>
              </w:rPr>
              <w:t>Относно срока за обществено обсъждане:</w:t>
            </w:r>
          </w:p>
          <w:p w14:paraId="16BB4F06" w14:textId="16082581" w:rsidR="0054585C" w:rsidRPr="0054585C" w:rsidRDefault="0054585C" w:rsidP="0054585C">
            <w:pPr>
              <w:shd w:val="clear" w:color="auto" w:fill="FFFFFF"/>
              <w:spacing w:after="0" w:line="240" w:lineRule="auto"/>
              <w:jc w:val="both"/>
              <w:rPr>
                <w:rFonts w:ascii="Times New Roman" w:eastAsia="Times New Roman" w:hAnsi="Times New Roman"/>
                <w:color w:val="000000"/>
                <w:sz w:val="24"/>
                <w:szCs w:val="24"/>
              </w:rPr>
            </w:pPr>
            <w:r w:rsidRPr="0054585C">
              <w:rPr>
                <w:rFonts w:ascii="Times New Roman" w:eastAsia="Times New Roman" w:hAnsi="Times New Roman"/>
                <w:color w:val="000000"/>
                <w:sz w:val="24"/>
                <w:szCs w:val="24"/>
              </w:rPr>
              <w:t>Срокът за обществено обсъждане да бъде 30 дни – съгласно чл. 26, ал. 4, изр. първо от ЗНА, а не 14 дни.</w:t>
            </w:r>
          </w:p>
          <w:p w14:paraId="3AF6D74D" w14:textId="77777777" w:rsidR="00A3124E" w:rsidRDefault="00A3124E" w:rsidP="000D38CC">
            <w:pPr>
              <w:shd w:val="clear" w:color="auto" w:fill="FFFFFF"/>
              <w:spacing w:after="0" w:line="240" w:lineRule="auto"/>
              <w:jc w:val="both"/>
              <w:rPr>
                <w:rFonts w:ascii="Times New Roman" w:eastAsia="Times New Roman" w:hAnsi="Times New Roman"/>
                <w:i/>
                <w:iCs/>
                <w:color w:val="000000"/>
                <w:sz w:val="24"/>
                <w:szCs w:val="24"/>
              </w:rPr>
            </w:pPr>
          </w:p>
          <w:p w14:paraId="44F6132D" w14:textId="77777777" w:rsidR="0054585C" w:rsidRDefault="0054585C" w:rsidP="000D38CC">
            <w:pPr>
              <w:shd w:val="clear" w:color="auto" w:fill="FFFFFF"/>
              <w:spacing w:after="0" w:line="240" w:lineRule="auto"/>
              <w:jc w:val="both"/>
              <w:rPr>
                <w:rFonts w:ascii="Times New Roman" w:eastAsia="Times New Roman" w:hAnsi="Times New Roman"/>
                <w:i/>
                <w:iCs/>
                <w:color w:val="000000"/>
                <w:sz w:val="24"/>
                <w:szCs w:val="24"/>
              </w:rPr>
            </w:pPr>
          </w:p>
          <w:p w14:paraId="6B9A1914" w14:textId="4B1C331E" w:rsidR="00486D64" w:rsidRPr="00537763" w:rsidRDefault="00486D64" w:rsidP="000D38CC">
            <w:pPr>
              <w:shd w:val="clear" w:color="auto" w:fill="FFFFFF"/>
              <w:spacing w:after="0" w:line="240" w:lineRule="auto"/>
              <w:jc w:val="both"/>
              <w:rPr>
                <w:rFonts w:ascii="Times New Roman" w:eastAsia="Times New Roman" w:hAnsi="Times New Roman"/>
                <w:i/>
                <w:iCs/>
                <w:color w:val="000000"/>
                <w:sz w:val="24"/>
                <w:szCs w:val="24"/>
              </w:rPr>
            </w:pPr>
          </w:p>
        </w:tc>
        <w:tc>
          <w:tcPr>
            <w:tcW w:w="1664" w:type="dxa"/>
            <w:gridSpan w:val="2"/>
            <w:shd w:val="clear" w:color="auto" w:fill="auto"/>
          </w:tcPr>
          <w:p w14:paraId="7190EE52" w14:textId="77777777" w:rsidR="00A3124E" w:rsidRDefault="00A3124E" w:rsidP="001C5145">
            <w:pPr>
              <w:spacing w:after="0" w:line="240" w:lineRule="auto"/>
              <w:ind w:right="57"/>
              <w:jc w:val="center"/>
              <w:rPr>
                <w:rFonts w:ascii="Times New Roman" w:hAnsi="Times New Roman"/>
                <w:b/>
                <w:bCs/>
                <w:sz w:val="24"/>
                <w:szCs w:val="24"/>
              </w:rPr>
            </w:pPr>
          </w:p>
          <w:p w14:paraId="6EED59B6" w14:textId="77777777" w:rsidR="00A3124E" w:rsidRDefault="00A3124E" w:rsidP="001C5145">
            <w:pPr>
              <w:spacing w:after="0" w:line="240" w:lineRule="auto"/>
              <w:ind w:right="57"/>
              <w:jc w:val="center"/>
              <w:rPr>
                <w:rFonts w:ascii="Times New Roman" w:hAnsi="Times New Roman"/>
                <w:b/>
                <w:bCs/>
                <w:sz w:val="24"/>
                <w:szCs w:val="24"/>
              </w:rPr>
            </w:pPr>
          </w:p>
          <w:p w14:paraId="297CB529" w14:textId="77777777" w:rsidR="00A3124E" w:rsidRDefault="00A3124E" w:rsidP="001C5145">
            <w:pPr>
              <w:spacing w:after="0" w:line="240" w:lineRule="auto"/>
              <w:ind w:right="57"/>
              <w:jc w:val="center"/>
              <w:rPr>
                <w:rFonts w:ascii="Times New Roman" w:hAnsi="Times New Roman"/>
                <w:b/>
                <w:bCs/>
                <w:sz w:val="24"/>
                <w:szCs w:val="24"/>
              </w:rPr>
            </w:pPr>
          </w:p>
          <w:p w14:paraId="708B1545" w14:textId="77777777" w:rsidR="00A3124E" w:rsidRDefault="00A3124E" w:rsidP="001C5145">
            <w:pPr>
              <w:spacing w:after="0" w:line="240" w:lineRule="auto"/>
              <w:ind w:right="57"/>
              <w:jc w:val="center"/>
              <w:rPr>
                <w:rFonts w:ascii="Times New Roman" w:hAnsi="Times New Roman"/>
                <w:b/>
                <w:bCs/>
                <w:sz w:val="24"/>
                <w:szCs w:val="24"/>
              </w:rPr>
            </w:pPr>
          </w:p>
          <w:p w14:paraId="1113F2C2" w14:textId="6632B201" w:rsidR="0054585C" w:rsidRDefault="0054585C" w:rsidP="008004C0">
            <w:pPr>
              <w:spacing w:after="0" w:line="240" w:lineRule="auto"/>
              <w:ind w:right="57"/>
              <w:jc w:val="center"/>
              <w:rPr>
                <w:rFonts w:ascii="Times New Roman" w:hAnsi="Times New Roman"/>
                <w:b/>
                <w:bCs/>
                <w:sz w:val="24"/>
                <w:szCs w:val="24"/>
              </w:rPr>
            </w:pPr>
            <w:r>
              <w:rPr>
                <w:rFonts w:ascii="Times New Roman" w:hAnsi="Times New Roman"/>
                <w:b/>
                <w:bCs/>
                <w:sz w:val="24"/>
                <w:szCs w:val="24"/>
              </w:rPr>
              <w:t>Приема се</w:t>
            </w:r>
            <w:r w:rsidR="00477747">
              <w:rPr>
                <w:rFonts w:ascii="Times New Roman" w:hAnsi="Times New Roman"/>
                <w:b/>
                <w:bCs/>
                <w:sz w:val="24"/>
                <w:szCs w:val="24"/>
              </w:rPr>
              <w:t xml:space="preserve"> частично.</w:t>
            </w:r>
          </w:p>
          <w:p w14:paraId="51E95488" w14:textId="77777777" w:rsidR="0054585C" w:rsidRDefault="0054585C" w:rsidP="008004C0">
            <w:pPr>
              <w:spacing w:after="0" w:line="240" w:lineRule="auto"/>
              <w:ind w:right="57"/>
              <w:jc w:val="center"/>
              <w:rPr>
                <w:rFonts w:ascii="Times New Roman" w:hAnsi="Times New Roman"/>
                <w:b/>
                <w:bCs/>
                <w:sz w:val="24"/>
                <w:szCs w:val="24"/>
              </w:rPr>
            </w:pPr>
          </w:p>
          <w:p w14:paraId="6815A47F" w14:textId="31518A63" w:rsidR="0054585C" w:rsidRDefault="0054585C" w:rsidP="008004C0">
            <w:pPr>
              <w:spacing w:after="0" w:line="240" w:lineRule="auto"/>
              <w:ind w:right="57"/>
              <w:jc w:val="center"/>
              <w:rPr>
                <w:rFonts w:ascii="Times New Roman" w:hAnsi="Times New Roman"/>
                <w:b/>
                <w:bCs/>
                <w:sz w:val="24"/>
                <w:szCs w:val="24"/>
              </w:rPr>
            </w:pPr>
          </w:p>
          <w:p w14:paraId="2036D40E" w14:textId="7271D9A0" w:rsidR="007B6A23" w:rsidRDefault="007B6A23" w:rsidP="008004C0">
            <w:pPr>
              <w:spacing w:after="0" w:line="240" w:lineRule="auto"/>
              <w:ind w:right="57"/>
              <w:jc w:val="center"/>
              <w:rPr>
                <w:rFonts w:ascii="Times New Roman" w:hAnsi="Times New Roman"/>
                <w:b/>
                <w:bCs/>
                <w:sz w:val="24"/>
                <w:szCs w:val="24"/>
              </w:rPr>
            </w:pPr>
          </w:p>
          <w:p w14:paraId="14B6C657" w14:textId="77777777" w:rsidR="007B6A23" w:rsidRDefault="007B6A23" w:rsidP="008004C0">
            <w:pPr>
              <w:spacing w:after="0" w:line="240" w:lineRule="auto"/>
              <w:ind w:right="57"/>
              <w:jc w:val="center"/>
              <w:rPr>
                <w:rFonts w:ascii="Times New Roman" w:hAnsi="Times New Roman"/>
                <w:b/>
                <w:bCs/>
                <w:sz w:val="24"/>
                <w:szCs w:val="24"/>
              </w:rPr>
            </w:pPr>
          </w:p>
          <w:p w14:paraId="11C1081C" w14:textId="544A8D51" w:rsidR="00486D64" w:rsidRPr="00AE5992" w:rsidRDefault="00486D64" w:rsidP="008004C0">
            <w:pPr>
              <w:spacing w:after="0" w:line="240" w:lineRule="auto"/>
              <w:ind w:right="57"/>
              <w:jc w:val="center"/>
              <w:rPr>
                <w:rFonts w:ascii="Times New Roman" w:hAnsi="Times New Roman"/>
                <w:b/>
                <w:bCs/>
                <w:sz w:val="24"/>
                <w:szCs w:val="24"/>
              </w:rPr>
            </w:pPr>
          </w:p>
        </w:tc>
        <w:tc>
          <w:tcPr>
            <w:tcW w:w="4678" w:type="dxa"/>
            <w:gridSpan w:val="2"/>
            <w:shd w:val="clear" w:color="auto" w:fill="auto"/>
          </w:tcPr>
          <w:p w14:paraId="1F58AA71" w14:textId="77777777" w:rsidR="00A3124E" w:rsidRDefault="00A3124E" w:rsidP="00486D64">
            <w:pPr>
              <w:spacing w:after="0" w:line="240" w:lineRule="auto"/>
              <w:ind w:left="57" w:right="57"/>
              <w:jc w:val="both"/>
              <w:rPr>
                <w:rFonts w:ascii="Times New Roman" w:hAnsi="Times New Roman"/>
                <w:sz w:val="24"/>
                <w:szCs w:val="24"/>
              </w:rPr>
            </w:pPr>
          </w:p>
          <w:p w14:paraId="43527DBE" w14:textId="77777777" w:rsidR="00A3124E" w:rsidRDefault="00A3124E" w:rsidP="00486D64">
            <w:pPr>
              <w:spacing w:after="0" w:line="240" w:lineRule="auto"/>
              <w:ind w:left="57" w:right="57"/>
              <w:jc w:val="both"/>
              <w:rPr>
                <w:rFonts w:ascii="Times New Roman" w:hAnsi="Times New Roman"/>
                <w:sz w:val="24"/>
                <w:szCs w:val="24"/>
              </w:rPr>
            </w:pPr>
          </w:p>
          <w:p w14:paraId="1DA3DEE7" w14:textId="77777777" w:rsidR="00A3124E" w:rsidRDefault="00A3124E" w:rsidP="00486D64">
            <w:pPr>
              <w:spacing w:after="0" w:line="240" w:lineRule="auto"/>
              <w:ind w:left="57" w:right="57"/>
              <w:jc w:val="both"/>
              <w:rPr>
                <w:rFonts w:ascii="Times New Roman" w:hAnsi="Times New Roman"/>
                <w:sz w:val="24"/>
                <w:szCs w:val="24"/>
              </w:rPr>
            </w:pPr>
          </w:p>
          <w:p w14:paraId="66E12CD5" w14:textId="77777777" w:rsidR="00A3124E" w:rsidRDefault="00A3124E" w:rsidP="00486D64">
            <w:pPr>
              <w:spacing w:after="0" w:line="240" w:lineRule="auto"/>
              <w:ind w:left="57" w:right="57"/>
              <w:jc w:val="both"/>
              <w:rPr>
                <w:rFonts w:ascii="Times New Roman" w:hAnsi="Times New Roman"/>
                <w:sz w:val="24"/>
                <w:szCs w:val="24"/>
              </w:rPr>
            </w:pPr>
          </w:p>
          <w:p w14:paraId="7365BA32" w14:textId="64F585EF" w:rsidR="007B6A23" w:rsidRDefault="0054585C">
            <w:pPr>
              <w:spacing w:after="0" w:line="240" w:lineRule="auto"/>
              <w:ind w:left="57" w:right="57"/>
              <w:jc w:val="both"/>
              <w:rPr>
                <w:rFonts w:ascii="Times New Roman" w:hAnsi="Times New Roman"/>
                <w:sz w:val="24"/>
                <w:szCs w:val="24"/>
              </w:rPr>
            </w:pPr>
            <w:r>
              <w:rPr>
                <w:rFonts w:ascii="Times New Roman" w:hAnsi="Times New Roman"/>
                <w:sz w:val="24"/>
                <w:szCs w:val="24"/>
              </w:rPr>
              <w:t xml:space="preserve">Проектът на НИД на Наредба № 847 се изпраща за повторно обществено обсъждане, след отразени промени въз основа на получените предложения, за срок от </w:t>
            </w:r>
            <w:r w:rsidR="00477747">
              <w:rPr>
                <w:rFonts w:ascii="Times New Roman" w:hAnsi="Times New Roman"/>
                <w:sz w:val="24"/>
                <w:szCs w:val="24"/>
              </w:rPr>
              <w:t>14</w:t>
            </w:r>
            <w:r w:rsidR="00CF3F88">
              <w:rPr>
                <w:rFonts w:ascii="Times New Roman" w:hAnsi="Times New Roman"/>
                <w:sz w:val="24"/>
                <w:szCs w:val="24"/>
              </w:rPr>
              <w:t xml:space="preserve"> дни като в доклада и при публикуването на наредбата са представени мотиви за този срок.</w:t>
            </w:r>
            <w:bookmarkStart w:id="0" w:name="_GoBack"/>
            <w:bookmarkEnd w:id="0"/>
            <w:r>
              <w:rPr>
                <w:rFonts w:ascii="Times New Roman" w:hAnsi="Times New Roman"/>
                <w:sz w:val="24"/>
                <w:szCs w:val="24"/>
              </w:rPr>
              <w:t xml:space="preserve"> </w:t>
            </w:r>
          </w:p>
          <w:p w14:paraId="3560C6C1" w14:textId="77777777" w:rsidR="00486D64" w:rsidRDefault="00486D64" w:rsidP="007B6A23">
            <w:pPr>
              <w:spacing w:after="0" w:line="240" w:lineRule="auto"/>
              <w:ind w:left="57" w:right="57"/>
              <w:jc w:val="both"/>
              <w:rPr>
                <w:rFonts w:ascii="Times New Roman" w:hAnsi="Times New Roman"/>
                <w:sz w:val="24"/>
                <w:szCs w:val="24"/>
              </w:rPr>
            </w:pPr>
          </w:p>
        </w:tc>
      </w:tr>
      <w:tr w:rsidR="007B6A23" w:rsidRPr="008B6D97" w14:paraId="36CB6ADF" w14:textId="77777777" w:rsidTr="007C43CC">
        <w:trPr>
          <w:jc w:val="center"/>
        </w:trPr>
        <w:tc>
          <w:tcPr>
            <w:tcW w:w="482" w:type="dxa"/>
            <w:gridSpan w:val="2"/>
            <w:shd w:val="clear" w:color="auto" w:fill="auto"/>
          </w:tcPr>
          <w:p w14:paraId="0C2E4C3D" w14:textId="0DBB26C0" w:rsidR="007B6A23" w:rsidRDefault="007B6A23" w:rsidP="007B6A23">
            <w:pPr>
              <w:spacing w:after="0" w:line="240" w:lineRule="auto"/>
              <w:ind w:left="57" w:right="57"/>
              <w:jc w:val="both"/>
              <w:rPr>
                <w:rFonts w:ascii="Times New Roman" w:hAnsi="Times New Roman"/>
                <w:b/>
                <w:bCs/>
                <w:sz w:val="24"/>
                <w:szCs w:val="24"/>
              </w:rPr>
            </w:pPr>
            <w:r>
              <w:rPr>
                <w:rFonts w:ascii="Times New Roman" w:hAnsi="Times New Roman"/>
                <w:b/>
                <w:bCs/>
                <w:sz w:val="24"/>
                <w:szCs w:val="24"/>
              </w:rPr>
              <w:t xml:space="preserve">2. </w:t>
            </w:r>
          </w:p>
        </w:tc>
        <w:tc>
          <w:tcPr>
            <w:tcW w:w="5362" w:type="dxa"/>
            <w:shd w:val="clear" w:color="auto" w:fill="auto"/>
          </w:tcPr>
          <w:p w14:paraId="12AB61B7" w14:textId="77777777" w:rsidR="007B6A23" w:rsidRDefault="007B6A23" w:rsidP="007B6A23">
            <w:pPr>
              <w:shd w:val="clear" w:color="auto" w:fill="FFFFFF"/>
              <w:spacing w:after="0" w:line="240" w:lineRule="auto"/>
              <w:jc w:val="both"/>
              <w:rPr>
                <w:rFonts w:ascii="Times New Roman" w:eastAsia="Times New Roman" w:hAnsi="Times New Roman"/>
                <w:i/>
                <w:iCs/>
                <w:color w:val="000000"/>
                <w:sz w:val="24"/>
                <w:szCs w:val="24"/>
              </w:rPr>
            </w:pPr>
            <w:r>
              <w:rPr>
                <w:rFonts w:ascii="Times New Roman" w:eastAsia="Times New Roman" w:hAnsi="Times New Roman"/>
                <w:i/>
                <w:iCs/>
                <w:color w:val="000000"/>
                <w:sz w:val="24"/>
                <w:szCs w:val="24"/>
              </w:rPr>
              <w:t>Относно органа по назначаването:</w:t>
            </w:r>
          </w:p>
          <w:p w14:paraId="672F7B6D" w14:textId="53D06F8A" w:rsidR="007B6A23" w:rsidRPr="00852B77" w:rsidRDefault="007B6A23" w:rsidP="007B6A23">
            <w:pPr>
              <w:spacing w:after="0" w:line="240" w:lineRule="auto"/>
              <w:ind w:left="57" w:right="57"/>
              <w:rPr>
                <w:rFonts w:ascii="Times New Roman" w:hAnsi="Times New Roman"/>
                <w:b/>
                <w:bCs/>
                <w:sz w:val="24"/>
                <w:szCs w:val="24"/>
              </w:rPr>
            </w:pPr>
            <w:r>
              <w:rPr>
                <w:rFonts w:ascii="Times New Roman" w:eastAsia="Times New Roman" w:hAnsi="Times New Roman"/>
                <w:color w:val="000000"/>
                <w:sz w:val="24"/>
                <w:szCs w:val="24"/>
              </w:rPr>
              <w:t>„</w:t>
            </w:r>
            <w:r w:rsidRPr="00CD2D61">
              <w:rPr>
                <w:rFonts w:ascii="Times New Roman" w:eastAsia="Times New Roman" w:hAnsi="Times New Roman"/>
                <w:color w:val="000000"/>
                <w:sz w:val="24"/>
                <w:szCs w:val="24"/>
              </w:rPr>
              <w:t xml:space="preserve">За реално, обективно съкращаване на сроковете може да се говори, когато са налице нормативно гарантирани срокове за получаване на реалното назначение, което става с акта на МС – акт, който обичайно бива издаван месеци след приключване на конкурса, проведен по реда на Наредба № </w:t>
            </w:r>
            <w:r w:rsidRPr="00CD2D61">
              <w:rPr>
                <w:rFonts w:ascii="Times New Roman" w:eastAsia="Times New Roman" w:hAnsi="Times New Roman"/>
                <w:color w:val="000000"/>
                <w:sz w:val="24"/>
                <w:szCs w:val="24"/>
              </w:rPr>
              <w:lastRenderedPageBreak/>
              <w:t>847/2010.</w:t>
            </w:r>
            <w:r>
              <w:rPr>
                <w:rFonts w:ascii="Times New Roman" w:eastAsia="Times New Roman" w:hAnsi="Times New Roman"/>
                <w:color w:val="000000"/>
                <w:sz w:val="24"/>
                <w:szCs w:val="24"/>
              </w:rPr>
              <w:t xml:space="preserve"> В тази връзка усилията за нормативни промени следва да се насочат в тази посока…“</w:t>
            </w:r>
          </w:p>
        </w:tc>
        <w:tc>
          <w:tcPr>
            <w:tcW w:w="1664" w:type="dxa"/>
            <w:gridSpan w:val="2"/>
            <w:shd w:val="clear" w:color="auto" w:fill="auto"/>
          </w:tcPr>
          <w:p w14:paraId="239EF870" w14:textId="5BA90C92" w:rsidR="007B6A23" w:rsidRDefault="007B6A23" w:rsidP="007B6A23">
            <w:pPr>
              <w:spacing w:after="0" w:line="240" w:lineRule="auto"/>
              <w:ind w:right="57"/>
              <w:jc w:val="center"/>
              <w:rPr>
                <w:rFonts w:ascii="Times New Roman" w:hAnsi="Times New Roman"/>
                <w:b/>
                <w:bCs/>
                <w:sz w:val="24"/>
                <w:szCs w:val="24"/>
              </w:rPr>
            </w:pPr>
            <w:r w:rsidRPr="00AE5992">
              <w:rPr>
                <w:rFonts w:ascii="Times New Roman" w:hAnsi="Times New Roman"/>
                <w:b/>
                <w:bCs/>
                <w:sz w:val="24"/>
                <w:szCs w:val="24"/>
              </w:rPr>
              <w:lastRenderedPageBreak/>
              <w:t xml:space="preserve">Приема се, </w:t>
            </w:r>
            <w:r>
              <w:rPr>
                <w:rFonts w:ascii="Times New Roman" w:hAnsi="Times New Roman"/>
                <w:b/>
                <w:bCs/>
                <w:sz w:val="24"/>
                <w:szCs w:val="24"/>
              </w:rPr>
              <w:t xml:space="preserve">но такова </w:t>
            </w:r>
            <w:r w:rsidRPr="00AE5992">
              <w:rPr>
                <w:rFonts w:ascii="Times New Roman" w:hAnsi="Times New Roman"/>
                <w:b/>
                <w:bCs/>
                <w:sz w:val="24"/>
                <w:szCs w:val="24"/>
              </w:rPr>
              <w:t xml:space="preserve"> изменение </w:t>
            </w:r>
            <w:r>
              <w:rPr>
                <w:rFonts w:ascii="Times New Roman" w:hAnsi="Times New Roman"/>
                <w:b/>
                <w:bCs/>
                <w:sz w:val="24"/>
                <w:szCs w:val="24"/>
              </w:rPr>
              <w:t>следва да бъде</w:t>
            </w:r>
            <w:r w:rsidRPr="00AE5992">
              <w:rPr>
                <w:rFonts w:ascii="Times New Roman" w:hAnsi="Times New Roman"/>
                <w:b/>
                <w:bCs/>
                <w:sz w:val="24"/>
                <w:szCs w:val="24"/>
              </w:rPr>
              <w:t xml:space="preserve"> </w:t>
            </w:r>
            <w:r>
              <w:rPr>
                <w:rFonts w:ascii="Times New Roman" w:hAnsi="Times New Roman"/>
                <w:b/>
                <w:bCs/>
                <w:sz w:val="24"/>
                <w:szCs w:val="24"/>
              </w:rPr>
              <w:t xml:space="preserve">извършено с нормативен </w:t>
            </w:r>
            <w:r>
              <w:rPr>
                <w:rFonts w:ascii="Times New Roman" w:hAnsi="Times New Roman"/>
                <w:b/>
                <w:bCs/>
                <w:sz w:val="24"/>
                <w:szCs w:val="24"/>
              </w:rPr>
              <w:lastRenderedPageBreak/>
              <w:t>акт от по-висока степен.</w:t>
            </w:r>
          </w:p>
        </w:tc>
        <w:tc>
          <w:tcPr>
            <w:tcW w:w="4678" w:type="dxa"/>
            <w:gridSpan w:val="2"/>
            <w:shd w:val="clear" w:color="auto" w:fill="auto"/>
          </w:tcPr>
          <w:p w14:paraId="4CE15B2C" w14:textId="54869A75" w:rsidR="009C70E8" w:rsidRDefault="007B6A23" w:rsidP="009C70E8">
            <w:pPr>
              <w:spacing w:after="0" w:line="240" w:lineRule="auto"/>
              <w:ind w:left="57" w:right="57"/>
              <w:jc w:val="both"/>
              <w:rPr>
                <w:rFonts w:ascii="Times New Roman" w:hAnsi="Times New Roman"/>
                <w:sz w:val="24"/>
                <w:szCs w:val="24"/>
              </w:rPr>
            </w:pPr>
            <w:r>
              <w:rPr>
                <w:rFonts w:ascii="Times New Roman" w:hAnsi="Times New Roman"/>
                <w:sz w:val="24"/>
                <w:szCs w:val="24"/>
              </w:rPr>
              <w:lastRenderedPageBreak/>
              <w:t xml:space="preserve">Към момента на изготвянето на НИД на Наредба № 847 в ЗГВ не съществува изрична разпоредба относно органа, който извършва назначаването на определения за победител кандидат, участвал в конкурс за назначаване на въздушен превозвач. Когато назначаването се извършва от </w:t>
            </w:r>
            <w:r>
              <w:rPr>
                <w:rFonts w:ascii="Times New Roman" w:hAnsi="Times New Roman"/>
                <w:sz w:val="24"/>
                <w:szCs w:val="24"/>
              </w:rPr>
              <w:lastRenderedPageBreak/>
              <w:t xml:space="preserve">Министерския съвет, това удължава процедурата. Значително съкращаване на сроковете би могло да се постигне чрез възлагане на правомощието за назначаване на въздушен превозвач на ресорния министър. Възлагане на такива правомощия следва да бъде извършено със закон - нормативен акт от по-висока степен, с който да се уреждат първично обществени отношения, които се поддават на трайна уредба. </w:t>
            </w:r>
            <w:r w:rsidR="009C70E8">
              <w:rPr>
                <w:rFonts w:ascii="Times New Roman" w:hAnsi="Times New Roman"/>
                <w:sz w:val="24"/>
                <w:szCs w:val="24"/>
              </w:rPr>
              <w:t>Предвижда се такова предложение да бъде направено.</w:t>
            </w:r>
          </w:p>
          <w:p w14:paraId="24ADB37C" w14:textId="370B7056" w:rsidR="009C70E8" w:rsidRDefault="009C70E8" w:rsidP="009C70E8">
            <w:pPr>
              <w:spacing w:after="0" w:line="240" w:lineRule="auto"/>
              <w:ind w:left="57" w:right="57"/>
              <w:jc w:val="both"/>
              <w:rPr>
                <w:rFonts w:ascii="Times New Roman" w:hAnsi="Times New Roman"/>
                <w:sz w:val="24"/>
                <w:szCs w:val="24"/>
              </w:rPr>
            </w:pPr>
          </w:p>
        </w:tc>
      </w:tr>
      <w:tr w:rsidR="007B6A23" w:rsidRPr="008B6D97" w14:paraId="2120EC51" w14:textId="77777777" w:rsidTr="007C43CC">
        <w:trPr>
          <w:jc w:val="center"/>
        </w:trPr>
        <w:tc>
          <w:tcPr>
            <w:tcW w:w="482" w:type="dxa"/>
            <w:gridSpan w:val="2"/>
            <w:shd w:val="clear" w:color="auto" w:fill="auto"/>
          </w:tcPr>
          <w:p w14:paraId="4CBBA7DF" w14:textId="696500C8" w:rsidR="007B6A23" w:rsidRPr="000D38CC" w:rsidRDefault="007B6A23" w:rsidP="007B6A23">
            <w:pPr>
              <w:spacing w:after="0" w:line="240" w:lineRule="auto"/>
              <w:ind w:left="57" w:right="57"/>
              <w:jc w:val="both"/>
              <w:rPr>
                <w:rFonts w:ascii="Times New Roman" w:hAnsi="Times New Roman"/>
                <w:b/>
                <w:bCs/>
                <w:sz w:val="24"/>
                <w:szCs w:val="24"/>
              </w:rPr>
            </w:pPr>
            <w:r>
              <w:rPr>
                <w:rFonts w:ascii="Times New Roman" w:hAnsi="Times New Roman"/>
                <w:b/>
                <w:bCs/>
                <w:sz w:val="24"/>
                <w:szCs w:val="24"/>
              </w:rPr>
              <w:lastRenderedPageBreak/>
              <w:t>3.</w:t>
            </w:r>
          </w:p>
        </w:tc>
        <w:tc>
          <w:tcPr>
            <w:tcW w:w="5362" w:type="dxa"/>
            <w:shd w:val="clear" w:color="auto" w:fill="auto"/>
          </w:tcPr>
          <w:p w14:paraId="73866DDF" w14:textId="0E7C80C1" w:rsidR="007B6A23" w:rsidRPr="00537763" w:rsidRDefault="007B6A23" w:rsidP="007B6A23">
            <w:pPr>
              <w:shd w:val="clear" w:color="auto" w:fill="FFFFFF"/>
              <w:spacing w:after="0" w:line="240" w:lineRule="auto"/>
              <w:jc w:val="both"/>
              <w:rPr>
                <w:rFonts w:ascii="Times New Roman" w:eastAsia="Times New Roman" w:hAnsi="Times New Roman"/>
                <w:i/>
                <w:iCs/>
                <w:color w:val="000000"/>
                <w:sz w:val="24"/>
                <w:szCs w:val="24"/>
              </w:rPr>
            </w:pPr>
            <w:r w:rsidRPr="00537763">
              <w:rPr>
                <w:rFonts w:ascii="Times New Roman" w:eastAsia="Times New Roman" w:hAnsi="Times New Roman"/>
                <w:i/>
                <w:iCs/>
                <w:color w:val="000000"/>
                <w:sz w:val="24"/>
                <w:szCs w:val="24"/>
              </w:rPr>
              <w:t>Относно отпадане</w:t>
            </w:r>
            <w:r>
              <w:rPr>
                <w:rFonts w:ascii="Times New Roman" w:eastAsia="Times New Roman" w:hAnsi="Times New Roman"/>
                <w:i/>
                <w:iCs/>
                <w:color w:val="000000"/>
                <w:sz w:val="24"/>
                <w:szCs w:val="24"/>
              </w:rPr>
              <w:t>то</w:t>
            </w:r>
            <w:r w:rsidRPr="00537763">
              <w:rPr>
                <w:rFonts w:ascii="Times New Roman" w:eastAsia="Times New Roman" w:hAnsi="Times New Roman"/>
                <w:i/>
                <w:iCs/>
                <w:color w:val="000000"/>
                <w:sz w:val="24"/>
                <w:szCs w:val="24"/>
              </w:rPr>
              <w:t xml:space="preserve"> на предварителния протокол с цел съкращаване на времетраенето на конкурсната процедура:</w:t>
            </w:r>
          </w:p>
          <w:p w14:paraId="21878084" w14:textId="1367732A" w:rsidR="007B6A23" w:rsidRPr="00C43D17" w:rsidRDefault="007B6A23" w:rsidP="007B6A23">
            <w:pPr>
              <w:shd w:val="clear" w:color="auto" w:fill="FFFFFF"/>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 усилията за нормативни промени следва да се насочат в тази посока (назначаването от МС), а не в заличаването на чл. 17 (предварителния протокол), които има своята смислена роля в процеса </w:t>
            </w:r>
            <w:r w:rsidR="006006C4">
              <w:rPr>
                <w:rFonts w:ascii="Times New Roman" w:eastAsia="Times New Roman" w:hAnsi="Times New Roman"/>
                <w:color w:val="000000"/>
                <w:sz w:val="24"/>
                <w:szCs w:val="24"/>
              </w:rPr>
              <w:t>и</w:t>
            </w:r>
            <w:r>
              <w:rPr>
                <w:rFonts w:ascii="Times New Roman" w:eastAsia="Times New Roman" w:hAnsi="Times New Roman"/>
                <w:color w:val="000000"/>
                <w:sz w:val="24"/>
                <w:szCs w:val="24"/>
              </w:rPr>
              <w:t xml:space="preserve"> тя е по своята същност медиаторска. </w:t>
            </w:r>
            <w:r w:rsidRPr="00A17573">
              <w:rPr>
                <w:rFonts w:ascii="Times New Roman" w:eastAsia="Times New Roman" w:hAnsi="Times New Roman"/>
                <w:color w:val="000000"/>
                <w:sz w:val="24"/>
                <w:szCs w:val="24"/>
              </w:rPr>
              <w:t>Никак не е лошо страните в конкурсното производство да имат правото да защитят правата си пред конкурсната комисия (администрацията), вместо единственият им полезен ход при пренебрегване на правата им да остава единствено и само съдът – нещо, което де факто целят авторите на проекта на нормативен акт</w:t>
            </w:r>
            <w:r>
              <w:rPr>
                <w:rFonts w:ascii="Times New Roman" w:eastAsia="Times New Roman" w:hAnsi="Times New Roman"/>
                <w:color w:val="000000"/>
                <w:sz w:val="24"/>
                <w:szCs w:val="24"/>
              </w:rPr>
              <w:t>.“</w:t>
            </w:r>
          </w:p>
          <w:p w14:paraId="5623FC36" w14:textId="47E118F6" w:rsidR="007B6A23" w:rsidRPr="00FF248A" w:rsidRDefault="007B6A23" w:rsidP="007B6A23">
            <w:pPr>
              <w:shd w:val="clear" w:color="auto" w:fill="FFFFFF"/>
              <w:spacing w:after="0" w:line="240" w:lineRule="auto"/>
              <w:jc w:val="both"/>
              <w:rPr>
                <w:rFonts w:ascii="Times New Roman" w:eastAsia="Times New Roman" w:hAnsi="Times New Roman"/>
                <w:color w:val="000000"/>
                <w:sz w:val="24"/>
                <w:szCs w:val="24"/>
                <w:highlight w:val="yellow"/>
              </w:rPr>
            </w:pPr>
          </w:p>
        </w:tc>
        <w:tc>
          <w:tcPr>
            <w:tcW w:w="1664" w:type="dxa"/>
            <w:gridSpan w:val="2"/>
            <w:shd w:val="clear" w:color="auto" w:fill="auto"/>
          </w:tcPr>
          <w:p w14:paraId="3D8F9A87" w14:textId="46A5EB7E" w:rsidR="007B6A23" w:rsidRPr="001C5145" w:rsidRDefault="007B6A23" w:rsidP="007B6A23">
            <w:pPr>
              <w:spacing w:after="0" w:line="240" w:lineRule="auto"/>
              <w:ind w:right="57"/>
              <w:jc w:val="center"/>
              <w:rPr>
                <w:rFonts w:ascii="Times New Roman" w:hAnsi="Times New Roman"/>
                <w:b/>
                <w:bCs/>
                <w:sz w:val="24"/>
                <w:szCs w:val="24"/>
              </w:rPr>
            </w:pPr>
            <w:r>
              <w:rPr>
                <w:rFonts w:ascii="Times New Roman" w:hAnsi="Times New Roman"/>
                <w:b/>
                <w:bCs/>
                <w:sz w:val="24"/>
                <w:szCs w:val="24"/>
              </w:rPr>
              <w:t>Приема се</w:t>
            </w:r>
            <w:r w:rsidRPr="006F6A2F">
              <w:rPr>
                <w:rFonts w:ascii="Times New Roman" w:hAnsi="Times New Roman"/>
                <w:b/>
                <w:bCs/>
                <w:sz w:val="24"/>
                <w:szCs w:val="24"/>
              </w:rPr>
              <w:t xml:space="preserve"> </w:t>
            </w:r>
          </w:p>
        </w:tc>
        <w:tc>
          <w:tcPr>
            <w:tcW w:w="4678" w:type="dxa"/>
            <w:gridSpan w:val="2"/>
            <w:shd w:val="clear" w:color="auto" w:fill="auto"/>
          </w:tcPr>
          <w:p w14:paraId="3589D0E0" w14:textId="77777777" w:rsidR="007B6A23" w:rsidRDefault="007B6A23" w:rsidP="007B6A23">
            <w:pPr>
              <w:spacing w:after="0" w:line="240" w:lineRule="auto"/>
              <w:ind w:left="57" w:right="57"/>
              <w:jc w:val="both"/>
              <w:rPr>
                <w:rFonts w:ascii="Times New Roman" w:hAnsi="Times New Roman"/>
                <w:sz w:val="24"/>
                <w:szCs w:val="24"/>
              </w:rPr>
            </w:pPr>
          </w:p>
          <w:p w14:paraId="32134861" w14:textId="34912A85" w:rsidR="007B6A23" w:rsidRDefault="007B6A23" w:rsidP="007B6A23">
            <w:pPr>
              <w:spacing w:after="0" w:line="240" w:lineRule="auto"/>
              <w:ind w:left="57" w:right="57"/>
              <w:jc w:val="both"/>
              <w:rPr>
                <w:rFonts w:ascii="Times New Roman" w:hAnsi="Times New Roman"/>
                <w:sz w:val="24"/>
                <w:szCs w:val="24"/>
              </w:rPr>
            </w:pPr>
            <w:r>
              <w:rPr>
                <w:rFonts w:ascii="Times New Roman" w:hAnsi="Times New Roman"/>
                <w:sz w:val="24"/>
                <w:szCs w:val="24"/>
              </w:rPr>
              <w:t xml:space="preserve"> </w:t>
            </w:r>
          </w:p>
          <w:p w14:paraId="488AA0C0" w14:textId="77777777" w:rsidR="007B6A23" w:rsidRDefault="007B6A23" w:rsidP="007B6A23">
            <w:pPr>
              <w:spacing w:after="0" w:line="240" w:lineRule="auto"/>
              <w:ind w:left="57" w:right="57"/>
              <w:jc w:val="both"/>
              <w:rPr>
                <w:rFonts w:ascii="Times New Roman" w:hAnsi="Times New Roman"/>
                <w:sz w:val="24"/>
                <w:szCs w:val="24"/>
              </w:rPr>
            </w:pPr>
          </w:p>
          <w:p w14:paraId="492810FF" w14:textId="3A386768" w:rsidR="007B6A23" w:rsidRPr="008B6D97" w:rsidRDefault="007B6A23" w:rsidP="007B6A23">
            <w:pPr>
              <w:spacing w:after="0" w:line="240" w:lineRule="auto"/>
              <w:ind w:left="57" w:right="57"/>
              <w:jc w:val="both"/>
              <w:rPr>
                <w:rFonts w:ascii="Times New Roman" w:hAnsi="Times New Roman"/>
                <w:sz w:val="24"/>
                <w:szCs w:val="24"/>
              </w:rPr>
            </w:pPr>
          </w:p>
        </w:tc>
      </w:tr>
      <w:tr w:rsidR="007B6A23" w:rsidRPr="00104ABF" w14:paraId="46F98BF0" w14:textId="77777777" w:rsidTr="007C43CC">
        <w:trPr>
          <w:jc w:val="center"/>
        </w:trPr>
        <w:tc>
          <w:tcPr>
            <w:tcW w:w="482" w:type="dxa"/>
            <w:gridSpan w:val="2"/>
            <w:shd w:val="clear" w:color="auto" w:fill="auto"/>
          </w:tcPr>
          <w:p w14:paraId="79CA72D6" w14:textId="21D31D53" w:rsidR="007B6A23" w:rsidRPr="00277DE8" w:rsidRDefault="007B6A23" w:rsidP="007B6A23">
            <w:pPr>
              <w:spacing w:after="0" w:line="240" w:lineRule="auto"/>
              <w:ind w:left="57" w:right="57"/>
              <w:jc w:val="both"/>
              <w:rPr>
                <w:rFonts w:ascii="Times New Roman" w:hAnsi="Times New Roman"/>
                <w:b/>
                <w:bCs/>
                <w:sz w:val="24"/>
                <w:szCs w:val="24"/>
              </w:rPr>
            </w:pPr>
            <w:r>
              <w:rPr>
                <w:rFonts w:ascii="Times New Roman" w:hAnsi="Times New Roman"/>
                <w:b/>
                <w:bCs/>
                <w:sz w:val="24"/>
                <w:szCs w:val="24"/>
              </w:rPr>
              <w:lastRenderedPageBreak/>
              <w:t xml:space="preserve">4. </w:t>
            </w:r>
          </w:p>
        </w:tc>
        <w:tc>
          <w:tcPr>
            <w:tcW w:w="5362" w:type="dxa"/>
            <w:shd w:val="clear" w:color="auto" w:fill="auto"/>
          </w:tcPr>
          <w:p w14:paraId="174EC125" w14:textId="1B5D75B3" w:rsidR="007B6A23" w:rsidRPr="005829EC" w:rsidRDefault="007B6A23" w:rsidP="007B6A23">
            <w:pPr>
              <w:shd w:val="clear" w:color="auto" w:fill="FFFFFF"/>
              <w:spacing w:after="0" w:line="240" w:lineRule="auto"/>
              <w:jc w:val="both"/>
              <w:rPr>
                <w:rFonts w:ascii="Times New Roman" w:eastAsia="Times New Roman" w:hAnsi="Times New Roman"/>
                <w:i/>
                <w:iCs/>
                <w:color w:val="000000"/>
                <w:sz w:val="24"/>
                <w:szCs w:val="24"/>
                <w:lang w:val="ru-RU"/>
              </w:rPr>
            </w:pPr>
            <w:r w:rsidRPr="00171520">
              <w:rPr>
                <w:rFonts w:ascii="Times New Roman" w:eastAsia="Times New Roman" w:hAnsi="Times New Roman"/>
                <w:i/>
                <w:iCs/>
                <w:color w:val="000000"/>
                <w:sz w:val="24"/>
                <w:szCs w:val="24"/>
              </w:rPr>
              <w:t xml:space="preserve">Относно </w:t>
            </w:r>
            <w:r>
              <w:rPr>
                <w:rFonts w:ascii="Times New Roman" w:eastAsia="Times New Roman" w:hAnsi="Times New Roman"/>
                <w:i/>
                <w:iCs/>
                <w:color w:val="000000"/>
                <w:sz w:val="24"/>
                <w:szCs w:val="24"/>
              </w:rPr>
              <w:t>у</w:t>
            </w:r>
            <w:r w:rsidRPr="00171520">
              <w:rPr>
                <w:rFonts w:ascii="Times New Roman" w:eastAsia="Times New Roman" w:hAnsi="Times New Roman"/>
                <w:i/>
                <w:iCs/>
                <w:color w:val="000000"/>
                <w:sz w:val="24"/>
                <w:szCs w:val="24"/>
              </w:rPr>
              <w:t xml:space="preserve">еднаквяване на </w:t>
            </w:r>
            <w:r w:rsidRPr="00542D1E">
              <w:rPr>
                <w:rFonts w:ascii="Times New Roman" w:eastAsia="Times New Roman" w:hAnsi="Times New Roman"/>
                <w:i/>
                <w:iCs/>
                <w:color w:val="000000"/>
                <w:sz w:val="24"/>
                <w:szCs w:val="24"/>
              </w:rPr>
              <w:t>разпоредбите на Наредба № 847</w:t>
            </w:r>
            <w:r>
              <w:rPr>
                <w:rFonts w:ascii="Times New Roman" w:eastAsia="Times New Roman" w:hAnsi="Times New Roman"/>
                <w:i/>
                <w:iCs/>
                <w:color w:val="000000"/>
                <w:sz w:val="24"/>
                <w:szCs w:val="24"/>
              </w:rPr>
              <w:t xml:space="preserve"> с </w:t>
            </w:r>
            <w:r w:rsidRPr="00171520">
              <w:rPr>
                <w:rFonts w:ascii="Times New Roman" w:eastAsia="Times New Roman" w:hAnsi="Times New Roman"/>
                <w:i/>
                <w:iCs/>
                <w:color w:val="000000"/>
                <w:sz w:val="24"/>
                <w:szCs w:val="24"/>
              </w:rPr>
              <w:t>предвиденото в чл. 7, ал. 3 от ЗГВ</w:t>
            </w:r>
            <w:r>
              <w:rPr>
                <w:rFonts w:ascii="Times New Roman" w:eastAsia="Times New Roman" w:hAnsi="Times New Roman"/>
                <w:i/>
                <w:iCs/>
                <w:color w:val="000000"/>
                <w:sz w:val="24"/>
                <w:szCs w:val="24"/>
              </w:rPr>
              <w:t xml:space="preserve">: </w:t>
            </w:r>
          </w:p>
          <w:p w14:paraId="71E6C234" w14:textId="4577744D" w:rsidR="007B6A23" w:rsidRPr="00171520" w:rsidRDefault="007B6A23" w:rsidP="007B6A23">
            <w:pPr>
              <w:shd w:val="clear" w:color="auto" w:fill="FFFFFF"/>
              <w:spacing w:after="0" w:line="240" w:lineRule="auto"/>
              <w:jc w:val="both"/>
              <w:rPr>
                <w:rFonts w:ascii="Times New Roman" w:eastAsia="Times New Roman" w:hAnsi="Times New Roman"/>
                <w:i/>
                <w:iCs/>
                <w:color w:val="000000"/>
                <w:sz w:val="24"/>
                <w:szCs w:val="24"/>
              </w:rPr>
            </w:pPr>
            <w:r w:rsidRPr="005829EC">
              <w:rPr>
                <w:rFonts w:ascii="Times New Roman" w:hAnsi="Times New Roman"/>
                <w:sz w:val="24"/>
                <w:szCs w:val="24"/>
                <w:lang w:val="ru-RU"/>
              </w:rPr>
              <w:t>“…</w:t>
            </w:r>
            <w:r w:rsidRPr="00171520">
              <w:rPr>
                <w:rFonts w:ascii="Times New Roman" w:hAnsi="Times New Roman"/>
                <w:sz w:val="24"/>
                <w:szCs w:val="24"/>
              </w:rPr>
              <w:t>промените следва да засягат уеднаквяване на предвиденото в чл.</w:t>
            </w:r>
            <w:r w:rsidRPr="005829EC">
              <w:rPr>
                <w:rFonts w:ascii="Times New Roman" w:hAnsi="Times New Roman"/>
                <w:sz w:val="24"/>
                <w:szCs w:val="24"/>
                <w:lang w:val="ru-RU"/>
              </w:rPr>
              <w:t xml:space="preserve"> </w:t>
            </w:r>
            <w:r w:rsidRPr="00171520">
              <w:rPr>
                <w:rFonts w:ascii="Times New Roman" w:hAnsi="Times New Roman"/>
                <w:sz w:val="24"/>
                <w:szCs w:val="24"/>
              </w:rPr>
              <w:t>7, ал.</w:t>
            </w:r>
            <w:r w:rsidRPr="005829EC">
              <w:rPr>
                <w:rFonts w:ascii="Times New Roman" w:hAnsi="Times New Roman"/>
                <w:sz w:val="24"/>
                <w:szCs w:val="24"/>
                <w:lang w:val="ru-RU"/>
              </w:rPr>
              <w:t xml:space="preserve"> </w:t>
            </w:r>
            <w:r w:rsidRPr="00171520">
              <w:rPr>
                <w:rFonts w:ascii="Times New Roman" w:hAnsi="Times New Roman"/>
                <w:sz w:val="24"/>
                <w:szCs w:val="24"/>
              </w:rPr>
              <w:t>3 от ЗГВ (</w:t>
            </w:r>
            <w:r w:rsidRPr="00171520">
              <w:rPr>
                <w:rFonts w:ascii="Times New Roman" w:hAnsi="Times New Roman"/>
                <w:i/>
                <w:iCs/>
                <w:sz w:val="24"/>
                <w:szCs w:val="24"/>
              </w:rPr>
              <w:t>„Когато в международен договор има ограничения за броя български въздушни превозвачи, за честотите на експлоатация на линията или за предлагания капацитет, изборът се извършва от министъра на транспорта, информационните технологии и съобщенията въз основа на конкурс или чрез възлагане, когато за участие в конкурса за дадена линия се е явил само един кандидат“</w:t>
            </w:r>
            <w:r w:rsidRPr="00171520">
              <w:rPr>
                <w:rFonts w:ascii="Times New Roman" w:hAnsi="Times New Roman"/>
                <w:sz w:val="24"/>
                <w:szCs w:val="24"/>
              </w:rPr>
              <w:t>) със записаното в чл.</w:t>
            </w:r>
            <w:r w:rsidRPr="005829EC">
              <w:rPr>
                <w:rFonts w:ascii="Times New Roman" w:hAnsi="Times New Roman"/>
                <w:sz w:val="24"/>
                <w:szCs w:val="24"/>
                <w:lang w:val="ru-RU"/>
              </w:rPr>
              <w:t xml:space="preserve"> </w:t>
            </w:r>
            <w:r w:rsidRPr="00171520">
              <w:rPr>
                <w:rFonts w:ascii="Times New Roman" w:hAnsi="Times New Roman"/>
                <w:sz w:val="24"/>
                <w:szCs w:val="24"/>
              </w:rPr>
              <w:t>2 от Наредба № 847/2010</w:t>
            </w:r>
            <w:r w:rsidRPr="005829EC">
              <w:rPr>
                <w:rFonts w:ascii="Times New Roman" w:hAnsi="Times New Roman"/>
                <w:sz w:val="24"/>
                <w:szCs w:val="24"/>
                <w:lang w:val="ru-RU"/>
              </w:rPr>
              <w:t xml:space="preserve"> </w:t>
            </w:r>
            <w:r w:rsidRPr="00171520">
              <w:rPr>
                <w:rFonts w:ascii="Times New Roman" w:hAnsi="Times New Roman"/>
                <w:sz w:val="24"/>
                <w:szCs w:val="24"/>
              </w:rPr>
              <w:t>г</w:t>
            </w:r>
            <w:r w:rsidRPr="005829EC">
              <w:rPr>
                <w:rFonts w:ascii="Times New Roman" w:hAnsi="Times New Roman"/>
                <w:sz w:val="24"/>
                <w:szCs w:val="24"/>
                <w:lang w:val="ru-RU"/>
              </w:rPr>
              <w:t>.</w:t>
            </w:r>
            <w:r w:rsidRPr="00171520">
              <w:rPr>
                <w:rFonts w:ascii="Times New Roman" w:hAnsi="Times New Roman"/>
                <w:sz w:val="24"/>
                <w:szCs w:val="24"/>
              </w:rPr>
              <w:t xml:space="preserve"> (</w:t>
            </w:r>
            <w:r w:rsidRPr="00171520">
              <w:rPr>
                <w:rFonts w:ascii="Times New Roman" w:hAnsi="Times New Roman"/>
                <w:i/>
                <w:iCs/>
                <w:sz w:val="24"/>
                <w:szCs w:val="24"/>
              </w:rPr>
              <w:t>Чл. 2. Когато съгласно международен договор с трета страна се предвиждат ограничения на броя въздушни превозвачи, които могат да бъдат назначени за експлоатация на договорена линия, или ограничения на търговските права, като ограничения на честотите на експлоатация, предлагания капацитет или броя на пунктовете на опериране, достъпът до пазара по договорена линия се предоставя след конкурс, проведен по реда на тази наредба“</w:t>
            </w:r>
            <w:r w:rsidRPr="00171520">
              <w:rPr>
                <w:rFonts w:ascii="Times New Roman" w:hAnsi="Times New Roman"/>
                <w:sz w:val="24"/>
                <w:szCs w:val="24"/>
              </w:rPr>
              <w:t>), като същият този чл.</w:t>
            </w:r>
            <w:r w:rsidRPr="005829EC">
              <w:rPr>
                <w:rFonts w:ascii="Times New Roman" w:hAnsi="Times New Roman"/>
                <w:sz w:val="24"/>
                <w:szCs w:val="24"/>
                <w:lang w:val="ru-RU"/>
              </w:rPr>
              <w:t xml:space="preserve"> </w:t>
            </w:r>
            <w:r w:rsidRPr="00171520">
              <w:rPr>
                <w:rFonts w:ascii="Times New Roman" w:hAnsi="Times New Roman"/>
                <w:sz w:val="24"/>
                <w:szCs w:val="24"/>
              </w:rPr>
              <w:t>2 е дописан в ДР, §1, т.7 от наредбата.</w:t>
            </w:r>
            <w:r w:rsidRPr="005829EC">
              <w:rPr>
                <w:rFonts w:ascii="Times New Roman" w:hAnsi="Times New Roman"/>
                <w:sz w:val="24"/>
                <w:szCs w:val="24"/>
                <w:lang w:val="ru-RU"/>
              </w:rPr>
              <w:t xml:space="preserve"> </w:t>
            </w:r>
            <w:r w:rsidRPr="00171520">
              <w:rPr>
                <w:rFonts w:ascii="Times New Roman" w:eastAsia="Times New Roman" w:hAnsi="Times New Roman"/>
                <w:color w:val="000000"/>
                <w:sz w:val="24"/>
                <w:szCs w:val="24"/>
              </w:rPr>
              <w:t xml:space="preserve">Дописването на закона с наредбата, и то два пъти, реално затруднява прилагането на нормите от страна на въздушните превозвачи. Защото освен сроковете, които съблюдава администрацията и които е добре да са оптимизирани, много по-важно е качеството на </w:t>
            </w:r>
            <w:r w:rsidRPr="00171520">
              <w:rPr>
                <w:rFonts w:ascii="Times New Roman" w:eastAsia="Times New Roman" w:hAnsi="Times New Roman"/>
                <w:color w:val="000000"/>
                <w:sz w:val="24"/>
                <w:szCs w:val="24"/>
              </w:rPr>
              <w:lastRenderedPageBreak/>
              <w:t>административното производство, а това се гарантира от законосъобразни, ясни и непротиворечиви нормативни актове.“</w:t>
            </w:r>
          </w:p>
          <w:p w14:paraId="66A48229" w14:textId="6B3F2E79" w:rsidR="007B6A23" w:rsidRPr="00171520" w:rsidRDefault="007B6A23" w:rsidP="007B6A23">
            <w:pPr>
              <w:shd w:val="clear" w:color="auto" w:fill="FFFFFF"/>
              <w:spacing w:after="0" w:line="240" w:lineRule="auto"/>
              <w:jc w:val="both"/>
              <w:rPr>
                <w:rFonts w:ascii="Times New Roman" w:eastAsia="Times New Roman" w:hAnsi="Times New Roman"/>
                <w:color w:val="000000"/>
                <w:sz w:val="24"/>
                <w:szCs w:val="24"/>
              </w:rPr>
            </w:pPr>
          </w:p>
        </w:tc>
        <w:tc>
          <w:tcPr>
            <w:tcW w:w="1664" w:type="dxa"/>
            <w:gridSpan w:val="2"/>
            <w:shd w:val="clear" w:color="auto" w:fill="auto"/>
          </w:tcPr>
          <w:p w14:paraId="50225A00" w14:textId="0B1C8EC0" w:rsidR="007B6A23" w:rsidRPr="00277DE8" w:rsidRDefault="007B6A23" w:rsidP="007B6A23">
            <w:pPr>
              <w:spacing w:after="0" w:line="240" w:lineRule="auto"/>
              <w:ind w:right="57"/>
              <w:jc w:val="center"/>
              <w:rPr>
                <w:rFonts w:ascii="Times New Roman" w:hAnsi="Times New Roman"/>
                <w:b/>
                <w:bCs/>
                <w:sz w:val="24"/>
                <w:szCs w:val="24"/>
              </w:rPr>
            </w:pPr>
            <w:r>
              <w:rPr>
                <w:rFonts w:ascii="Times New Roman" w:hAnsi="Times New Roman"/>
                <w:b/>
                <w:bCs/>
                <w:sz w:val="24"/>
                <w:szCs w:val="24"/>
              </w:rPr>
              <w:lastRenderedPageBreak/>
              <w:t>Приема се</w:t>
            </w:r>
          </w:p>
        </w:tc>
        <w:tc>
          <w:tcPr>
            <w:tcW w:w="4678" w:type="dxa"/>
            <w:gridSpan w:val="2"/>
            <w:shd w:val="clear" w:color="auto" w:fill="auto"/>
          </w:tcPr>
          <w:p w14:paraId="5EFAC740" w14:textId="77777777" w:rsidR="00A95AB3" w:rsidRDefault="00A95AB3" w:rsidP="00A95AB3">
            <w:pPr>
              <w:spacing w:line="240" w:lineRule="auto"/>
              <w:jc w:val="both"/>
              <w:rPr>
                <w:rFonts w:ascii="Times New Roman" w:hAnsi="Times New Roman"/>
                <w:sz w:val="24"/>
                <w:szCs w:val="24"/>
              </w:rPr>
            </w:pPr>
            <w:r>
              <w:rPr>
                <w:rFonts w:ascii="Times New Roman" w:hAnsi="Times New Roman"/>
                <w:sz w:val="24"/>
                <w:szCs w:val="24"/>
              </w:rPr>
              <w:t>Чл. 2 се изменя така</w:t>
            </w:r>
            <w:r w:rsidRPr="00E04123">
              <w:rPr>
                <w:rFonts w:ascii="Times New Roman" w:hAnsi="Times New Roman"/>
                <w:sz w:val="24"/>
                <w:szCs w:val="24"/>
              </w:rPr>
              <w:t xml:space="preserve">: </w:t>
            </w:r>
          </w:p>
          <w:p w14:paraId="65421294" w14:textId="5E96982E" w:rsidR="00A95AB3" w:rsidRPr="00E04123" w:rsidRDefault="00A95AB3" w:rsidP="00A95AB3">
            <w:pPr>
              <w:spacing w:line="240" w:lineRule="auto"/>
              <w:jc w:val="both"/>
              <w:rPr>
                <w:rFonts w:ascii="Times New Roman" w:hAnsi="Times New Roman"/>
                <w:sz w:val="24"/>
                <w:szCs w:val="24"/>
              </w:rPr>
            </w:pPr>
            <w:r w:rsidRPr="00E04123">
              <w:rPr>
                <w:rFonts w:ascii="Times New Roman" w:hAnsi="Times New Roman"/>
                <w:sz w:val="24"/>
                <w:szCs w:val="24"/>
              </w:rPr>
              <w:t>„</w:t>
            </w:r>
            <w:r>
              <w:rPr>
                <w:rFonts w:ascii="Times New Roman" w:hAnsi="Times New Roman"/>
                <w:sz w:val="24"/>
                <w:szCs w:val="24"/>
              </w:rPr>
              <w:t xml:space="preserve">Чл. 2. </w:t>
            </w:r>
            <w:r w:rsidRPr="00E04123">
              <w:rPr>
                <w:rFonts w:ascii="Times New Roman" w:eastAsia="Times New Roman" w:hAnsi="Times New Roman"/>
                <w:sz w:val="24"/>
                <w:szCs w:val="24"/>
                <w:lang w:eastAsia="bg-BG" w:bidi="bg-BG"/>
              </w:rPr>
              <w:t xml:space="preserve">Когато съгласно международен договор с трета страна се предвиждат ограничения на броя въздушни превозвачи, които могат да бъдат назначени за експлоатация на договорена линия, или ограничения на търговските </w:t>
            </w:r>
            <w:bookmarkStart w:id="1" w:name="_Hlk80276412"/>
            <w:r w:rsidRPr="00E04123">
              <w:rPr>
                <w:rFonts w:ascii="Times New Roman" w:eastAsia="Times New Roman" w:hAnsi="Times New Roman"/>
                <w:sz w:val="24"/>
                <w:szCs w:val="24"/>
                <w:lang w:eastAsia="bg-BG" w:bidi="bg-BG"/>
              </w:rPr>
              <w:t xml:space="preserve">права </w:t>
            </w:r>
            <w:r w:rsidRPr="00E04123">
              <w:rPr>
                <w:rFonts w:ascii="Times New Roman" w:eastAsiaTheme="minorEastAsia" w:hAnsi="Times New Roman"/>
                <w:sz w:val="24"/>
                <w:szCs w:val="24"/>
                <w:lang w:eastAsia="bg-BG" w:bidi="bg-BG"/>
              </w:rPr>
              <w:t>за честотите на експлоатация на линията или за предлагания капацитет</w:t>
            </w:r>
            <w:bookmarkEnd w:id="1"/>
            <w:r w:rsidRPr="00E04123">
              <w:rPr>
                <w:rFonts w:ascii="Times New Roman" w:eastAsia="Times New Roman" w:hAnsi="Times New Roman"/>
                <w:sz w:val="24"/>
                <w:szCs w:val="24"/>
                <w:lang w:eastAsia="bg-BG" w:bidi="bg-BG"/>
              </w:rPr>
              <w:t>, достъпът до пазара по договорена линия се предоставя след конкурс, проведен по реда на тази наредба.</w:t>
            </w:r>
            <w:r>
              <w:rPr>
                <w:rFonts w:ascii="Times New Roman" w:eastAsia="Times New Roman" w:hAnsi="Times New Roman"/>
                <w:sz w:val="24"/>
                <w:szCs w:val="24"/>
                <w:lang w:eastAsia="bg-BG" w:bidi="bg-BG"/>
              </w:rPr>
              <w:t>“</w:t>
            </w:r>
          </w:p>
          <w:p w14:paraId="2681CAAA" w14:textId="77777777" w:rsidR="00A95AB3" w:rsidRDefault="00A95AB3" w:rsidP="00A95AB3">
            <w:pPr>
              <w:spacing w:line="240" w:lineRule="auto"/>
              <w:jc w:val="both"/>
              <w:rPr>
                <w:rFonts w:ascii="Times New Roman" w:hAnsi="Times New Roman"/>
                <w:sz w:val="24"/>
                <w:szCs w:val="24"/>
              </w:rPr>
            </w:pPr>
            <w:r w:rsidRPr="00B7010E">
              <w:rPr>
                <w:rFonts w:ascii="Times New Roman" w:hAnsi="Times New Roman"/>
                <w:sz w:val="24"/>
                <w:szCs w:val="24"/>
              </w:rPr>
              <w:t>В § 1от</w:t>
            </w:r>
            <w:r>
              <w:rPr>
                <w:rFonts w:ascii="Times New Roman" w:hAnsi="Times New Roman"/>
                <w:sz w:val="24"/>
                <w:szCs w:val="24"/>
              </w:rPr>
              <w:t xml:space="preserve"> Допълнителната разпоредба се правят следните изменения:</w:t>
            </w:r>
          </w:p>
          <w:p w14:paraId="141484E3" w14:textId="02B9CD28" w:rsidR="00A95AB3" w:rsidRDefault="00A95AB3" w:rsidP="00A95AB3">
            <w:pPr>
              <w:spacing w:line="240" w:lineRule="auto"/>
              <w:jc w:val="both"/>
              <w:rPr>
                <w:rFonts w:ascii="Times New Roman" w:hAnsi="Times New Roman"/>
                <w:sz w:val="24"/>
                <w:szCs w:val="24"/>
              </w:rPr>
            </w:pPr>
            <w:r>
              <w:rPr>
                <w:rFonts w:ascii="Times New Roman" w:hAnsi="Times New Roman"/>
                <w:sz w:val="24"/>
                <w:szCs w:val="24"/>
              </w:rPr>
              <w:t>1.</w:t>
            </w:r>
            <w:r w:rsidRPr="00E13785">
              <w:t xml:space="preserve"> </w:t>
            </w:r>
            <w:r w:rsidR="006006C4">
              <w:rPr>
                <w:rFonts w:ascii="Times New Roman" w:hAnsi="Times New Roman"/>
                <w:sz w:val="24"/>
                <w:szCs w:val="24"/>
              </w:rPr>
              <w:t>Точка</w:t>
            </w:r>
            <w:r>
              <w:rPr>
                <w:rFonts w:ascii="Times New Roman" w:hAnsi="Times New Roman"/>
                <w:sz w:val="24"/>
                <w:szCs w:val="24"/>
              </w:rPr>
              <w:t xml:space="preserve"> 6 се отменя</w:t>
            </w:r>
            <w:r w:rsidRPr="00E13785">
              <w:rPr>
                <w:rFonts w:ascii="Times New Roman" w:hAnsi="Times New Roman"/>
                <w:sz w:val="24"/>
                <w:szCs w:val="24"/>
              </w:rPr>
              <w:t>.</w:t>
            </w:r>
          </w:p>
          <w:p w14:paraId="526812E1" w14:textId="2D00222B" w:rsidR="00A95AB3" w:rsidRDefault="00A95AB3" w:rsidP="00A95AB3">
            <w:pPr>
              <w:spacing w:line="240" w:lineRule="auto"/>
              <w:jc w:val="both"/>
              <w:rPr>
                <w:rFonts w:ascii="Times New Roman" w:hAnsi="Times New Roman"/>
                <w:sz w:val="24"/>
                <w:szCs w:val="24"/>
              </w:rPr>
            </w:pPr>
            <w:r>
              <w:rPr>
                <w:rFonts w:ascii="Times New Roman" w:hAnsi="Times New Roman"/>
                <w:sz w:val="24"/>
                <w:szCs w:val="24"/>
              </w:rPr>
              <w:t xml:space="preserve">2. </w:t>
            </w:r>
            <w:r w:rsidR="006006C4">
              <w:rPr>
                <w:rFonts w:ascii="Times New Roman" w:hAnsi="Times New Roman"/>
                <w:sz w:val="24"/>
                <w:szCs w:val="24"/>
              </w:rPr>
              <w:t>Точка</w:t>
            </w:r>
            <w:r w:rsidRPr="00A95AB3">
              <w:rPr>
                <w:rFonts w:ascii="Times New Roman" w:hAnsi="Times New Roman"/>
                <w:sz w:val="24"/>
                <w:szCs w:val="24"/>
              </w:rPr>
              <w:t xml:space="preserve"> 7 се изменя така:</w:t>
            </w:r>
          </w:p>
          <w:p w14:paraId="6A94363B" w14:textId="31D4F92D" w:rsidR="00A95AB3" w:rsidRPr="00A95AB3" w:rsidRDefault="00A95AB3" w:rsidP="00A95AB3">
            <w:pPr>
              <w:spacing w:line="240" w:lineRule="auto"/>
              <w:jc w:val="both"/>
              <w:rPr>
                <w:rFonts w:ascii="Times New Roman" w:hAnsi="Times New Roman"/>
                <w:sz w:val="24"/>
                <w:szCs w:val="24"/>
              </w:rPr>
            </w:pPr>
            <w:r w:rsidRPr="00A95AB3">
              <w:rPr>
                <w:rFonts w:ascii="Times New Roman" w:hAnsi="Times New Roman"/>
                <w:sz w:val="24"/>
                <w:szCs w:val="24"/>
              </w:rPr>
              <w:t>„7.„Търговски права“ са права за назначаване на въздушни превозвачи за експлоатиране на редовна/и въздушна/и линия/и за превоз на пътници товари и поща, договорена/и по силата на международно споразумение с трета страна, права за предоставяне на капацитет или честоти на опериране.“</w:t>
            </w:r>
          </w:p>
          <w:p w14:paraId="52F16A05" w14:textId="77777777" w:rsidR="00A95AB3" w:rsidRDefault="00A95AB3" w:rsidP="00A95AB3">
            <w:pPr>
              <w:widowControl w:val="0"/>
              <w:autoSpaceDE w:val="0"/>
              <w:autoSpaceDN w:val="0"/>
              <w:adjustRightInd w:val="0"/>
              <w:spacing w:after="0" w:line="240" w:lineRule="auto"/>
              <w:jc w:val="both"/>
              <w:rPr>
                <w:rFonts w:ascii="Times New Roman" w:hAnsi="Times New Roman"/>
                <w:sz w:val="24"/>
                <w:szCs w:val="24"/>
              </w:rPr>
            </w:pPr>
          </w:p>
          <w:p w14:paraId="50E39C8C" w14:textId="19C39E18" w:rsidR="007B6A23" w:rsidRPr="00104ABF" w:rsidRDefault="007B6A23" w:rsidP="007B6A23">
            <w:pPr>
              <w:spacing w:after="0" w:line="240" w:lineRule="auto"/>
              <w:ind w:right="57"/>
              <w:jc w:val="both"/>
              <w:rPr>
                <w:rFonts w:ascii="Times New Roman" w:hAnsi="Times New Roman"/>
                <w:strike/>
                <w:sz w:val="24"/>
                <w:szCs w:val="24"/>
              </w:rPr>
            </w:pPr>
          </w:p>
        </w:tc>
      </w:tr>
      <w:tr w:rsidR="007B6A23" w:rsidRPr="008B6D97" w14:paraId="7082DA66" w14:textId="77777777" w:rsidTr="007C43CC">
        <w:trPr>
          <w:jc w:val="center"/>
        </w:trPr>
        <w:tc>
          <w:tcPr>
            <w:tcW w:w="482" w:type="dxa"/>
            <w:gridSpan w:val="2"/>
            <w:shd w:val="clear" w:color="auto" w:fill="auto"/>
          </w:tcPr>
          <w:p w14:paraId="65E0B47A" w14:textId="799F5EB3" w:rsidR="007B6A23" w:rsidRDefault="007B6A23" w:rsidP="007B6A23">
            <w:pPr>
              <w:spacing w:after="0" w:line="240" w:lineRule="auto"/>
              <w:ind w:left="57" w:right="57"/>
              <w:jc w:val="both"/>
              <w:rPr>
                <w:rFonts w:ascii="Times New Roman" w:hAnsi="Times New Roman"/>
                <w:b/>
                <w:bCs/>
                <w:sz w:val="24"/>
                <w:szCs w:val="24"/>
              </w:rPr>
            </w:pPr>
            <w:r>
              <w:rPr>
                <w:rFonts w:ascii="Times New Roman" w:hAnsi="Times New Roman"/>
                <w:b/>
                <w:bCs/>
                <w:sz w:val="24"/>
                <w:szCs w:val="24"/>
              </w:rPr>
              <w:t>5.</w:t>
            </w:r>
          </w:p>
        </w:tc>
        <w:tc>
          <w:tcPr>
            <w:tcW w:w="5362" w:type="dxa"/>
            <w:shd w:val="clear" w:color="auto" w:fill="auto"/>
          </w:tcPr>
          <w:p w14:paraId="678AA332" w14:textId="06E71BD9" w:rsidR="007B6A23" w:rsidRPr="008F4014" w:rsidRDefault="007B6A23" w:rsidP="007B6A23">
            <w:pPr>
              <w:shd w:val="clear" w:color="auto" w:fill="FFFFFF"/>
              <w:spacing w:after="0" w:line="240" w:lineRule="auto"/>
              <w:jc w:val="both"/>
              <w:rPr>
                <w:rFonts w:ascii="Times New Roman" w:eastAsia="Times New Roman" w:hAnsi="Times New Roman"/>
                <w:i/>
                <w:iCs/>
                <w:color w:val="000000"/>
                <w:sz w:val="24"/>
                <w:szCs w:val="24"/>
              </w:rPr>
            </w:pPr>
            <w:r w:rsidRPr="008F4014">
              <w:rPr>
                <w:rFonts w:ascii="Times New Roman" w:eastAsia="Times New Roman" w:hAnsi="Times New Roman"/>
                <w:i/>
                <w:iCs/>
                <w:color w:val="000000"/>
                <w:sz w:val="24"/>
                <w:szCs w:val="24"/>
              </w:rPr>
              <w:t>Относно ограниченията в честотите на експлоатация</w:t>
            </w:r>
          </w:p>
          <w:p w14:paraId="7878A6AD" w14:textId="792B8CA8" w:rsidR="007B6A23" w:rsidRPr="007A3B45" w:rsidRDefault="007B6A23" w:rsidP="007B6A23">
            <w:pPr>
              <w:shd w:val="clear" w:color="auto" w:fill="FFFFFF"/>
              <w:spacing w:after="0" w:line="240" w:lineRule="auto"/>
              <w:jc w:val="both"/>
              <w:rPr>
                <w:rFonts w:ascii="Times New Roman" w:eastAsia="Times New Roman" w:hAnsi="Times New Roman"/>
                <w:color w:val="000000"/>
                <w:sz w:val="24"/>
                <w:szCs w:val="24"/>
                <w:highlight w:val="yellow"/>
              </w:rPr>
            </w:pPr>
            <w:r w:rsidRPr="008F4014">
              <w:rPr>
                <w:rFonts w:ascii="Times New Roman" w:eastAsia="Times New Roman" w:hAnsi="Times New Roman"/>
                <w:color w:val="000000"/>
                <w:sz w:val="24"/>
                <w:szCs w:val="24"/>
              </w:rPr>
              <w:t>„В проекта на наредба за изменение на Наредба № 847/2010 предлагаме да бъде прецизирано с подходящи нови текстове кога реално са налице ограничения в честотите на експлоатация на дадена линия, за да е реален факт тази предпоставка за обявяване на конкурс. Администрацията би могла да разбере своевременно за наличието на потенциален интерес при въздушните превозвачи относно дадена линия по двустранните спогодби като анонсира в началото на всяка календарна година намеренията си да провежда конкретен конкурс. Защото провеждането на конкурсна процедура не следва да бъде самоцел за администрацията, а е необходимо да се реализира при наличието на реално лимитирани търговски права. В тази връзка моля вижте предвиденото в Националната процедура на Германия за предоставяне на ограничени налични права за превози (2009/C 112/04), т.2.2, където е указано, че „</w:t>
            </w:r>
            <w:r w:rsidR="006006C4">
              <w:rPr>
                <w:rFonts w:ascii="Times New Roman" w:eastAsia="Times New Roman" w:hAnsi="Times New Roman"/>
                <w:color w:val="000000"/>
                <w:sz w:val="24"/>
                <w:szCs w:val="24"/>
              </w:rPr>
              <w:t>а</w:t>
            </w:r>
            <w:r w:rsidRPr="008F4014">
              <w:rPr>
                <w:rFonts w:ascii="Times New Roman" w:eastAsia="Times New Roman" w:hAnsi="Times New Roman"/>
                <w:color w:val="000000"/>
                <w:sz w:val="24"/>
                <w:szCs w:val="24"/>
              </w:rPr>
              <w:t xml:space="preserve">ко правата за превози и възможностите за назначения са на разположение в неограничен или достатъчен размер, и ако всички предпоставки на въздухоплавателното право са изпълнени, правата </w:t>
            </w:r>
            <w:r w:rsidRPr="008F4014">
              <w:rPr>
                <w:rFonts w:ascii="Times New Roman" w:eastAsia="Times New Roman" w:hAnsi="Times New Roman"/>
                <w:color w:val="000000"/>
                <w:sz w:val="24"/>
                <w:szCs w:val="24"/>
              </w:rPr>
              <w:lastRenderedPageBreak/>
              <w:t xml:space="preserve">се предоставят по правило на всички кандидати така, както са подали </w:t>
            </w:r>
            <w:r w:rsidRPr="00AA6678">
              <w:rPr>
                <w:rFonts w:ascii="Times New Roman" w:eastAsia="Times New Roman" w:hAnsi="Times New Roman"/>
                <w:color w:val="000000"/>
                <w:sz w:val="24"/>
                <w:szCs w:val="24"/>
              </w:rPr>
              <w:t>заявление“.“</w:t>
            </w:r>
          </w:p>
        </w:tc>
        <w:tc>
          <w:tcPr>
            <w:tcW w:w="1664" w:type="dxa"/>
            <w:gridSpan w:val="2"/>
            <w:shd w:val="clear" w:color="auto" w:fill="auto"/>
          </w:tcPr>
          <w:p w14:paraId="479F2C70" w14:textId="4573B6E5" w:rsidR="007B6A23" w:rsidRPr="007A3B45" w:rsidRDefault="007B6A23" w:rsidP="007B6A23">
            <w:pPr>
              <w:spacing w:after="0" w:line="240" w:lineRule="auto"/>
              <w:ind w:right="57"/>
              <w:jc w:val="center"/>
              <w:rPr>
                <w:rFonts w:ascii="Times New Roman" w:hAnsi="Times New Roman"/>
                <w:b/>
                <w:bCs/>
                <w:sz w:val="24"/>
                <w:szCs w:val="24"/>
                <w:highlight w:val="yellow"/>
              </w:rPr>
            </w:pPr>
            <w:r w:rsidRPr="001C4C7F">
              <w:rPr>
                <w:rFonts w:ascii="Times New Roman" w:hAnsi="Times New Roman"/>
                <w:b/>
                <w:bCs/>
                <w:sz w:val="24"/>
                <w:szCs w:val="24"/>
              </w:rPr>
              <w:lastRenderedPageBreak/>
              <w:t>Приема се за сведение</w:t>
            </w:r>
            <w:r w:rsidRPr="008F4014">
              <w:rPr>
                <w:rFonts w:ascii="Times New Roman" w:hAnsi="Times New Roman"/>
                <w:b/>
                <w:bCs/>
                <w:sz w:val="24"/>
                <w:szCs w:val="24"/>
              </w:rPr>
              <w:t xml:space="preserve"> </w:t>
            </w:r>
          </w:p>
        </w:tc>
        <w:tc>
          <w:tcPr>
            <w:tcW w:w="4678" w:type="dxa"/>
            <w:gridSpan w:val="2"/>
            <w:shd w:val="clear" w:color="auto" w:fill="auto"/>
          </w:tcPr>
          <w:p w14:paraId="78463BFC" w14:textId="27936FC8" w:rsidR="007B6A23" w:rsidRPr="00BE6D5E" w:rsidRDefault="007B6A23" w:rsidP="007B6A23">
            <w:pPr>
              <w:spacing w:after="0" w:line="240" w:lineRule="auto"/>
              <w:ind w:left="57" w:right="57"/>
              <w:jc w:val="both"/>
              <w:rPr>
                <w:rFonts w:ascii="Times New Roman" w:hAnsi="Times New Roman"/>
                <w:sz w:val="24"/>
                <w:szCs w:val="24"/>
              </w:rPr>
            </w:pPr>
            <w:r w:rsidRPr="00BE6D5E">
              <w:rPr>
                <w:rFonts w:ascii="Times New Roman" w:hAnsi="Times New Roman"/>
                <w:sz w:val="24"/>
                <w:szCs w:val="24"/>
              </w:rPr>
              <w:t xml:space="preserve">Предложението се приема за сведение. Главна дирекция „Главна въздухоплавателна администрация“ ще  проведе целенасочено проучване в този аспект на процедурите на останалите държави членки на Европейския съюз, като вземе предвид и натрупаният опит от последните проведени конкурси. </w:t>
            </w:r>
          </w:p>
          <w:p w14:paraId="4078AC9D" w14:textId="49103549" w:rsidR="007B6A23" w:rsidRPr="005829EC" w:rsidRDefault="007B6A23" w:rsidP="007B6A23">
            <w:pPr>
              <w:spacing w:after="0" w:line="240" w:lineRule="auto"/>
              <w:ind w:left="57" w:right="57"/>
              <w:jc w:val="both"/>
              <w:rPr>
                <w:rFonts w:ascii="Times New Roman" w:hAnsi="Times New Roman"/>
                <w:sz w:val="24"/>
                <w:szCs w:val="24"/>
                <w:highlight w:val="yellow"/>
                <w:lang w:val="ru-RU"/>
              </w:rPr>
            </w:pPr>
            <w:r w:rsidRPr="00BE6D5E">
              <w:rPr>
                <w:rFonts w:ascii="Times New Roman" w:hAnsi="Times New Roman"/>
                <w:sz w:val="24"/>
                <w:szCs w:val="24"/>
              </w:rPr>
              <w:t xml:space="preserve">В зависимост от изводите от проучването е възможно промяна в препоръчаната посока да бъде направена при следващо изменение на Наредба № 847. </w:t>
            </w:r>
          </w:p>
        </w:tc>
      </w:tr>
    </w:tbl>
    <w:p w14:paraId="51E15C0D" w14:textId="77777777" w:rsidR="006C74E9" w:rsidRPr="00852B77" w:rsidRDefault="006C74E9" w:rsidP="006C74E9">
      <w:pPr>
        <w:spacing w:after="0" w:line="240" w:lineRule="auto"/>
        <w:jc w:val="both"/>
        <w:rPr>
          <w:rFonts w:ascii="Times New Roman" w:hAnsi="Times New Roman"/>
          <w:sz w:val="24"/>
          <w:szCs w:val="24"/>
        </w:rPr>
      </w:pPr>
    </w:p>
    <w:sectPr w:rsidR="006C74E9" w:rsidRPr="00852B77" w:rsidSect="006C2FAD">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D71622" w14:textId="77777777" w:rsidR="00B97B6F" w:rsidRDefault="00B97B6F" w:rsidP="007E5464">
      <w:pPr>
        <w:spacing w:after="0" w:line="240" w:lineRule="auto"/>
      </w:pPr>
      <w:r>
        <w:separator/>
      </w:r>
    </w:p>
  </w:endnote>
  <w:endnote w:type="continuationSeparator" w:id="0">
    <w:p w14:paraId="23A3B07F" w14:textId="77777777" w:rsidR="00B97B6F" w:rsidRDefault="00B97B6F" w:rsidP="007E54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2BBBEF" w14:textId="77777777" w:rsidR="00B97B6F" w:rsidRDefault="00B97B6F" w:rsidP="007E5464">
      <w:pPr>
        <w:spacing w:after="0" w:line="240" w:lineRule="auto"/>
      </w:pPr>
      <w:r>
        <w:separator/>
      </w:r>
    </w:p>
  </w:footnote>
  <w:footnote w:type="continuationSeparator" w:id="0">
    <w:p w14:paraId="557E0292" w14:textId="77777777" w:rsidR="00B97B6F" w:rsidRDefault="00B97B6F" w:rsidP="007E546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E565D"/>
    <w:multiLevelType w:val="hybridMultilevel"/>
    <w:tmpl w:val="06E833FA"/>
    <w:lvl w:ilvl="0" w:tplc="4D4E4262">
      <w:start w:val="1"/>
      <w:numFmt w:val="decimal"/>
      <w:lvlText w:val="%1."/>
      <w:lvlJc w:val="left"/>
      <w:pPr>
        <w:ind w:left="1068" w:hanging="360"/>
      </w:pPr>
      <w:rPr>
        <w:rFonts w:ascii="Times New Roman" w:hAnsi="Times New Roman" w:cs="Times New Roman"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1" w15:restartNumberingAfterBreak="0">
    <w:nsid w:val="02C024E9"/>
    <w:multiLevelType w:val="hybridMultilevel"/>
    <w:tmpl w:val="4554F594"/>
    <w:lvl w:ilvl="0" w:tplc="95D6B8CE">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133C1B"/>
    <w:multiLevelType w:val="hybridMultilevel"/>
    <w:tmpl w:val="22322928"/>
    <w:lvl w:ilvl="0" w:tplc="7F705C58">
      <w:start w:val="1"/>
      <w:numFmt w:val="decimal"/>
      <w:lvlText w:val="%1."/>
      <w:lvlJc w:val="left"/>
      <w:pPr>
        <w:ind w:left="1068" w:hanging="360"/>
      </w:pPr>
      <w:rPr>
        <w:rFonts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3" w15:restartNumberingAfterBreak="0">
    <w:nsid w:val="0B422245"/>
    <w:multiLevelType w:val="hybridMultilevel"/>
    <w:tmpl w:val="BF4E8BCA"/>
    <w:lvl w:ilvl="0" w:tplc="0B60A71E">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8D5B42"/>
    <w:multiLevelType w:val="hybridMultilevel"/>
    <w:tmpl w:val="09A2054E"/>
    <w:lvl w:ilvl="0" w:tplc="6074A6F8">
      <w:start w:val="1"/>
      <w:numFmt w:val="decimal"/>
      <w:lvlText w:val="%1."/>
      <w:lvlJc w:val="left"/>
      <w:pPr>
        <w:ind w:left="1068" w:hanging="360"/>
      </w:pPr>
      <w:rPr>
        <w:rFonts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5" w15:restartNumberingAfterBreak="0">
    <w:nsid w:val="259C16D3"/>
    <w:multiLevelType w:val="hybridMultilevel"/>
    <w:tmpl w:val="D66A482E"/>
    <w:lvl w:ilvl="0" w:tplc="C9AA0428">
      <w:start w:val="1"/>
      <w:numFmt w:val="decimal"/>
      <w:lvlText w:val="%1."/>
      <w:lvlJc w:val="left"/>
      <w:pPr>
        <w:ind w:left="1069" w:hanging="360"/>
      </w:pPr>
      <w:rPr>
        <w:rFonts w:hint="default"/>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6" w15:restartNumberingAfterBreak="0">
    <w:nsid w:val="3ADD76F6"/>
    <w:multiLevelType w:val="hybridMultilevel"/>
    <w:tmpl w:val="3D2AC7D6"/>
    <w:lvl w:ilvl="0" w:tplc="5B4AB4BC">
      <w:start w:val="2"/>
      <w:numFmt w:val="decimal"/>
      <w:lvlText w:val="(%1)"/>
      <w:lvlJc w:val="left"/>
      <w:pPr>
        <w:ind w:left="1211" w:hanging="360"/>
      </w:pPr>
      <w:rPr>
        <w:rFonts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7" w15:restartNumberingAfterBreak="0">
    <w:nsid w:val="3C511E11"/>
    <w:multiLevelType w:val="hybridMultilevel"/>
    <w:tmpl w:val="90242708"/>
    <w:lvl w:ilvl="0" w:tplc="3F4EFFDE">
      <w:start w:val="1"/>
      <w:numFmt w:val="decimal"/>
      <w:lvlText w:val="%1."/>
      <w:lvlJc w:val="left"/>
      <w:pPr>
        <w:ind w:left="417" w:hanging="360"/>
      </w:pPr>
      <w:rPr>
        <w:rFonts w:hint="default"/>
        <w:b/>
      </w:rPr>
    </w:lvl>
    <w:lvl w:ilvl="1" w:tplc="04090019" w:tentative="1">
      <w:start w:val="1"/>
      <w:numFmt w:val="lowerLetter"/>
      <w:lvlText w:val="%2."/>
      <w:lvlJc w:val="left"/>
      <w:pPr>
        <w:ind w:left="1137" w:hanging="360"/>
      </w:pPr>
    </w:lvl>
    <w:lvl w:ilvl="2" w:tplc="0409001B" w:tentative="1">
      <w:start w:val="1"/>
      <w:numFmt w:val="lowerRoman"/>
      <w:lvlText w:val="%3."/>
      <w:lvlJc w:val="right"/>
      <w:pPr>
        <w:ind w:left="1857" w:hanging="180"/>
      </w:pPr>
    </w:lvl>
    <w:lvl w:ilvl="3" w:tplc="0409000F" w:tentative="1">
      <w:start w:val="1"/>
      <w:numFmt w:val="decimal"/>
      <w:lvlText w:val="%4."/>
      <w:lvlJc w:val="left"/>
      <w:pPr>
        <w:ind w:left="2577" w:hanging="360"/>
      </w:pPr>
    </w:lvl>
    <w:lvl w:ilvl="4" w:tplc="04090019" w:tentative="1">
      <w:start w:val="1"/>
      <w:numFmt w:val="lowerLetter"/>
      <w:lvlText w:val="%5."/>
      <w:lvlJc w:val="left"/>
      <w:pPr>
        <w:ind w:left="3297" w:hanging="360"/>
      </w:pPr>
    </w:lvl>
    <w:lvl w:ilvl="5" w:tplc="0409001B" w:tentative="1">
      <w:start w:val="1"/>
      <w:numFmt w:val="lowerRoman"/>
      <w:lvlText w:val="%6."/>
      <w:lvlJc w:val="right"/>
      <w:pPr>
        <w:ind w:left="4017" w:hanging="180"/>
      </w:pPr>
    </w:lvl>
    <w:lvl w:ilvl="6" w:tplc="0409000F" w:tentative="1">
      <w:start w:val="1"/>
      <w:numFmt w:val="decimal"/>
      <w:lvlText w:val="%7."/>
      <w:lvlJc w:val="left"/>
      <w:pPr>
        <w:ind w:left="4737" w:hanging="360"/>
      </w:pPr>
    </w:lvl>
    <w:lvl w:ilvl="7" w:tplc="04090019" w:tentative="1">
      <w:start w:val="1"/>
      <w:numFmt w:val="lowerLetter"/>
      <w:lvlText w:val="%8."/>
      <w:lvlJc w:val="left"/>
      <w:pPr>
        <w:ind w:left="5457" w:hanging="360"/>
      </w:pPr>
    </w:lvl>
    <w:lvl w:ilvl="8" w:tplc="0409001B" w:tentative="1">
      <w:start w:val="1"/>
      <w:numFmt w:val="lowerRoman"/>
      <w:lvlText w:val="%9."/>
      <w:lvlJc w:val="right"/>
      <w:pPr>
        <w:ind w:left="6177" w:hanging="180"/>
      </w:pPr>
    </w:lvl>
  </w:abstractNum>
  <w:abstractNum w:abstractNumId="8" w15:restartNumberingAfterBreak="0">
    <w:nsid w:val="587F4DF7"/>
    <w:multiLevelType w:val="hybridMultilevel"/>
    <w:tmpl w:val="6560AC46"/>
    <w:lvl w:ilvl="0" w:tplc="E8D82726">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9" w15:restartNumberingAfterBreak="0">
    <w:nsid w:val="59EF687D"/>
    <w:multiLevelType w:val="hybridMultilevel"/>
    <w:tmpl w:val="5C268688"/>
    <w:lvl w:ilvl="0" w:tplc="FC6EADA0">
      <w:start w:val="1"/>
      <w:numFmt w:val="decimal"/>
      <w:lvlText w:val="%1."/>
      <w:lvlJc w:val="left"/>
      <w:pPr>
        <w:ind w:left="1068" w:hanging="360"/>
      </w:pPr>
      <w:rPr>
        <w:rFonts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10" w15:restartNumberingAfterBreak="0">
    <w:nsid w:val="5D9D1A00"/>
    <w:multiLevelType w:val="hybridMultilevel"/>
    <w:tmpl w:val="6400D1C0"/>
    <w:lvl w:ilvl="0" w:tplc="02723E42">
      <w:start w:val="2"/>
      <w:numFmt w:val="decimal"/>
      <w:lvlText w:val="%1."/>
      <w:lvlJc w:val="left"/>
      <w:pPr>
        <w:ind w:left="106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47930C2"/>
    <w:multiLevelType w:val="hybridMultilevel"/>
    <w:tmpl w:val="AD3C5534"/>
    <w:lvl w:ilvl="0" w:tplc="E9786428">
      <w:start w:val="1"/>
      <w:numFmt w:val="decimal"/>
      <w:lvlText w:val="%1."/>
      <w:lvlJc w:val="left"/>
      <w:pPr>
        <w:ind w:left="1068" w:hanging="360"/>
      </w:pPr>
      <w:rPr>
        <w:rFonts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12" w15:restartNumberingAfterBreak="0">
    <w:nsid w:val="706F1555"/>
    <w:multiLevelType w:val="hybridMultilevel"/>
    <w:tmpl w:val="3DFA0B38"/>
    <w:lvl w:ilvl="0" w:tplc="4F980D76">
      <w:start w:val="1"/>
      <w:numFmt w:val="decimal"/>
      <w:lvlText w:val="%1."/>
      <w:lvlJc w:val="left"/>
      <w:pPr>
        <w:ind w:left="106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0"/>
  </w:num>
  <w:num w:numId="3">
    <w:abstractNumId w:val="5"/>
  </w:num>
  <w:num w:numId="4">
    <w:abstractNumId w:val="4"/>
  </w:num>
  <w:num w:numId="5">
    <w:abstractNumId w:val="12"/>
  </w:num>
  <w:num w:numId="6">
    <w:abstractNumId w:val="6"/>
  </w:num>
  <w:num w:numId="7">
    <w:abstractNumId w:val="1"/>
  </w:num>
  <w:num w:numId="8">
    <w:abstractNumId w:val="2"/>
  </w:num>
  <w:num w:numId="9">
    <w:abstractNumId w:val="11"/>
  </w:num>
  <w:num w:numId="10">
    <w:abstractNumId w:val="0"/>
  </w:num>
  <w:num w:numId="11">
    <w:abstractNumId w:val="7"/>
  </w:num>
  <w:num w:numId="12">
    <w:abstractNumId w:val="3"/>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131078" w:nlCheck="1" w:checkStyle="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6D97"/>
    <w:rsid w:val="00010B8F"/>
    <w:rsid w:val="00010CEC"/>
    <w:rsid w:val="00025410"/>
    <w:rsid w:val="00047385"/>
    <w:rsid w:val="00057859"/>
    <w:rsid w:val="00071A9D"/>
    <w:rsid w:val="00092B36"/>
    <w:rsid w:val="0009724E"/>
    <w:rsid w:val="000A4651"/>
    <w:rsid w:val="000D2425"/>
    <w:rsid w:val="000D38CC"/>
    <w:rsid w:val="000D7826"/>
    <w:rsid w:val="000E7D6D"/>
    <w:rsid w:val="00104ABF"/>
    <w:rsid w:val="00113927"/>
    <w:rsid w:val="0014495D"/>
    <w:rsid w:val="001544F5"/>
    <w:rsid w:val="00157436"/>
    <w:rsid w:val="00161B3A"/>
    <w:rsid w:val="00171520"/>
    <w:rsid w:val="00190602"/>
    <w:rsid w:val="001A2870"/>
    <w:rsid w:val="001A69E3"/>
    <w:rsid w:val="001C4C7F"/>
    <w:rsid w:val="001C5145"/>
    <w:rsid w:val="001F54A1"/>
    <w:rsid w:val="00201A62"/>
    <w:rsid w:val="002044AA"/>
    <w:rsid w:val="002244EA"/>
    <w:rsid w:val="00240A32"/>
    <w:rsid w:val="00241F0B"/>
    <w:rsid w:val="00250257"/>
    <w:rsid w:val="00277DE8"/>
    <w:rsid w:val="002E4B65"/>
    <w:rsid w:val="003133BB"/>
    <w:rsid w:val="003332D0"/>
    <w:rsid w:val="00353ABD"/>
    <w:rsid w:val="00354552"/>
    <w:rsid w:val="00366745"/>
    <w:rsid w:val="003E3477"/>
    <w:rsid w:val="003E5C90"/>
    <w:rsid w:val="00424899"/>
    <w:rsid w:val="004501C3"/>
    <w:rsid w:val="00477747"/>
    <w:rsid w:val="00486BEC"/>
    <w:rsid w:val="00486D64"/>
    <w:rsid w:val="004B21D4"/>
    <w:rsid w:val="004F1820"/>
    <w:rsid w:val="004F45A7"/>
    <w:rsid w:val="005107A3"/>
    <w:rsid w:val="00537763"/>
    <w:rsid w:val="005418A0"/>
    <w:rsid w:val="00542D1E"/>
    <w:rsid w:val="0054585C"/>
    <w:rsid w:val="005829EC"/>
    <w:rsid w:val="005933EC"/>
    <w:rsid w:val="0059575F"/>
    <w:rsid w:val="005A4AAB"/>
    <w:rsid w:val="005A6E58"/>
    <w:rsid w:val="005B0EFE"/>
    <w:rsid w:val="005D2371"/>
    <w:rsid w:val="005E3C45"/>
    <w:rsid w:val="005E3F53"/>
    <w:rsid w:val="005F3FDF"/>
    <w:rsid w:val="006006C4"/>
    <w:rsid w:val="0061197E"/>
    <w:rsid w:val="00622D44"/>
    <w:rsid w:val="006258A9"/>
    <w:rsid w:val="00660C89"/>
    <w:rsid w:val="006C1904"/>
    <w:rsid w:val="006C2FAD"/>
    <w:rsid w:val="006C74E9"/>
    <w:rsid w:val="006F04DF"/>
    <w:rsid w:val="006F485E"/>
    <w:rsid w:val="006F6A2F"/>
    <w:rsid w:val="00716B1D"/>
    <w:rsid w:val="0072707D"/>
    <w:rsid w:val="00735D2B"/>
    <w:rsid w:val="00741A72"/>
    <w:rsid w:val="00776E64"/>
    <w:rsid w:val="00783DA6"/>
    <w:rsid w:val="00797260"/>
    <w:rsid w:val="007A3A23"/>
    <w:rsid w:val="007A3B45"/>
    <w:rsid w:val="007B6A23"/>
    <w:rsid w:val="007C43CC"/>
    <w:rsid w:val="007D03DD"/>
    <w:rsid w:val="007E5464"/>
    <w:rsid w:val="007E7F6A"/>
    <w:rsid w:val="007F7A21"/>
    <w:rsid w:val="008004C0"/>
    <w:rsid w:val="00811B47"/>
    <w:rsid w:val="00820EF7"/>
    <w:rsid w:val="00845D81"/>
    <w:rsid w:val="00852B77"/>
    <w:rsid w:val="00854175"/>
    <w:rsid w:val="00876F5F"/>
    <w:rsid w:val="0088045E"/>
    <w:rsid w:val="008B6D97"/>
    <w:rsid w:val="008F4014"/>
    <w:rsid w:val="00950AF0"/>
    <w:rsid w:val="00950D76"/>
    <w:rsid w:val="0095294E"/>
    <w:rsid w:val="00972E60"/>
    <w:rsid w:val="00992822"/>
    <w:rsid w:val="009B0756"/>
    <w:rsid w:val="009C2637"/>
    <w:rsid w:val="009C3A3C"/>
    <w:rsid w:val="009C70E8"/>
    <w:rsid w:val="009D4E1B"/>
    <w:rsid w:val="009D619B"/>
    <w:rsid w:val="009E66CF"/>
    <w:rsid w:val="009E7ADD"/>
    <w:rsid w:val="00A02924"/>
    <w:rsid w:val="00A17573"/>
    <w:rsid w:val="00A234E4"/>
    <w:rsid w:val="00A3124E"/>
    <w:rsid w:val="00A479BD"/>
    <w:rsid w:val="00A7069D"/>
    <w:rsid w:val="00A837AF"/>
    <w:rsid w:val="00A95AB3"/>
    <w:rsid w:val="00AA6678"/>
    <w:rsid w:val="00AB42A9"/>
    <w:rsid w:val="00AB556F"/>
    <w:rsid w:val="00AD1F80"/>
    <w:rsid w:val="00AE5992"/>
    <w:rsid w:val="00B13397"/>
    <w:rsid w:val="00B2347B"/>
    <w:rsid w:val="00B24AC5"/>
    <w:rsid w:val="00B407ED"/>
    <w:rsid w:val="00B46F28"/>
    <w:rsid w:val="00B5585C"/>
    <w:rsid w:val="00B6220E"/>
    <w:rsid w:val="00B65FA9"/>
    <w:rsid w:val="00B67B54"/>
    <w:rsid w:val="00B70812"/>
    <w:rsid w:val="00B95907"/>
    <w:rsid w:val="00B97B6F"/>
    <w:rsid w:val="00BA03C5"/>
    <w:rsid w:val="00BB6377"/>
    <w:rsid w:val="00BC31E3"/>
    <w:rsid w:val="00BC4FB8"/>
    <w:rsid w:val="00BD71CC"/>
    <w:rsid w:val="00BE6D5E"/>
    <w:rsid w:val="00BE7B0D"/>
    <w:rsid w:val="00C17C16"/>
    <w:rsid w:val="00C309CE"/>
    <w:rsid w:val="00C3277C"/>
    <w:rsid w:val="00C361B9"/>
    <w:rsid w:val="00C41890"/>
    <w:rsid w:val="00C43D17"/>
    <w:rsid w:val="00C548FA"/>
    <w:rsid w:val="00C614F5"/>
    <w:rsid w:val="00C62FB4"/>
    <w:rsid w:val="00C76087"/>
    <w:rsid w:val="00C8357C"/>
    <w:rsid w:val="00CB14D7"/>
    <w:rsid w:val="00CD2D61"/>
    <w:rsid w:val="00CF3F88"/>
    <w:rsid w:val="00D74BDD"/>
    <w:rsid w:val="00D951BE"/>
    <w:rsid w:val="00DA7788"/>
    <w:rsid w:val="00DC0442"/>
    <w:rsid w:val="00DF41CB"/>
    <w:rsid w:val="00E005B6"/>
    <w:rsid w:val="00E37F68"/>
    <w:rsid w:val="00E66F1C"/>
    <w:rsid w:val="00E8006D"/>
    <w:rsid w:val="00EC2C94"/>
    <w:rsid w:val="00EF2FF3"/>
    <w:rsid w:val="00F2737F"/>
    <w:rsid w:val="00F30BEF"/>
    <w:rsid w:val="00F33FF3"/>
    <w:rsid w:val="00F50958"/>
    <w:rsid w:val="00F50CE3"/>
    <w:rsid w:val="00F50F6F"/>
    <w:rsid w:val="00F62B65"/>
    <w:rsid w:val="00F83FD1"/>
    <w:rsid w:val="00FE2F2F"/>
    <w:rsid w:val="00FF0385"/>
    <w:rsid w:val="00FF248A"/>
    <w:rsid w:val="00FF4A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BDCC76"/>
  <w15:docId w15:val="{57E69FA2-BD09-42A5-B613-BB6FFCE9B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6D97"/>
    <w:pPr>
      <w:spacing w:after="200" w:line="276" w:lineRule="auto"/>
    </w:pPr>
    <w:rPr>
      <w:rFonts w:ascii="Calibri" w:eastAsia="Calibri" w:hAnsi="Calibri" w:cs="Times New Roman"/>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B6D9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6D97"/>
    <w:rPr>
      <w:rFonts w:ascii="Segoe UI" w:eastAsia="Calibri" w:hAnsi="Segoe UI" w:cs="Segoe UI"/>
      <w:sz w:val="18"/>
      <w:szCs w:val="18"/>
      <w:lang w:val="bg-BG"/>
    </w:rPr>
  </w:style>
  <w:style w:type="paragraph" w:customStyle="1" w:styleId="Body">
    <w:name w:val="Body"/>
    <w:basedOn w:val="Normal"/>
    <w:rsid w:val="00852B77"/>
    <w:pPr>
      <w:widowControl w:val="0"/>
      <w:autoSpaceDE w:val="0"/>
      <w:autoSpaceDN w:val="0"/>
      <w:adjustRightInd w:val="0"/>
      <w:spacing w:after="0" w:line="240" w:lineRule="auto"/>
    </w:pPr>
    <w:rPr>
      <w:rFonts w:ascii="Times" w:eastAsia="Times New Roman" w:hAnsi="Times"/>
      <w:sz w:val="24"/>
      <w:szCs w:val="24"/>
      <w:lang w:eastAsia="bg-BG"/>
    </w:rPr>
  </w:style>
  <w:style w:type="paragraph" w:styleId="ListParagraph">
    <w:name w:val="List Paragraph"/>
    <w:basedOn w:val="Normal"/>
    <w:uiPriority w:val="34"/>
    <w:qFormat/>
    <w:rsid w:val="005E3F53"/>
    <w:pPr>
      <w:spacing w:after="160" w:line="259" w:lineRule="auto"/>
      <w:ind w:left="720"/>
      <w:contextualSpacing/>
    </w:pPr>
  </w:style>
  <w:style w:type="paragraph" w:customStyle="1" w:styleId="Normal1">
    <w:name w:val="Normal1"/>
    <w:basedOn w:val="Normal"/>
    <w:rsid w:val="00622D44"/>
    <w:pPr>
      <w:spacing w:before="100" w:beforeAutospacing="1" w:after="100" w:afterAutospacing="1" w:line="240" w:lineRule="auto"/>
    </w:pPr>
    <w:rPr>
      <w:rFonts w:ascii="Times New Roman" w:eastAsia="Times New Roman" w:hAnsi="Times New Roman"/>
      <w:sz w:val="24"/>
      <w:szCs w:val="24"/>
      <w:lang w:val="en-US"/>
    </w:rPr>
  </w:style>
  <w:style w:type="character" w:customStyle="1" w:styleId="bold">
    <w:name w:val="bold"/>
    <w:basedOn w:val="DefaultParagraphFont"/>
    <w:rsid w:val="00622D44"/>
  </w:style>
  <w:style w:type="paragraph" w:customStyle="1" w:styleId="Default">
    <w:name w:val="Default"/>
    <w:rsid w:val="00092B36"/>
    <w:pPr>
      <w:autoSpaceDE w:val="0"/>
      <w:autoSpaceDN w:val="0"/>
      <w:adjustRightInd w:val="0"/>
      <w:spacing w:after="0" w:line="240" w:lineRule="auto"/>
    </w:pPr>
    <w:rPr>
      <w:rFonts w:ascii="Times New Roman" w:eastAsia="Calibri" w:hAnsi="Times New Roman" w:cs="Times New Roman"/>
      <w:color w:val="000000"/>
      <w:sz w:val="24"/>
      <w:szCs w:val="24"/>
      <w:lang w:val="en-GB"/>
    </w:rPr>
  </w:style>
  <w:style w:type="paragraph" w:styleId="Header">
    <w:name w:val="header"/>
    <w:basedOn w:val="Normal"/>
    <w:link w:val="HeaderChar"/>
    <w:uiPriority w:val="99"/>
    <w:unhideWhenUsed/>
    <w:rsid w:val="007E5464"/>
    <w:pPr>
      <w:tabs>
        <w:tab w:val="center" w:pos="4536"/>
        <w:tab w:val="right" w:pos="9072"/>
      </w:tabs>
      <w:spacing w:after="0" w:line="240" w:lineRule="auto"/>
    </w:pPr>
  </w:style>
  <w:style w:type="character" w:customStyle="1" w:styleId="HeaderChar">
    <w:name w:val="Header Char"/>
    <w:basedOn w:val="DefaultParagraphFont"/>
    <w:link w:val="Header"/>
    <w:uiPriority w:val="99"/>
    <w:rsid w:val="007E5464"/>
    <w:rPr>
      <w:rFonts w:ascii="Calibri" w:eastAsia="Calibri" w:hAnsi="Calibri" w:cs="Times New Roman"/>
      <w:lang w:val="bg-BG"/>
    </w:rPr>
  </w:style>
  <w:style w:type="paragraph" w:styleId="Footer">
    <w:name w:val="footer"/>
    <w:basedOn w:val="Normal"/>
    <w:link w:val="FooterChar"/>
    <w:uiPriority w:val="99"/>
    <w:unhideWhenUsed/>
    <w:rsid w:val="007E5464"/>
    <w:pPr>
      <w:tabs>
        <w:tab w:val="center" w:pos="4536"/>
        <w:tab w:val="right" w:pos="9072"/>
      </w:tabs>
      <w:spacing w:after="0" w:line="240" w:lineRule="auto"/>
    </w:pPr>
  </w:style>
  <w:style w:type="character" w:customStyle="1" w:styleId="FooterChar">
    <w:name w:val="Footer Char"/>
    <w:basedOn w:val="DefaultParagraphFont"/>
    <w:link w:val="Footer"/>
    <w:uiPriority w:val="99"/>
    <w:rsid w:val="007E5464"/>
    <w:rPr>
      <w:rFonts w:ascii="Calibri" w:eastAsia="Calibri" w:hAnsi="Calibri" w:cs="Times New Roman"/>
      <w:lang w:val="bg-BG"/>
    </w:rPr>
  </w:style>
  <w:style w:type="character" w:styleId="CommentReference">
    <w:name w:val="annotation reference"/>
    <w:basedOn w:val="DefaultParagraphFont"/>
    <w:uiPriority w:val="99"/>
    <w:semiHidden/>
    <w:unhideWhenUsed/>
    <w:rsid w:val="00A7069D"/>
    <w:rPr>
      <w:sz w:val="16"/>
      <w:szCs w:val="16"/>
    </w:rPr>
  </w:style>
  <w:style w:type="paragraph" w:styleId="CommentText">
    <w:name w:val="annotation text"/>
    <w:basedOn w:val="Normal"/>
    <w:link w:val="CommentTextChar"/>
    <w:uiPriority w:val="99"/>
    <w:semiHidden/>
    <w:unhideWhenUsed/>
    <w:rsid w:val="00A7069D"/>
    <w:pPr>
      <w:spacing w:line="240" w:lineRule="auto"/>
    </w:pPr>
    <w:rPr>
      <w:sz w:val="20"/>
      <w:szCs w:val="20"/>
    </w:rPr>
  </w:style>
  <w:style w:type="character" w:customStyle="1" w:styleId="CommentTextChar">
    <w:name w:val="Comment Text Char"/>
    <w:basedOn w:val="DefaultParagraphFont"/>
    <w:link w:val="CommentText"/>
    <w:uiPriority w:val="99"/>
    <w:semiHidden/>
    <w:rsid w:val="00A7069D"/>
    <w:rPr>
      <w:rFonts w:ascii="Calibri" w:eastAsia="Calibri" w:hAnsi="Calibri" w:cs="Times New Roman"/>
      <w:sz w:val="20"/>
      <w:szCs w:val="20"/>
      <w:lang w:val="bg-BG"/>
    </w:rPr>
  </w:style>
  <w:style w:type="paragraph" w:styleId="CommentSubject">
    <w:name w:val="annotation subject"/>
    <w:basedOn w:val="CommentText"/>
    <w:next w:val="CommentText"/>
    <w:link w:val="CommentSubjectChar"/>
    <w:uiPriority w:val="99"/>
    <w:semiHidden/>
    <w:unhideWhenUsed/>
    <w:rsid w:val="00A7069D"/>
    <w:rPr>
      <w:b/>
      <w:bCs/>
    </w:rPr>
  </w:style>
  <w:style w:type="character" w:customStyle="1" w:styleId="CommentSubjectChar">
    <w:name w:val="Comment Subject Char"/>
    <w:basedOn w:val="CommentTextChar"/>
    <w:link w:val="CommentSubject"/>
    <w:uiPriority w:val="99"/>
    <w:semiHidden/>
    <w:rsid w:val="00A7069D"/>
    <w:rPr>
      <w:rFonts w:ascii="Calibri" w:eastAsia="Calibri" w:hAnsi="Calibri" w:cs="Times New Roman"/>
      <w:b/>
      <w:bCs/>
      <w:sz w:val="20"/>
      <w:szCs w:val="20"/>
      <w:lang w:val="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4135106">
      <w:bodyDiv w:val="1"/>
      <w:marLeft w:val="0"/>
      <w:marRight w:val="0"/>
      <w:marTop w:val="0"/>
      <w:marBottom w:val="0"/>
      <w:divBdr>
        <w:top w:val="none" w:sz="0" w:space="0" w:color="auto"/>
        <w:left w:val="none" w:sz="0" w:space="0" w:color="auto"/>
        <w:bottom w:val="none" w:sz="0" w:space="0" w:color="auto"/>
        <w:right w:val="none" w:sz="0" w:space="0" w:color="auto"/>
      </w:divBdr>
    </w:div>
    <w:div w:id="1930389675">
      <w:bodyDiv w:val="1"/>
      <w:marLeft w:val="0"/>
      <w:marRight w:val="0"/>
      <w:marTop w:val="0"/>
      <w:marBottom w:val="0"/>
      <w:divBdr>
        <w:top w:val="none" w:sz="0" w:space="0" w:color="auto"/>
        <w:left w:val="none" w:sz="0" w:space="0" w:color="auto"/>
        <w:bottom w:val="none" w:sz="0" w:space="0" w:color="auto"/>
        <w:right w:val="none" w:sz="0" w:space="0" w:color="auto"/>
      </w:divBdr>
    </w:div>
    <w:div w:id="1935937726">
      <w:bodyDiv w:val="1"/>
      <w:marLeft w:val="0"/>
      <w:marRight w:val="0"/>
      <w:marTop w:val="0"/>
      <w:marBottom w:val="0"/>
      <w:divBdr>
        <w:top w:val="none" w:sz="0" w:space="0" w:color="auto"/>
        <w:left w:val="none" w:sz="0" w:space="0" w:color="auto"/>
        <w:bottom w:val="none" w:sz="0" w:space="0" w:color="auto"/>
        <w:right w:val="none" w:sz="0" w:space="0" w:color="auto"/>
      </w:divBdr>
      <w:divsChild>
        <w:div w:id="5822984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1023</Words>
  <Characters>5836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ММаринов</dc:creator>
  <cp:lastModifiedBy>Ilia Jordanov</cp:lastModifiedBy>
  <cp:revision>10</cp:revision>
  <dcterms:created xsi:type="dcterms:W3CDTF">2021-09-08T11:52:00Z</dcterms:created>
  <dcterms:modified xsi:type="dcterms:W3CDTF">2021-09-10T09:13:00Z</dcterms:modified>
</cp:coreProperties>
</file>