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ABCC2" w14:textId="77777777" w:rsidR="00A26190" w:rsidRPr="00996CB9" w:rsidRDefault="00A26190" w:rsidP="007F5FA2">
      <w:pPr>
        <w:spacing w:after="0" w:line="240" w:lineRule="auto"/>
        <w:jc w:val="center"/>
        <w:rPr>
          <w:rFonts w:ascii="Times New Roman" w:hAnsi="Times New Roman"/>
          <w:b/>
        </w:rPr>
      </w:pPr>
      <w:r w:rsidRPr="00996CB9">
        <w:rPr>
          <w:rFonts w:ascii="Times New Roman" w:hAnsi="Times New Roman"/>
          <w:b/>
        </w:rPr>
        <w:t>СПРАВКА</w:t>
      </w:r>
    </w:p>
    <w:p w14:paraId="3857A379" w14:textId="77777777" w:rsidR="007F5FA2" w:rsidRDefault="007F5FA2" w:rsidP="007F5F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Pr="00996CB9">
        <w:rPr>
          <w:rFonts w:ascii="Times New Roman" w:hAnsi="Times New Roman"/>
          <w:b/>
        </w:rPr>
        <w:t>постъпилите становища в срока на общественото обсъждане на проекта на</w:t>
      </w:r>
      <w:r w:rsidR="00A26190" w:rsidRPr="00996CB9">
        <w:rPr>
          <w:rFonts w:ascii="Times New Roman" w:hAnsi="Times New Roman"/>
          <w:b/>
        </w:rPr>
        <w:t xml:space="preserve"> </w:t>
      </w:r>
      <w:r w:rsidR="00B87DBE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аредба за изменение и допълнение на </w:t>
      </w:r>
    </w:p>
    <w:p w14:paraId="0AD86AA3" w14:textId="7E9797B8" w:rsidR="00B87DBE" w:rsidRPr="007762C5" w:rsidRDefault="00B87DBE" w:rsidP="007F5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</w:rPr>
        <w:t>Н</w:t>
      </w:r>
      <w:r w:rsidR="007F5FA2">
        <w:rPr>
          <w:rFonts w:ascii="Times New Roman" w:hAnsi="Times New Roman"/>
          <w:b/>
        </w:rPr>
        <w:t>аредба</w:t>
      </w:r>
      <w:r>
        <w:rPr>
          <w:rFonts w:ascii="Times New Roman" w:hAnsi="Times New Roman"/>
          <w:b/>
        </w:rPr>
        <w:t xml:space="preserve"> № 37 </w:t>
      </w:r>
      <w:r w:rsidR="007F5FA2">
        <w:rPr>
          <w:rFonts w:ascii="Times New Roman" w:hAnsi="Times New Roman"/>
          <w:b/>
        </w:rPr>
        <w:t>от</w:t>
      </w:r>
      <w:r w:rsidR="007F5FA2" w:rsidRPr="007762C5">
        <w:rPr>
          <w:rFonts w:ascii="Times New Roman" w:eastAsia="Times New Roman" w:hAnsi="Times New Roman"/>
          <w:b/>
          <w:sz w:val="24"/>
        </w:rPr>
        <w:t xml:space="preserve"> 19.10.2016 </w:t>
      </w:r>
      <w:r w:rsidR="007F5FA2">
        <w:rPr>
          <w:rFonts w:ascii="Times New Roman" w:eastAsia="Times New Roman" w:hAnsi="Times New Roman"/>
          <w:b/>
          <w:sz w:val="24"/>
        </w:rPr>
        <w:t>г. за авиационните оператори</w:t>
      </w:r>
    </w:p>
    <w:p w14:paraId="0DB1E8A2" w14:textId="77777777" w:rsidR="00A26190" w:rsidRPr="00996CB9" w:rsidRDefault="00A26190" w:rsidP="007F5FA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5249"/>
        <w:gridCol w:w="1535"/>
        <w:gridCol w:w="6995"/>
      </w:tblGrid>
      <w:tr w:rsidR="0072193D" w:rsidRPr="00996CB9" w14:paraId="6046C020" w14:textId="77777777" w:rsidTr="00614B04">
        <w:trPr>
          <w:jc w:val="center"/>
        </w:trPr>
        <w:tc>
          <w:tcPr>
            <w:tcW w:w="6406" w:type="dxa"/>
            <w:gridSpan w:val="2"/>
            <w:shd w:val="clear" w:color="auto" w:fill="EDEDED"/>
          </w:tcPr>
          <w:p w14:paraId="7D364B9D" w14:textId="77777777" w:rsidR="00A26190" w:rsidRPr="00996CB9" w:rsidRDefault="00A26190" w:rsidP="0072193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996CB9">
              <w:rPr>
                <w:rFonts w:ascii="Times New Roman" w:hAnsi="Times New Roman"/>
                <w:b/>
                <w:bCs/>
              </w:rPr>
              <w:t>Предложение</w:t>
            </w:r>
          </w:p>
        </w:tc>
        <w:tc>
          <w:tcPr>
            <w:tcW w:w="1535" w:type="dxa"/>
            <w:shd w:val="clear" w:color="auto" w:fill="EDEDED"/>
          </w:tcPr>
          <w:p w14:paraId="26FFD227" w14:textId="77777777" w:rsidR="00A26190" w:rsidRPr="00996CB9" w:rsidRDefault="00A26190" w:rsidP="0072193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996CB9">
              <w:rPr>
                <w:rFonts w:ascii="Times New Roman" w:hAnsi="Times New Roman"/>
                <w:b/>
                <w:bCs/>
              </w:rPr>
              <w:t xml:space="preserve">Приема се/ не се приема </w:t>
            </w:r>
          </w:p>
        </w:tc>
        <w:tc>
          <w:tcPr>
            <w:tcW w:w="6995" w:type="dxa"/>
            <w:shd w:val="clear" w:color="auto" w:fill="EDEDED"/>
          </w:tcPr>
          <w:p w14:paraId="3F2DEF6B" w14:textId="77777777" w:rsidR="00A26190" w:rsidRPr="00996CB9" w:rsidRDefault="00A26190" w:rsidP="0072193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996CB9">
              <w:rPr>
                <w:rFonts w:ascii="Times New Roman" w:hAnsi="Times New Roman"/>
                <w:b/>
                <w:bCs/>
              </w:rPr>
              <w:t>Мотиви за не/ приемане на предложението</w:t>
            </w:r>
          </w:p>
        </w:tc>
      </w:tr>
      <w:tr w:rsidR="00A26190" w:rsidRPr="00996CB9" w14:paraId="086A1C56" w14:textId="77777777" w:rsidTr="0032667E">
        <w:trPr>
          <w:jc w:val="center"/>
        </w:trPr>
        <w:tc>
          <w:tcPr>
            <w:tcW w:w="1157" w:type="dxa"/>
            <w:shd w:val="clear" w:color="auto" w:fill="B4C6E7"/>
          </w:tcPr>
          <w:p w14:paraId="10EF15FF" w14:textId="1C4B601B" w:rsidR="00A26190" w:rsidRPr="0000508D" w:rsidRDefault="00B87DBE" w:rsidP="0072193D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190" w:rsidRPr="000050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79" w:type="dxa"/>
            <w:gridSpan w:val="3"/>
            <w:shd w:val="clear" w:color="auto" w:fill="B4C6E7"/>
          </w:tcPr>
          <w:p w14:paraId="3F2BA51D" w14:textId="00A663DE" w:rsidR="00A26190" w:rsidRPr="0000508D" w:rsidRDefault="00792BA8" w:rsidP="00792BA8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Предложения, постъпили от </w:t>
            </w:r>
            <w:r w:rsidR="00B87DBE">
              <w:rPr>
                <w:rFonts w:ascii="Times New Roman" w:hAnsi="Times New Roman"/>
                <w:b/>
                <w:sz w:val="28"/>
                <w:szCs w:val="28"/>
              </w:rPr>
              <w:t>Асоциацията на българските авиокомпании</w:t>
            </w:r>
          </w:p>
        </w:tc>
      </w:tr>
      <w:tr w:rsidR="0072193D" w:rsidRPr="00996CB9" w14:paraId="2A8AF059" w14:textId="77777777" w:rsidTr="00614B04">
        <w:trPr>
          <w:jc w:val="center"/>
        </w:trPr>
        <w:tc>
          <w:tcPr>
            <w:tcW w:w="1157" w:type="dxa"/>
          </w:tcPr>
          <w:p w14:paraId="69CDB7B4" w14:textId="23D53CC2" w:rsidR="00A26190" w:rsidRPr="00996CB9" w:rsidRDefault="002437CA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1 . </w:t>
            </w:r>
            <w:r w:rsidR="00F00176">
              <w:rPr>
                <w:rFonts w:ascii="Times New Roman" w:hAnsi="Times New Roman"/>
              </w:rPr>
              <w:t>Коментари по мотивите от доклада: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9" w:type="dxa"/>
          </w:tcPr>
          <w:p w14:paraId="50A937C5" w14:textId="77777777" w:rsidR="00A26190" w:rsidRDefault="002437CA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чл.10, ал.1, т.8а:</w:t>
            </w:r>
          </w:p>
          <w:p w14:paraId="1FEFA1D4" w14:textId="77777777" w:rsidR="002437CA" w:rsidRDefault="002437CA" w:rsidP="00A8595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  <w:r w:rsidRPr="001A2FAA">
              <w:rPr>
                <w:rFonts w:ascii="Times New Roman" w:hAnsi="Times New Roman"/>
              </w:rPr>
              <w:t xml:space="preserve">Изискването е необосновано и не се третира по никакъв начин в </w:t>
            </w:r>
            <w:r w:rsidR="0058565C" w:rsidRPr="001A2FAA">
              <w:rPr>
                <w:rFonts w:ascii="Times New Roman" w:hAnsi="Times New Roman"/>
              </w:rPr>
              <w:t>Регламент (ЕС) № 965/2012</w:t>
            </w:r>
            <w:r w:rsidRPr="001A2FAA">
              <w:rPr>
                <w:rFonts w:ascii="Times New Roman" w:hAnsi="Times New Roman"/>
              </w:rPr>
              <w:t xml:space="preserve">. Освен това, има редица хипотези, при които наличието на самолет в оператора не изисква екипаж, напр. самолетът е със сезонна употреба -2 месеца в годината; самолетът е закупен със спекулативна цел – времеви арбитраж – с цел препродаване на по-висока цена в бъдеще; самолетът е придобит с цел </w:t>
            </w:r>
            <w:r w:rsidRPr="001A2FAA">
              <w:rPr>
                <w:rFonts w:ascii="Times New Roman" w:hAnsi="Times New Roman"/>
                <w:lang w:val="en-US"/>
              </w:rPr>
              <w:t>upgrade</w:t>
            </w:r>
            <w:r w:rsidRPr="001A2FAA">
              <w:rPr>
                <w:rFonts w:ascii="Times New Roman" w:hAnsi="Times New Roman"/>
              </w:rPr>
              <w:t xml:space="preserve">  </w:t>
            </w:r>
            <w:r w:rsidR="0011361B" w:rsidRPr="001A2FAA">
              <w:rPr>
                <w:rFonts w:ascii="Times New Roman" w:hAnsi="Times New Roman"/>
              </w:rPr>
              <w:t xml:space="preserve">при промяна на предназначението - </w:t>
            </w:r>
            <w:r w:rsidRPr="001A2FAA">
              <w:rPr>
                <w:rFonts w:ascii="Times New Roman" w:hAnsi="Times New Roman"/>
                <w:lang w:val="en-US"/>
              </w:rPr>
              <w:t>P</w:t>
            </w:r>
            <w:r w:rsidRPr="001A2FAA">
              <w:rPr>
                <w:rFonts w:ascii="Times New Roman" w:hAnsi="Times New Roman"/>
              </w:rPr>
              <w:t>2</w:t>
            </w:r>
            <w:r w:rsidRPr="001A2FAA">
              <w:rPr>
                <w:rFonts w:ascii="Times New Roman" w:hAnsi="Times New Roman"/>
                <w:lang w:val="en-US"/>
              </w:rPr>
              <w:t>C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="0011361B" w:rsidRPr="001A2FAA">
              <w:rPr>
                <w:rFonts w:ascii="Times New Roman" w:hAnsi="Times New Roman"/>
              </w:rPr>
              <w:t>(</w:t>
            </w:r>
            <w:r w:rsidRPr="001A2FAA">
              <w:rPr>
                <w:rFonts w:ascii="Times New Roman" w:hAnsi="Times New Roman"/>
                <w:lang w:val="en-US"/>
              </w:rPr>
              <w:t>PAX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="0011361B" w:rsidRPr="001A2FAA">
              <w:rPr>
                <w:rFonts w:ascii="Times New Roman" w:hAnsi="Times New Roman"/>
                <w:lang w:val="en-US"/>
              </w:rPr>
              <w:t>to</w:t>
            </w:r>
            <w:r w:rsidR="0011361B"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CGO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conversion</w:t>
            </w:r>
            <w:r w:rsidR="0011361B" w:rsidRPr="001A2FAA">
              <w:rPr>
                <w:rFonts w:ascii="Times New Roman" w:hAnsi="Times New Roman"/>
              </w:rPr>
              <w:t>),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Cabin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reconfiguration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for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business</w:t>
            </w:r>
            <w:r w:rsidRPr="001A2FAA">
              <w:rPr>
                <w:rFonts w:ascii="Times New Roman" w:hAnsi="Times New Roman"/>
              </w:rPr>
              <w:t xml:space="preserve"> </w:t>
            </w:r>
            <w:r w:rsidRPr="001A2FAA">
              <w:rPr>
                <w:rFonts w:ascii="Times New Roman" w:hAnsi="Times New Roman"/>
                <w:lang w:val="en-US"/>
              </w:rPr>
              <w:t>etc</w:t>
            </w:r>
            <w:r w:rsidRPr="001A2FAA">
              <w:rPr>
                <w:rFonts w:ascii="Times New Roman" w:hAnsi="Times New Roman"/>
              </w:rPr>
              <w:t xml:space="preserve">.  </w:t>
            </w:r>
          </w:p>
          <w:p w14:paraId="5CFED725" w14:textId="77777777" w:rsidR="001A2FAA" w:rsidRPr="001A2FAA" w:rsidRDefault="001A2FAA" w:rsidP="00A8595C">
            <w:p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</w:p>
          <w:p w14:paraId="4E913874" w14:textId="77777777" w:rsidR="001A2FAA" w:rsidRPr="001A2FAA" w:rsidRDefault="001A2FAA" w:rsidP="00A8595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  <w:r w:rsidRPr="001A2FAA">
              <w:rPr>
                <w:rFonts w:ascii="Times New Roman" w:hAnsi="Times New Roman"/>
              </w:rPr>
              <w:t>По коментара „С предложението се цели гарантиране на необходимото ниво на безопасност, тъй като на практика само наетите на трудов договор екипажи преминават курс по запознаване с процедурите на авиационния оператор…“</w:t>
            </w:r>
          </w:p>
          <w:p w14:paraId="342F95EE" w14:textId="77777777" w:rsidR="001A2FAA" w:rsidRDefault="001A2FAA" w:rsidP="00A8595C">
            <w:pPr>
              <w:pStyle w:val="ListParagraph"/>
              <w:spacing w:after="0" w:line="240" w:lineRule="auto"/>
              <w:ind w:left="458" w:right="125"/>
              <w:jc w:val="both"/>
              <w:rPr>
                <w:rFonts w:ascii="Times New Roman" w:hAnsi="Times New Roman"/>
              </w:rPr>
            </w:pPr>
            <w:r w:rsidRPr="001A2FAA">
              <w:rPr>
                <w:rFonts w:ascii="Times New Roman" w:hAnsi="Times New Roman"/>
              </w:rPr>
              <w:t xml:space="preserve">Твърденията не отговарят на фактическите правила и на изискванията на Регламент (ЕС) № 965/2012. Операторът има задължение да предостави Conversion Training на всеки член на летателния и кабинния екипаж, независимо дали го наема на постоянен договор, за месец или за един полет. Това изискване има императивен характер, и не може да бъде заобиколено. ORO FC.220 (Flight Crew Conversion Training and Checking) както и АМС 1 към ORO FC 220, подробно определят задължителните елементи на </w:t>
            </w:r>
            <w:r w:rsidRPr="001A2FAA">
              <w:rPr>
                <w:rFonts w:ascii="Times New Roman" w:hAnsi="Times New Roman"/>
              </w:rPr>
              <w:lastRenderedPageBreak/>
              <w:t xml:space="preserve">това обучение (теоретично и практическо), както и задължителните проверки на компетентността. Ако оператори си позволяват да допускат до летателна дейност екипажи с непроведен  Conversion Training, то това е проблем на контрола, а не на законодателството. И е недопустимо този проблем на администрацията да бъде прехвърлян като необосновани изисквания към изправните оператори. </w:t>
            </w:r>
          </w:p>
          <w:p w14:paraId="4EFA91FE" w14:textId="77777777" w:rsidR="001A2FAA" w:rsidRDefault="001A2FAA" w:rsidP="001A2FAA">
            <w:pPr>
              <w:pStyle w:val="ListParagraph"/>
              <w:spacing w:after="0" w:line="240" w:lineRule="auto"/>
              <w:ind w:left="458" w:right="125"/>
              <w:rPr>
                <w:rFonts w:ascii="Times New Roman" w:hAnsi="Times New Roman"/>
              </w:rPr>
            </w:pPr>
          </w:p>
          <w:p w14:paraId="7DBF8ABF" w14:textId="77777777" w:rsidR="001A2FAA" w:rsidRPr="001A2FAA" w:rsidRDefault="001A2FAA" w:rsidP="001A2FAA">
            <w:pPr>
              <w:pStyle w:val="ListParagraph"/>
              <w:spacing w:after="0" w:line="240" w:lineRule="auto"/>
              <w:ind w:left="458" w:right="125"/>
              <w:rPr>
                <w:rFonts w:ascii="Times New Roman" w:hAnsi="Times New Roman"/>
              </w:rPr>
            </w:pPr>
          </w:p>
          <w:p w14:paraId="6A2FEE19" w14:textId="2097927F" w:rsidR="001A2FAA" w:rsidRPr="001A2FAA" w:rsidRDefault="001A2FAA" w:rsidP="00A8595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  <w:r w:rsidRPr="001A2FAA">
              <w:rPr>
                <w:rFonts w:ascii="Times New Roman" w:hAnsi="Times New Roman"/>
              </w:rPr>
              <w:t xml:space="preserve"> Твърдението категорично не е вярно. ORO. GEN.210 на Регламент (ЕС) № 965/2012 касае изискването за назначаване на Accountable Manager, отговорен за финансирането на всички дейности, свързани с безопасността, както и достатъчен брой квалифициран персонал за изпълнение на планираните задачи. Няма изискване за екипажи на постоянни договори. Ако операторът е със сезонен бизнес и няма планирани задачи извън сезона, в регламента не съществува изискване за поддържане на екипажи за всеки самолет. Нещо повече, обвързването на екипажите с постоянен договор ги лишава от възможността да работят при друг оператор в моменти на престой и нисък сезон, което води до прекъсвания в летателната дейност и влошаване на безопасността.   </w:t>
            </w:r>
          </w:p>
        </w:tc>
        <w:tc>
          <w:tcPr>
            <w:tcW w:w="1535" w:type="dxa"/>
          </w:tcPr>
          <w:p w14:paraId="71DBCD1A" w14:textId="77777777" w:rsidR="00A26190" w:rsidRDefault="000A3554" w:rsidP="001A2FAA">
            <w:pPr>
              <w:pStyle w:val="ListParagraph"/>
              <w:numPr>
                <w:ilvl w:val="0"/>
                <w:numId w:val="29"/>
              </w:num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 w:rsidRPr="001A2FAA"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  <w:p w14:paraId="42C6A2C3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595EE868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906C842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43D43BA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3D5BEF71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AFD96B9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4F72FBE" w14:textId="77777777" w:rsidR="001A2FAA" w:rsidRDefault="001A2FAA" w:rsidP="001A2FAA">
            <w:pPr>
              <w:pStyle w:val="ListParagraph"/>
              <w:numPr>
                <w:ilvl w:val="0"/>
                <w:numId w:val="29"/>
              </w:num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Приема се</w:t>
            </w:r>
          </w:p>
          <w:p w14:paraId="36E4F7FC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90A52EB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6C1BC913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0FDD797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5446EBC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4D58E296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65F973FC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DE38AD3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D51994C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0E72A785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5F91418D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628CACD1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49CEABA9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189C5527" w14:textId="77777777" w:rsidR="001A2FAA" w:rsidRDefault="001A2FAA" w:rsidP="001A2FAA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383ABA8C" w14:textId="77777777" w:rsidR="001A2FAA" w:rsidRDefault="001A2FAA" w:rsidP="001A2FAA">
            <w:pPr>
              <w:pStyle w:val="ListParagraph"/>
              <w:spacing w:line="240" w:lineRule="auto"/>
              <w:ind w:left="525" w:right="57"/>
              <w:rPr>
                <w:rFonts w:ascii="Times New Roman" w:hAnsi="Times New Roman"/>
                <w:b/>
                <w:bCs/>
              </w:rPr>
            </w:pPr>
          </w:p>
          <w:p w14:paraId="4BCE3595" w14:textId="0F832F83" w:rsidR="001A2FAA" w:rsidRPr="001A2FAA" w:rsidRDefault="00D25832" w:rsidP="001A2FAA">
            <w:pPr>
              <w:pStyle w:val="ListParagraph"/>
              <w:numPr>
                <w:ilvl w:val="0"/>
                <w:numId w:val="29"/>
              </w:num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Приема се </w:t>
            </w:r>
          </w:p>
        </w:tc>
        <w:tc>
          <w:tcPr>
            <w:tcW w:w="6995" w:type="dxa"/>
          </w:tcPr>
          <w:p w14:paraId="42FF1FCD" w14:textId="77777777" w:rsidR="00792BC1" w:rsidRDefault="00792BC1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5073C307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040DCF4B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0D62B5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534A74B0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A6B5EF9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34276AE6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73CB75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1F538BBC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3246511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064618B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4A2FE326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A2A1680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BAE0358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4DC30E7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4F0E368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F4FCB30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332D5F7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3047435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38F0306F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717EF082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DDD916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820F98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1410D42F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4A8CE6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3B029876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D9FC14E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24C7B065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1BC6CB44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3470A880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0FD043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597003A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CF099E4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54CC47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4D195D19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61156272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0C6E8B81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07EA9069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4CB2B6A1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7F1517F3" w14:textId="77777777" w:rsidR="00D25832" w:rsidRDefault="00D25832" w:rsidP="00E00B0B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  <w:p w14:paraId="0EFA11D6" w14:textId="2221EB0E" w:rsidR="00D25832" w:rsidRPr="008E0BF3" w:rsidRDefault="00D25832" w:rsidP="00623091">
            <w:pPr>
              <w:pStyle w:val="NormalWeb"/>
              <w:shd w:val="clear" w:color="auto" w:fill="FFFFFF"/>
              <w:spacing w:before="0" w:beforeAutospacing="0" w:after="0" w:afterAutospacing="0"/>
              <w:ind w:left="525" w:right="137"/>
              <w:rPr>
                <w:bCs/>
                <w:iCs/>
                <w:lang w:val="ru-RU"/>
              </w:rPr>
            </w:pPr>
          </w:p>
        </w:tc>
      </w:tr>
      <w:tr w:rsidR="00B87DBE" w:rsidRPr="00996CB9" w14:paraId="490B7CE7" w14:textId="77777777" w:rsidTr="00614B04">
        <w:trPr>
          <w:jc w:val="center"/>
        </w:trPr>
        <w:tc>
          <w:tcPr>
            <w:tcW w:w="1157" w:type="dxa"/>
          </w:tcPr>
          <w:p w14:paraId="4B43585A" w14:textId="19977F5C" w:rsidR="00B87DBE" w:rsidRPr="00996CB9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7F24B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19B64622" w14:textId="77777777" w:rsidR="00B87DBE" w:rsidRDefault="007F24BF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чл.12, ал.3:</w:t>
            </w:r>
          </w:p>
          <w:p w14:paraId="4BC85CB0" w14:textId="77777777" w:rsidR="000514F8" w:rsidRDefault="007F24BF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Мотивите на промяната се базират на имплицитното допускане, че операторите от трети страни имат по-ниски авиационни стандарти от ЕС, което създава допълнителни рискове за пътниците.</w:t>
            </w:r>
            <w:r w:rsidR="000514F8">
              <w:rPr>
                <w:rFonts w:ascii="Times New Roman" w:hAnsi="Times New Roman"/>
              </w:rPr>
              <w:t xml:space="preserve"> Това изискване не винаги е в сила-напр. </w:t>
            </w:r>
            <w:r w:rsidR="000514F8">
              <w:rPr>
                <w:rFonts w:ascii="Times New Roman" w:hAnsi="Times New Roman"/>
                <w:lang w:val="en-US"/>
              </w:rPr>
              <w:t>UK</w:t>
            </w:r>
            <w:r w:rsidR="000514F8">
              <w:rPr>
                <w:rFonts w:ascii="Times New Roman" w:hAnsi="Times New Roman"/>
              </w:rPr>
              <w:t>,</w:t>
            </w:r>
            <w:r w:rsidR="000514F8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0514F8">
              <w:rPr>
                <w:rFonts w:ascii="Times New Roman" w:hAnsi="Times New Roman"/>
                <w:lang w:val="en-US"/>
              </w:rPr>
              <w:t>USA</w:t>
            </w:r>
            <w:r w:rsidR="000514F8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0514F8">
              <w:rPr>
                <w:rFonts w:ascii="Times New Roman" w:hAnsi="Times New Roman"/>
              </w:rPr>
              <w:t xml:space="preserve">и </w:t>
            </w:r>
            <w:r w:rsidR="000514F8">
              <w:rPr>
                <w:rFonts w:ascii="Times New Roman" w:hAnsi="Times New Roman"/>
                <w:lang w:val="en-US"/>
              </w:rPr>
              <w:t>Canada</w:t>
            </w:r>
            <w:r w:rsidR="000514F8">
              <w:rPr>
                <w:rFonts w:ascii="Times New Roman" w:hAnsi="Times New Roman"/>
              </w:rPr>
              <w:t xml:space="preserve"> също са трети страни. Операторът е отговорен за стандартите за качество и безопасност на наетите от него подизпълнители, дори когато те имат лицензи за съответната дейност. </w:t>
            </w:r>
            <w:r w:rsidR="000514F8">
              <w:rPr>
                <w:rFonts w:ascii="Times New Roman" w:hAnsi="Times New Roman"/>
                <w:lang w:val="en-US"/>
              </w:rPr>
              <w:t>ORO</w:t>
            </w:r>
            <w:r w:rsidR="000514F8" w:rsidRPr="001A2FAA">
              <w:rPr>
                <w:rFonts w:ascii="Times New Roman" w:hAnsi="Times New Roman"/>
                <w:lang w:val="ru-RU"/>
              </w:rPr>
              <w:t xml:space="preserve">. </w:t>
            </w:r>
            <w:r w:rsidR="000514F8">
              <w:rPr>
                <w:rFonts w:ascii="Times New Roman" w:hAnsi="Times New Roman"/>
                <w:lang w:val="en-US"/>
              </w:rPr>
              <w:t>GEN</w:t>
            </w:r>
            <w:r w:rsidR="000514F8" w:rsidRPr="001A2FAA">
              <w:rPr>
                <w:rFonts w:ascii="Times New Roman" w:hAnsi="Times New Roman"/>
                <w:lang w:val="ru-RU"/>
              </w:rPr>
              <w:t>.</w:t>
            </w:r>
            <w:r w:rsidR="000514F8">
              <w:rPr>
                <w:rFonts w:ascii="Times New Roman" w:hAnsi="Times New Roman"/>
              </w:rPr>
              <w:t xml:space="preserve"> 205, както и </w:t>
            </w:r>
            <w:r w:rsidR="000514F8">
              <w:rPr>
                <w:rFonts w:ascii="Times New Roman" w:hAnsi="Times New Roman"/>
              </w:rPr>
              <w:lastRenderedPageBreak/>
              <w:t xml:space="preserve">свързаните с него АМС и </w:t>
            </w:r>
            <w:r w:rsidR="000514F8">
              <w:rPr>
                <w:rFonts w:ascii="Times New Roman" w:hAnsi="Times New Roman"/>
                <w:lang w:val="en-US"/>
              </w:rPr>
              <w:t>GM</w:t>
            </w:r>
            <w:r w:rsidR="000514F8">
              <w:rPr>
                <w:rFonts w:ascii="Times New Roman" w:hAnsi="Times New Roman"/>
              </w:rPr>
              <w:t>, подробно определят задълженията на оператора за гарантиране на безопасността, напр.:</w:t>
            </w:r>
          </w:p>
          <w:p w14:paraId="7A1A0172" w14:textId="77777777" w:rsid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-изискване за писмен договор;</w:t>
            </w:r>
          </w:p>
          <w:p w14:paraId="6E2A1CBF" w14:textId="77777777" w:rsid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изискване за първоначален и периодични одити на подизпълнителя;</w:t>
            </w:r>
          </w:p>
          <w:p w14:paraId="1DAF5FB5" w14:textId="22F37B9D" w:rsid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на риска;</w:t>
            </w:r>
          </w:p>
          <w:p w14:paraId="72BB9187" w14:textId="77777777" w:rsid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включване на съответния подизпълнител в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системата на оператора и т.н.</w:t>
            </w:r>
          </w:p>
          <w:p w14:paraId="757C290D" w14:textId="77777777" w:rsid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Ако това не се спазва от някой оператор – това е проблем на контрола, а не на законодателството.</w:t>
            </w:r>
          </w:p>
          <w:p w14:paraId="71DA00BC" w14:textId="2DB2D10A" w:rsidR="000514F8" w:rsidRPr="000514F8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Въпросният текст цели единствено въвеждане на бариери </w:t>
            </w:r>
            <w:r w:rsidR="001F747E">
              <w:rPr>
                <w:rFonts w:ascii="Times New Roman" w:hAnsi="Times New Roman"/>
              </w:rPr>
              <w:t>за вход спрямо самолети на трети страни, които неправомерно са маскирани зад мними изисквания за безопасност.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71A154AD" w14:textId="3B8CA554" w:rsidR="007F24BF" w:rsidRPr="00996CB9" w:rsidRDefault="000514F8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35" w:type="dxa"/>
          </w:tcPr>
          <w:p w14:paraId="553A64D6" w14:textId="2AE913CE" w:rsidR="00B87DBE" w:rsidRPr="00996CB9" w:rsidRDefault="000514F8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</w:tc>
        <w:tc>
          <w:tcPr>
            <w:tcW w:w="6995" w:type="dxa"/>
          </w:tcPr>
          <w:p w14:paraId="3C3B467A" w14:textId="442A39AD" w:rsidR="00B87DBE" w:rsidRPr="008E0BF3" w:rsidRDefault="000514F8" w:rsidP="00B87DBE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</w:t>
            </w:r>
            <w:r w:rsidRPr="005E3A79">
              <w:rPr>
                <w:bCs/>
                <w:iCs/>
                <w:lang w:val="bg-BG"/>
              </w:rPr>
              <w:t>Предложената разпоредба</w:t>
            </w:r>
            <w:r>
              <w:rPr>
                <w:bCs/>
                <w:iCs/>
                <w:lang w:val="ru-RU"/>
              </w:rPr>
              <w:t xml:space="preserve"> отпада  </w:t>
            </w:r>
          </w:p>
        </w:tc>
      </w:tr>
      <w:tr w:rsidR="001F747E" w:rsidRPr="00996CB9" w14:paraId="45A5991F" w14:textId="77777777" w:rsidTr="00614B04">
        <w:trPr>
          <w:jc w:val="center"/>
        </w:trPr>
        <w:tc>
          <w:tcPr>
            <w:tcW w:w="1157" w:type="dxa"/>
          </w:tcPr>
          <w:p w14:paraId="0CE5208A" w14:textId="18589946" w:rsidR="001F747E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F747E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7A3EBBC7" w14:textId="77777777" w:rsidR="001F747E" w:rsidRDefault="001F747E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чл.19, ал.4:</w:t>
            </w:r>
          </w:p>
          <w:p w14:paraId="3E7D2A4E" w14:textId="77777777" w:rsidR="001F747E" w:rsidRDefault="001F747E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Отново необосновано изискване. В </w:t>
            </w:r>
            <w:r>
              <w:rPr>
                <w:rFonts w:ascii="Times New Roman" w:hAnsi="Times New Roman"/>
                <w:lang w:val="en-US"/>
              </w:rPr>
              <w:t>ORO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MLR</w:t>
            </w:r>
            <w:r>
              <w:rPr>
                <w:rFonts w:ascii="Times New Roman" w:hAnsi="Times New Roman"/>
              </w:rPr>
              <w:t xml:space="preserve">.100 от Регламент (ЕС) № 965/2012 няма изискване за конкретен език на съответните ръководства, а още по-малко за двуезични версии. Изискването е персоналът на оператора да разбира езика, на който са написани ръководствата. </w:t>
            </w:r>
          </w:p>
          <w:p w14:paraId="1B5267BB" w14:textId="77777777" w:rsidR="00D203A1" w:rsidRDefault="001F747E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Основен </w:t>
            </w:r>
            <w:r w:rsidR="00D203A1">
              <w:rPr>
                <w:rFonts w:ascii="Times New Roman" w:hAnsi="Times New Roman"/>
              </w:rPr>
              <w:t>ползвател на ръководствата са екипажите на ВС. Всички екипажи на българските АО притежават необходимата езикова подготовка по английски език, като при пилотите тя периодично се проверява с външни изпити. Не съществува необходимост от български език. Версията на български език единствено би облагодетелствала администрацията, и то само ако съответния инспектор или служител не ползва английски език, като такъв пропуск в квалификацията на авиационен инспектор би следвало да се приеме като недопустим.</w:t>
            </w:r>
          </w:p>
          <w:p w14:paraId="4D1E03A2" w14:textId="1DBD4FBF" w:rsidR="001F747E" w:rsidRPr="001F747E" w:rsidRDefault="00D203A1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Изискването за превод на </w:t>
            </w:r>
            <w:r w:rsidR="00954F02">
              <w:rPr>
                <w:rFonts w:ascii="Times New Roman" w:hAnsi="Times New Roman"/>
              </w:rPr>
              <w:t xml:space="preserve">ръководствата на български език създава сериозни финансови и организационни проблеми пред операторите. Става дума за превод и поддържане в актуално състояние на </w:t>
            </w:r>
            <w:r w:rsidR="00954F02">
              <w:rPr>
                <w:rFonts w:ascii="Times New Roman" w:hAnsi="Times New Roman"/>
              </w:rPr>
              <w:lastRenderedPageBreak/>
              <w:t>два езика на огромни масиви от информация ( по няколко хиляди страници). Става дума за превод на експлоатационни документи, които са източник на права-т.е. има огромни изисквания към качеството на преводите. Дори да бъдат наети външни преводачи с юридическа квалификация, проблем остава познаването и свободното боравене с авиационна терминология. Операторът няма как да изпълни задължението си да контролира качеството на превода ( освен ако не назначи на постоянен договор 20 специ</w:t>
            </w:r>
            <w:r w:rsidR="00122A6B">
              <w:rPr>
                <w:rFonts w:ascii="Times New Roman" w:hAnsi="Times New Roman"/>
              </w:rPr>
              <w:t>а</w:t>
            </w:r>
            <w:r w:rsidR="00954F02">
              <w:rPr>
                <w:rFonts w:ascii="Times New Roman" w:hAnsi="Times New Roman"/>
              </w:rPr>
              <w:t>лизирани преводачи)</w:t>
            </w:r>
            <w:r w:rsidR="00122A6B">
              <w:rPr>
                <w:rFonts w:ascii="Times New Roman" w:hAnsi="Times New Roman"/>
              </w:rPr>
              <w:t xml:space="preserve">. Направените няколко опита за двуезични ръководства както в България, така и в други страни се оказаха пълен провал. Създаването на двуезични версии поставя въпроса, коя версия е източник на права, при евентуален неточен превод може да бъде подменен смисъла на дадена разпоредба. Английската версия ползва съответните АМС и </w:t>
            </w:r>
            <w:r w:rsidR="00122A6B">
              <w:rPr>
                <w:rFonts w:ascii="Times New Roman" w:hAnsi="Times New Roman"/>
                <w:lang w:val="en-US"/>
              </w:rPr>
              <w:t>GM</w:t>
            </w:r>
            <w:r w:rsidR="00122A6B">
              <w:rPr>
                <w:rFonts w:ascii="Times New Roman" w:hAnsi="Times New Roman"/>
              </w:rPr>
              <w:t xml:space="preserve"> на Регламент (ЕС) № 965/2012, които са направени с цел „вграждане“ в съответните ръководства и по този начин е максимално близка до изискванията на регламента. Евентуален превод би прекъснал тази връзка.    </w:t>
            </w:r>
            <w:r>
              <w:rPr>
                <w:rFonts w:ascii="Times New Roman" w:hAnsi="Times New Roman"/>
              </w:rPr>
              <w:t xml:space="preserve"> </w:t>
            </w:r>
            <w:r w:rsidR="001F74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</w:tcPr>
          <w:p w14:paraId="137E2BDB" w14:textId="36C26BAA" w:rsidR="001F747E" w:rsidRDefault="00122A6B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Приема се </w:t>
            </w:r>
          </w:p>
        </w:tc>
        <w:tc>
          <w:tcPr>
            <w:tcW w:w="6995" w:type="dxa"/>
          </w:tcPr>
          <w:p w14:paraId="6A652767" w14:textId="5BA91FA3" w:rsidR="001F747E" w:rsidRPr="005E3A79" w:rsidRDefault="00122A6B" w:rsidP="00B87DBE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bg-BG"/>
              </w:rPr>
            </w:pPr>
            <w:r>
              <w:rPr>
                <w:bCs/>
                <w:iCs/>
                <w:lang w:val="ru-RU"/>
              </w:rPr>
              <w:t xml:space="preserve"> </w:t>
            </w:r>
          </w:p>
        </w:tc>
      </w:tr>
      <w:tr w:rsidR="001F747E" w:rsidRPr="00996CB9" w14:paraId="34C9E2D5" w14:textId="77777777" w:rsidTr="00614B04">
        <w:trPr>
          <w:jc w:val="center"/>
        </w:trPr>
        <w:tc>
          <w:tcPr>
            <w:tcW w:w="1157" w:type="dxa"/>
          </w:tcPr>
          <w:p w14:paraId="32940DF8" w14:textId="15127AFC" w:rsidR="001F747E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A3C7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40C25932" w14:textId="59510364" w:rsidR="007A3C73" w:rsidRDefault="007A3C73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„В чл.20 срокът за разглеждане на заявление се предлага да тече от датата, на която са представени всички приложения към него.“</w:t>
            </w:r>
          </w:p>
          <w:p w14:paraId="74E89EE2" w14:textId="2AA85DD5" w:rsidR="001F747E" w:rsidRDefault="007A3C73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Срокът за разглеждане и в момента тече при внасяне на заявление с пълния комплект приложения към него. Администрацията би следвало да провери пълнотата и да не допуска внасяне на непълни заявления. Изискването на допълнителни документи и доказателства(които не са част от заявлението и приложенията) не би трябвало и е недопустимо да спира или нулира административните срокове.  </w:t>
            </w:r>
          </w:p>
        </w:tc>
        <w:tc>
          <w:tcPr>
            <w:tcW w:w="1535" w:type="dxa"/>
          </w:tcPr>
          <w:p w14:paraId="1B24425C" w14:textId="04E323FB" w:rsidR="001F747E" w:rsidRDefault="005E3A79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 w:rsidRPr="00DD08CE">
              <w:rPr>
                <w:rFonts w:ascii="Times New Roman" w:hAnsi="Times New Roman"/>
                <w:b/>
                <w:bCs/>
              </w:rPr>
              <w:t>П</w:t>
            </w:r>
            <w:r w:rsidR="007A3C73" w:rsidRPr="00DD08CE">
              <w:rPr>
                <w:rFonts w:ascii="Times New Roman" w:hAnsi="Times New Roman"/>
                <w:b/>
                <w:bCs/>
              </w:rPr>
              <w:t>риема</w:t>
            </w:r>
            <w:r w:rsidRPr="00DD08CE">
              <w:rPr>
                <w:rFonts w:ascii="Times New Roman" w:hAnsi="Times New Roman"/>
                <w:b/>
                <w:bCs/>
              </w:rPr>
              <w:t xml:space="preserve"> се</w:t>
            </w:r>
          </w:p>
        </w:tc>
        <w:tc>
          <w:tcPr>
            <w:tcW w:w="6995" w:type="dxa"/>
          </w:tcPr>
          <w:p w14:paraId="59127972" w14:textId="2753363E" w:rsidR="001F747E" w:rsidRDefault="007A3C73" w:rsidP="00A8595C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В чл</w:t>
            </w:r>
            <w:r w:rsidRPr="0032667E">
              <w:rPr>
                <w:bCs/>
                <w:iCs/>
                <w:lang w:val="ru-RU"/>
              </w:rPr>
              <w:t>.</w:t>
            </w:r>
            <w:r w:rsidR="0032667E" w:rsidRPr="0032667E">
              <w:rPr>
                <w:bCs/>
                <w:iCs/>
                <w:lang w:val="ru-RU"/>
              </w:rPr>
              <w:t xml:space="preserve">16е, ал.1, т.2 </w:t>
            </w:r>
            <w:r w:rsidRPr="0032667E">
              <w:rPr>
                <w:bCs/>
                <w:iCs/>
                <w:lang w:val="ru-RU"/>
              </w:rPr>
              <w:t>от ЗГВ</w:t>
            </w:r>
            <w:r>
              <w:rPr>
                <w:bCs/>
                <w:iCs/>
                <w:lang w:val="ru-RU"/>
              </w:rPr>
              <w:t xml:space="preserve"> е </w:t>
            </w:r>
            <w:r w:rsidRPr="005E3A79">
              <w:rPr>
                <w:bCs/>
                <w:iCs/>
                <w:lang w:val="bg-BG"/>
              </w:rPr>
              <w:t>предвидено, че сроковете спират да текат до предоставянето на всички необходими документи</w:t>
            </w:r>
          </w:p>
        </w:tc>
      </w:tr>
      <w:tr w:rsidR="001F747E" w:rsidRPr="00996CB9" w14:paraId="23743362" w14:textId="77777777" w:rsidTr="00614B04">
        <w:trPr>
          <w:jc w:val="center"/>
        </w:trPr>
        <w:tc>
          <w:tcPr>
            <w:tcW w:w="1157" w:type="dxa"/>
          </w:tcPr>
          <w:p w14:paraId="457B09F5" w14:textId="324CDE13" w:rsidR="001F747E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A3C7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1A28CB06" w14:textId="77777777" w:rsidR="001F747E" w:rsidRDefault="007A3C73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„В чл.23 се предлага да се създаде изискването при вписването на нов тип ВС да се спази процедурата за първоначално издаване на САО… „</w:t>
            </w:r>
          </w:p>
          <w:p w14:paraId="3040A0B2" w14:textId="61E64D8A" w:rsidR="00800D81" w:rsidRDefault="00365851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Намираме това предложение единствено като излишно утежняване на АО и бюрократизиране на </w:t>
            </w:r>
            <w:r>
              <w:rPr>
                <w:rFonts w:ascii="Times New Roman" w:hAnsi="Times New Roman"/>
              </w:rPr>
              <w:lastRenderedPageBreak/>
              <w:t>процедурата по въвеждане на нов тип и подмяната и с процедура по издаване на ново САО, която е много п</w:t>
            </w:r>
            <w:r w:rsidR="00772B0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-тежка и отнема 3 пъти повече време (90 спрямо 30 дни). ВС са изключително скъпи активи, които генерират  приходи, само когато са в експлоатация. Усложняването на процедурата и подмяната й с по-бюрократична такава, ще доведе до сериозно финансово натоварване в тежест на операторите и влошаване на тяхната конкурентноспособност.  </w:t>
            </w:r>
          </w:p>
          <w:p w14:paraId="1C39DFA9" w14:textId="2D134FAF" w:rsidR="007A3C73" w:rsidRDefault="00800D81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 ощетени ще бъдат добрите оператори, които имат квалифициран персонал и адекватно менажират процеса по </w:t>
            </w:r>
            <w:r w:rsidR="00FC58D6">
              <w:rPr>
                <w:rFonts w:ascii="Times New Roman" w:hAnsi="Times New Roman"/>
              </w:rPr>
              <w:t xml:space="preserve">въвеждането на новия тип. На тях изкуствено ще бъда наложена по-тежка и по-дълга процедура на въвеждане в експлоатация, което ще влоши конкурентната им позиция на пазара. Целта на </w:t>
            </w:r>
            <w:r w:rsidR="00772B07">
              <w:rPr>
                <w:rFonts w:ascii="Times New Roman" w:hAnsi="Times New Roman"/>
              </w:rPr>
              <w:t>ГД „</w:t>
            </w:r>
            <w:r w:rsidR="00FC58D6">
              <w:rPr>
                <w:rFonts w:ascii="Times New Roman" w:hAnsi="Times New Roman"/>
              </w:rPr>
              <w:t>ГВА</w:t>
            </w:r>
            <w:r w:rsidR="00772B07">
              <w:rPr>
                <w:rFonts w:ascii="Times New Roman" w:hAnsi="Times New Roman"/>
              </w:rPr>
              <w:t>“</w:t>
            </w:r>
            <w:r w:rsidR="00FC58D6">
              <w:rPr>
                <w:rFonts w:ascii="Times New Roman" w:hAnsi="Times New Roman"/>
              </w:rPr>
              <w:t xml:space="preserve"> следва да бъде развитие на въздушния транспорт и помощ на операторите да достигнат високи нива на безопасност и конкурентноспособност, а не да създава бюрократични спънки и финансови бариери. В</w:t>
            </w:r>
            <w:r>
              <w:rPr>
                <w:rFonts w:ascii="Times New Roman" w:hAnsi="Times New Roman"/>
              </w:rPr>
              <w:t xml:space="preserve"> </w:t>
            </w:r>
            <w:r w:rsidR="00A420CE">
              <w:rPr>
                <w:rFonts w:ascii="Times New Roman" w:hAnsi="Times New Roman"/>
              </w:rPr>
              <w:t xml:space="preserve">Регламент (ЕС) № 965/2012 са заложени съвсем адекватни (дори консервативни) срокове за оценка на съответните промени в САО. Ако администрацията не може да се включи в тези срокове – това е проблем на капацитета на администрацията и не би следвало този проблем да се прехвърля на операторите. </w:t>
            </w:r>
            <w:r w:rsidR="0036585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35" w:type="dxa"/>
          </w:tcPr>
          <w:p w14:paraId="73462032" w14:textId="74708C36" w:rsidR="001F747E" w:rsidRDefault="005E3A79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 w:rsidRPr="00DD08CE">
              <w:rPr>
                <w:rFonts w:ascii="Times New Roman" w:hAnsi="Times New Roman"/>
                <w:b/>
                <w:bCs/>
              </w:rPr>
              <w:lastRenderedPageBreak/>
              <w:t>П</w:t>
            </w:r>
            <w:r w:rsidR="00365851" w:rsidRPr="00DD08CE">
              <w:rPr>
                <w:rFonts w:ascii="Times New Roman" w:hAnsi="Times New Roman"/>
                <w:b/>
                <w:bCs/>
              </w:rPr>
              <w:t>риема</w:t>
            </w:r>
            <w:r w:rsidRPr="00DD08CE">
              <w:rPr>
                <w:rFonts w:ascii="Times New Roman" w:hAnsi="Times New Roman"/>
                <w:b/>
                <w:bCs/>
              </w:rPr>
              <w:t xml:space="preserve"> се</w:t>
            </w:r>
          </w:p>
        </w:tc>
        <w:tc>
          <w:tcPr>
            <w:tcW w:w="6995" w:type="dxa"/>
          </w:tcPr>
          <w:p w14:paraId="644E1B24" w14:textId="12FE390B" w:rsidR="001F747E" w:rsidRPr="005E3A79" w:rsidRDefault="00365851" w:rsidP="00A8595C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  <w:r>
              <w:rPr>
                <w:bCs/>
                <w:iCs/>
                <w:lang w:val="ru-RU"/>
              </w:rPr>
              <w:t xml:space="preserve"> </w:t>
            </w:r>
            <w:r w:rsidRPr="005E3A79">
              <w:rPr>
                <w:bCs/>
                <w:iCs/>
                <w:lang w:val="bg-BG"/>
              </w:rPr>
              <w:t xml:space="preserve">При вписването на нов тип ВС се изисква повече време. Това е </w:t>
            </w:r>
            <w:r w:rsidR="00B61953" w:rsidRPr="005E3A79">
              <w:rPr>
                <w:bCs/>
                <w:iCs/>
                <w:lang w:val="bg-BG"/>
              </w:rPr>
              <w:t>свързано с проучването на значителен обем техническа документация.</w:t>
            </w:r>
            <w:r w:rsidR="00E00B0B" w:rsidRPr="005E3A79">
              <w:rPr>
                <w:bCs/>
                <w:iCs/>
                <w:color w:val="00B0F0"/>
                <w:lang w:val="bg-BG"/>
              </w:rPr>
              <w:t xml:space="preserve"> </w:t>
            </w:r>
            <w:r w:rsidR="00E00B0B" w:rsidRPr="005E3A79">
              <w:rPr>
                <w:bCs/>
                <w:iCs/>
                <w:lang w:val="bg-BG"/>
              </w:rPr>
              <w:t>Касае само онази част от процедурата по смисъла на</w:t>
            </w:r>
            <w:r w:rsidR="006902B0" w:rsidRPr="005E3A79">
              <w:rPr>
                <w:bCs/>
                <w:iCs/>
                <w:lang w:val="bg-BG"/>
              </w:rPr>
              <w:t xml:space="preserve"> AMC1 ARO.GEN.330 към </w:t>
            </w:r>
            <w:r w:rsidR="006902B0" w:rsidRPr="005E3A79">
              <w:rPr>
                <w:lang w:val="bg-BG"/>
              </w:rPr>
              <w:t>Регламент (ЕС) № 965/2012</w:t>
            </w:r>
            <w:r w:rsidR="00E00B0B" w:rsidRPr="005E3A79">
              <w:rPr>
                <w:bCs/>
                <w:iCs/>
                <w:lang w:val="bg-BG"/>
              </w:rPr>
              <w:t xml:space="preserve">, </w:t>
            </w:r>
            <w:r w:rsidR="006902B0" w:rsidRPr="005E3A79">
              <w:rPr>
                <w:bCs/>
                <w:iCs/>
                <w:lang w:val="bg-BG"/>
              </w:rPr>
              <w:t xml:space="preserve">при </w:t>
            </w:r>
            <w:r w:rsidR="00E00B0B" w:rsidRPr="005E3A79">
              <w:rPr>
                <w:bCs/>
                <w:iCs/>
                <w:lang w:val="bg-BG"/>
              </w:rPr>
              <w:t xml:space="preserve">която </w:t>
            </w:r>
            <w:r w:rsidR="00E00B0B" w:rsidRPr="005E3A79">
              <w:rPr>
                <w:bCs/>
                <w:iCs/>
                <w:lang w:val="bg-BG"/>
              </w:rPr>
              <w:lastRenderedPageBreak/>
              <w:t>с</w:t>
            </w:r>
            <w:r w:rsidR="00516AE4" w:rsidRPr="005E3A79">
              <w:rPr>
                <w:bCs/>
                <w:iCs/>
                <w:lang w:val="bg-BG"/>
              </w:rPr>
              <w:t xml:space="preserve"> </w:t>
            </w:r>
            <w:r w:rsidR="00E00B0B" w:rsidRPr="005E3A79">
              <w:rPr>
                <w:bCs/>
                <w:iCs/>
                <w:lang w:val="bg-BG"/>
              </w:rPr>
              <w:t xml:space="preserve">новия тип ВС </w:t>
            </w:r>
            <w:r w:rsidR="006902B0" w:rsidRPr="005E3A79">
              <w:rPr>
                <w:bCs/>
                <w:iCs/>
                <w:lang w:val="bg-BG"/>
              </w:rPr>
              <w:t xml:space="preserve">се извършват </w:t>
            </w:r>
            <w:r w:rsidR="00E00B0B" w:rsidRPr="005E3A79">
              <w:rPr>
                <w:bCs/>
                <w:iCs/>
                <w:lang w:val="bg-BG"/>
              </w:rPr>
              <w:t xml:space="preserve">и нови по съдържание изисквания и процедури. </w:t>
            </w:r>
          </w:p>
        </w:tc>
      </w:tr>
      <w:tr w:rsidR="001F747E" w:rsidRPr="00996CB9" w14:paraId="4090106C" w14:textId="77777777" w:rsidTr="00614B04">
        <w:trPr>
          <w:jc w:val="center"/>
        </w:trPr>
        <w:tc>
          <w:tcPr>
            <w:tcW w:w="1157" w:type="dxa"/>
          </w:tcPr>
          <w:p w14:paraId="727A18C8" w14:textId="2136747B" w:rsidR="001F747E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800D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21B04A6D" w14:textId="2002B8EE" w:rsidR="001F747E" w:rsidRDefault="00A420CE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27:</w:t>
            </w:r>
          </w:p>
          <w:p w14:paraId="5115A193" w14:textId="150A10C7" w:rsidR="00A420CE" w:rsidRDefault="00A420CE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Съвсем основателно е отменена, тъй като всички въпроси са детайлно регулирани в съответните европейски нормативни актове. Отново се прави опит за подмяна на европейското право с недомислени подзаконови актове. Целият този процес създава само бюрократични пречки, объркване и конфликт на правни норми.   </w:t>
            </w:r>
          </w:p>
        </w:tc>
        <w:tc>
          <w:tcPr>
            <w:tcW w:w="1535" w:type="dxa"/>
          </w:tcPr>
          <w:p w14:paraId="45E4540D" w14:textId="5689EE04" w:rsidR="001F747E" w:rsidRDefault="000D7C6C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Приема се</w:t>
            </w:r>
          </w:p>
        </w:tc>
        <w:tc>
          <w:tcPr>
            <w:tcW w:w="6995" w:type="dxa"/>
          </w:tcPr>
          <w:p w14:paraId="637953C8" w14:textId="3DF463C4" w:rsidR="001F747E" w:rsidRDefault="00A420CE" w:rsidP="006A6245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</w:t>
            </w:r>
          </w:p>
        </w:tc>
      </w:tr>
      <w:tr w:rsidR="001F747E" w:rsidRPr="00996CB9" w14:paraId="2712B952" w14:textId="77777777" w:rsidTr="00614B04">
        <w:trPr>
          <w:jc w:val="center"/>
        </w:trPr>
        <w:tc>
          <w:tcPr>
            <w:tcW w:w="1157" w:type="dxa"/>
          </w:tcPr>
          <w:p w14:paraId="29B396D8" w14:textId="68C7B992" w:rsidR="001F747E" w:rsidRDefault="000349A9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42F9A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05FD5E54" w14:textId="7B282F41" w:rsidR="001F747E" w:rsidRDefault="00D42F9A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създаването на нови т.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15,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16,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 и 18 в чл.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28, ал.</w:t>
            </w:r>
            <w:r w:rsidR="00772B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1:</w:t>
            </w:r>
          </w:p>
          <w:p w14:paraId="59E48C8B" w14:textId="5BBC086B" w:rsidR="00D42F9A" w:rsidRPr="006A6245" w:rsidRDefault="00D42F9A" w:rsidP="00A8595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  <w:r w:rsidRPr="006A6245">
              <w:rPr>
                <w:rFonts w:ascii="Times New Roman" w:hAnsi="Times New Roman"/>
              </w:rPr>
              <w:t>По т.</w:t>
            </w:r>
            <w:r w:rsidR="00772B07">
              <w:rPr>
                <w:rFonts w:ascii="Times New Roman" w:hAnsi="Times New Roman"/>
              </w:rPr>
              <w:t xml:space="preserve"> </w:t>
            </w:r>
            <w:r w:rsidRPr="006A6245">
              <w:rPr>
                <w:rFonts w:ascii="Times New Roman" w:hAnsi="Times New Roman"/>
              </w:rPr>
              <w:t>15:</w:t>
            </w:r>
          </w:p>
          <w:p w14:paraId="3A599285" w14:textId="2E07EAB6" w:rsidR="00D42F9A" w:rsidRDefault="00D42F9A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Регламент (ЕС) № 965/2012 няма изискване номинираните ръководители да са заети само в един оператор, нито да са заети на пълен работен ден. Изискването е номинираният ръководител да има договор за работни часове, достатъчни за изпълнение на управленските му функции в зависимост от обема и обхвата на опериране. В регламента никъде не става дума за пълен работен ден. Отново имаме случай на погрешно позоваване на европейското законодателство и подмяната му с по-ограничителни норми. Регламентът предоставя възможност </w:t>
            </w:r>
            <w:r w:rsidR="00DE0E27">
              <w:rPr>
                <w:rFonts w:ascii="Times New Roman" w:hAnsi="Times New Roman"/>
              </w:rPr>
              <w:t>за работа на един номиниран ръководител в повече от един оператор със съгласието на съответната администрация.</w:t>
            </w:r>
          </w:p>
          <w:p w14:paraId="386735A6" w14:textId="77777777" w:rsidR="006A6245" w:rsidRDefault="006A6245" w:rsidP="007F5FA2">
            <w:pPr>
              <w:spacing w:after="0" w:line="240" w:lineRule="auto"/>
              <w:ind w:right="125"/>
              <w:rPr>
                <w:rFonts w:ascii="Times New Roman" w:hAnsi="Times New Roman"/>
              </w:rPr>
            </w:pPr>
          </w:p>
          <w:p w14:paraId="67EFCBD8" w14:textId="626FA589" w:rsidR="006A6245" w:rsidRPr="006A6245" w:rsidRDefault="006A6245" w:rsidP="00A8595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25"/>
              <w:jc w:val="both"/>
              <w:rPr>
                <w:rFonts w:ascii="Times New Roman" w:hAnsi="Times New Roman"/>
              </w:rPr>
            </w:pPr>
            <w:r w:rsidRPr="006A6245">
              <w:rPr>
                <w:rFonts w:ascii="Times New Roman" w:hAnsi="Times New Roman"/>
              </w:rPr>
              <w:t>По т.</w:t>
            </w:r>
            <w:r w:rsidR="00DE39F9">
              <w:rPr>
                <w:rFonts w:ascii="Times New Roman" w:hAnsi="Times New Roman"/>
              </w:rPr>
              <w:t xml:space="preserve"> </w:t>
            </w:r>
            <w:r w:rsidRPr="006A6245">
              <w:rPr>
                <w:rFonts w:ascii="Times New Roman" w:hAnsi="Times New Roman"/>
              </w:rPr>
              <w:t>16, 17 и 18:</w:t>
            </w:r>
          </w:p>
          <w:p w14:paraId="756C0E02" w14:textId="77777777" w:rsidR="006A6245" w:rsidRPr="006A6245" w:rsidRDefault="006A6245" w:rsidP="005B048D">
            <w:pPr>
              <w:pStyle w:val="ListParagraph"/>
              <w:spacing w:after="0" w:line="240" w:lineRule="auto"/>
              <w:ind w:left="0" w:right="125"/>
              <w:jc w:val="both"/>
              <w:rPr>
                <w:rFonts w:ascii="Times New Roman" w:hAnsi="Times New Roman"/>
              </w:rPr>
            </w:pPr>
            <w:r w:rsidRPr="006A6245">
              <w:rPr>
                <w:rFonts w:ascii="Times New Roman" w:hAnsi="Times New Roman"/>
              </w:rPr>
              <w:t xml:space="preserve">Регламент (ЕС) № 965/2012 изобщо не поставя изискване за обучение на номинираните ръководители. Има изисквания за квалификация и управленски опит, за познаване на авиационното законодателство, но няма изискване за конкретно обучение. Съответно кандидатите няма откъде да имат такъв сертификат. </w:t>
            </w:r>
          </w:p>
          <w:p w14:paraId="34D01C78" w14:textId="4D625C2F" w:rsidR="006A6245" w:rsidRPr="006A6245" w:rsidRDefault="006A6245" w:rsidP="005B048D">
            <w:pPr>
              <w:pStyle w:val="ListParagraph"/>
              <w:spacing w:after="0" w:line="240" w:lineRule="auto"/>
              <w:ind w:left="0" w:right="125"/>
              <w:jc w:val="both"/>
              <w:rPr>
                <w:rFonts w:ascii="Times New Roman" w:hAnsi="Times New Roman"/>
              </w:rPr>
            </w:pPr>
            <w:r w:rsidRPr="006A6245">
              <w:rPr>
                <w:rFonts w:ascii="Times New Roman" w:hAnsi="Times New Roman"/>
              </w:rPr>
              <w:t>Ръководителите трябва да притежават сложен комплекс от знания и управленски умения, придобити в университетски програми, различни програми за професионална подготовка, както и с годините работа в съответната област. Този комплекс не може да бъде включен в конкретен сертификат (поради огромната специфика на тези знания и умения), и следва да бъде оценен от съответната администрация. Изискването за външен сертификат представлява прехвърлянето на отговорността за квалификацията от администратора към външна организация.</w:t>
            </w:r>
          </w:p>
          <w:p w14:paraId="69AE951D" w14:textId="1E99C748" w:rsidR="00D42F9A" w:rsidRDefault="00DE0E27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</w:tcPr>
          <w:p w14:paraId="3F680235" w14:textId="5F37B3A6" w:rsidR="006A6245" w:rsidRPr="00623091" w:rsidRDefault="00DE0E27" w:rsidP="00B1737C">
            <w:pPr>
              <w:pStyle w:val="ListParagraph"/>
              <w:numPr>
                <w:ilvl w:val="0"/>
                <w:numId w:val="31"/>
              </w:num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 w:rsidRPr="00623091">
              <w:rPr>
                <w:rFonts w:ascii="Times New Roman" w:hAnsi="Times New Roman"/>
                <w:b/>
                <w:bCs/>
              </w:rPr>
              <w:lastRenderedPageBreak/>
              <w:t xml:space="preserve">Приема се </w:t>
            </w:r>
          </w:p>
          <w:p w14:paraId="14299219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19D674FE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5352F8AF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311B2532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796EBDE9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878902D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343FE3FE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121A525B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2FB0B92F" w14:textId="77777777" w:rsidR="006A6245" w:rsidRDefault="006A6245" w:rsidP="006A6245">
            <w:p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</w:p>
          <w:p w14:paraId="699B5FA9" w14:textId="0A9B4601" w:rsidR="006A6245" w:rsidRPr="006A6245" w:rsidRDefault="00623091" w:rsidP="00623091">
            <w:pPr>
              <w:pStyle w:val="ListParagraph"/>
              <w:numPr>
                <w:ilvl w:val="0"/>
                <w:numId w:val="31"/>
              </w:numPr>
              <w:spacing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Приема се</w:t>
            </w:r>
          </w:p>
        </w:tc>
        <w:tc>
          <w:tcPr>
            <w:tcW w:w="6995" w:type="dxa"/>
          </w:tcPr>
          <w:p w14:paraId="08B1C657" w14:textId="76F3DA8B" w:rsidR="006A6245" w:rsidRPr="006A6245" w:rsidRDefault="006A6245" w:rsidP="00A8595C">
            <w:pPr>
              <w:pStyle w:val="NormalWeb"/>
              <w:shd w:val="clear" w:color="auto" w:fill="FFFFFF"/>
              <w:spacing w:before="0" w:beforeAutospacing="0" w:after="0" w:afterAutospacing="0"/>
              <w:ind w:left="720" w:right="137"/>
              <w:jc w:val="both"/>
              <w:rPr>
                <w:bCs/>
                <w:iCs/>
                <w:lang w:val="bg-BG"/>
              </w:rPr>
            </w:pPr>
          </w:p>
        </w:tc>
      </w:tr>
      <w:tr w:rsidR="001F747E" w:rsidRPr="00996CB9" w14:paraId="6A3D6451" w14:textId="77777777" w:rsidTr="00614B04">
        <w:trPr>
          <w:jc w:val="center"/>
        </w:trPr>
        <w:tc>
          <w:tcPr>
            <w:tcW w:w="1157" w:type="dxa"/>
          </w:tcPr>
          <w:p w14:paraId="37986254" w14:textId="4699D075" w:rsidR="001F747E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06E84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2479C657" w14:textId="15F3EE0D" w:rsidR="001F747E" w:rsidRDefault="00806E84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</w:t>
            </w:r>
            <w:r w:rsidR="00DE39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40, ал.</w:t>
            </w:r>
            <w:r w:rsidR="00DE39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3-6</w:t>
            </w:r>
            <w:r w:rsidR="00C21E9C">
              <w:rPr>
                <w:rFonts w:ascii="Times New Roman" w:hAnsi="Times New Roman"/>
              </w:rPr>
              <w:t xml:space="preserve"> – Форма 4</w:t>
            </w:r>
            <w:r>
              <w:rPr>
                <w:rFonts w:ascii="Times New Roman" w:hAnsi="Times New Roman"/>
              </w:rPr>
              <w:t>:</w:t>
            </w:r>
          </w:p>
          <w:p w14:paraId="5EA6938C" w14:textId="77777777" w:rsidR="00C21E9C" w:rsidRDefault="00806E84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Изискването към номинираните ръководители (освен квалификация и опит) е да са приемливи за </w:t>
            </w:r>
            <w:r>
              <w:rPr>
                <w:rFonts w:ascii="Times New Roman" w:hAnsi="Times New Roman"/>
              </w:rPr>
              <w:lastRenderedPageBreak/>
              <w:t xml:space="preserve">администрацията. Изискването на този текст е прекалено. Няма дефинирани изисквания за минимум знания в определени области, нито критерии за оценка на тези знания и умения. (Изисквания за квалификация и опит). Провежданата практика за тест по няколко нормативни документа е порочна. Първо не са ясно дефинирани и предоставени на кандидатите документите, по които се провежда теста. </w:t>
            </w:r>
            <w:r w:rsidR="00C21E9C">
              <w:rPr>
                <w:rFonts w:ascii="Times New Roman" w:hAnsi="Times New Roman"/>
              </w:rPr>
              <w:t>Изискването за познаване по памет на законодателство от десетки хиляди страници е абсолютно неуместно. Кандидатите трябва да могат да открият и приложат съответната законова разпоредба, а не да знаят наизуст цялото законодателство в областта (което постоянно се променя). Няма изискване за тълкуване на закона – то е само в компетентността на законодателя и съда.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6E7FD2C" w14:textId="0C4A750C" w:rsidR="00C21E9C" w:rsidRDefault="00C21E9C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Никъде няма изискване за тест. Допуска се опция за интервю и то само</w:t>
            </w:r>
            <w:r w:rsidR="00DE39F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когато кандидатът е непознат за администрацията.</w:t>
            </w:r>
          </w:p>
          <w:p w14:paraId="2A38EDFF" w14:textId="77777777" w:rsidR="00C21E9C" w:rsidRDefault="00C21E9C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Ако кандидатът е непознат за администрацията, е допустимо провеждане на среща и беседа, в която да бъде оценена неговата способност да открива и работи със съответното законодателство (напр. чрез дискутиране на казуси).</w:t>
            </w:r>
          </w:p>
          <w:p w14:paraId="5FAAD20F" w14:textId="57277585" w:rsidR="00806E84" w:rsidRDefault="00C21E9C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Ако кандидатът е заемал сходни длъжности преди или е познат на инспектора</w:t>
            </w:r>
            <w:r w:rsidR="005B04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дори това е излишно. Абсурдно е човек</w:t>
            </w:r>
            <w:r w:rsidR="005B04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заемал поста </w:t>
            </w:r>
            <w:r>
              <w:rPr>
                <w:rFonts w:ascii="Times New Roman" w:hAnsi="Times New Roman"/>
                <w:lang w:val="en-US"/>
              </w:rPr>
              <w:t>DFO</w:t>
            </w:r>
            <w:r>
              <w:rPr>
                <w:rFonts w:ascii="Times New Roman" w:hAnsi="Times New Roman"/>
              </w:rPr>
              <w:t xml:space="preserve"> или друга номинирана длъжност, напр. на националния превозвач, или друг добре познат на администрацията АО повече от 10 години (през което време е бил приемлив за администрацията) и притежава докторска или друга университетска или академична степен по мениджмънт или др. висша дисциплина</w:t>
            </w:r>
            <w:r w:rsidR="0074392B">
              <w:rPr>
                <w:rFonts w:ascii="Times New Roman" w:hAnsi="Times New Roman"/>
              </w:rPr>
              <w:t xml:space="preserve"> на образование, да бъде подлаган на тест отново или да му бъде наложено да изкара курс по Регламенти 965 и 1178, за да заеме отново същия пост в друг оператор. Това говори за двойни стандарти към различните оператори </w:t>
            </w:r>
            <w:r>
              <w:rPr>
                <w:rFonts w:ascii="Times New Roman" w:hAnsi="Times New Roman"/>
              </w:rPr>
              <w:t xml:space="preserve">    </w:t>
            </w:r>
            <w:r w:rsidR="00806E84">
              <w:rPr>
                <w:rFonts w:ascii="Times New Roman" w:hAnsi="Times New Roman"/>
              </w:rPr>
              <w:t xml:space="preserve"> </w:t>
            </w:r>
          </w:p>
          <w:p w14:paraId="6C011524" w14:textId="3B722171" w:rsidR="00806E84" w:rsidRDefault="00806E84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0095041D" w14:textId="6B0AC7AA" w:rsidR="001F747E" w:rsidRDefault="00623091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</w:tc>
        <w:tc>
          <w:tcPr>
            <w:tcW w:w="6995" w:type="dxa"/>
          </w:tcPr>
          <w:p w14:paraId="6FCB6DBA" w14:textId="179AB0F5" w:rsidR="00D74F4F" w:rsidRDefault="00D74F4F" w:rsidP="00A8595C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ru-RU"/>
              </w:rPr>
            </w:pPr>
          </w:p>
        </w:tc>
      </w:tr>
      <w:tr w:rsidR="001F747E" w:rsidRPr="00996CB9" w14:paraId="550ED8A5" w14:textId="77777777" w:rsidTr="00614B04">
        <w:trPr>
          <w:jc w:val="center"/>
        </w:trPr>
        <w:tc>
          <w:tcPr>
            <w:tcW w:w="1157" w:type="dxa"/>
          </w:tcPr>
          <w:p w14:paraId="013E61AE" w14:textId="26C17799" w:rsidR="001F747E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C21E9C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6BF93ED0" w14:textId="77777777" w:rsidR="001F747E" w:rsidRDefault="0074392B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чл.57:</w:t>
            </w:r>
          </w:p>
          <w:p w14:paraId="76E27330" w14:textId="1FD46182" w:rsidR="005032E0" w:rsidRDefault="0074392B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Мотивите имплицитно приемат допускането на корупционни практики при инспекторите. Това отново е проблем на администратора – на подбора, обучението на кадри, контрола, възнаграждението на инспекторите и т.н. Ако съществуват корупционни практики, те ще са налице и при завъртането на инспекторите. Такава ротация би довела до значително влошаване на качеството на работа на инспекторите. Преместването на нов оператор предполага детайлно запознаване</w:t>
            </w:r>
            <w:r w:rsidR="005032E0">
              <w:rPr>
                <w:rFonts w:ascii="Times New Roman" w:hAnsi="Times New Roman"/>
              </w:rPr>
              <w:t xml:space="preserve"> от инспектора с всички ръководства (няколко хиляди страници), вътрешни процедури и практики, управленския персонал и т.н. Този процес би отнел месеци, през които инспекторът не е ефективен. Това в комбинация с факта, че даден инспектор обслужва няколко оператора, и е претоварен, би довело до пропуски в неговата работа и снижаване нивото на безопасност.</w:t>
            </w:r>
          </w:p>
          <w:p w14:paraId="51360902" w14:textId="37101A46" w:rsidR="0074392B" w:rsidRDefault="005032E0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Даването и получаването на подкупи са престъпления, които би следвало да се преследват по реда, определен в НПК. Инспекторите в </w:t>
            </w:r>
            <w:r w:rsidR="00DE39F9">
              <w:rPr>
                <w:rFonts w:ascii="Times New Roman" w:hAnsi="Times New Roman"/>
              </w:rPr>
              <w:t>ГД „</w:t>
            </w:r>
            <w:r>
              <w:rPr>
                <w:rFonts w:ascii="Times New Roman" w:hAnsi="Times New Roman"/>
              </w:rPr>
              <w:t>ГВА</w:t>
            </w:r>
            <w:r w:rsidR="00DE39F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 не са прокурори или съдебен състав, на които делата се разпределят на случаен принцип за предотвратяването на корупция. Механичното копиране на такива практики е неуместно.   </w:t>
            </w:r>
            <w:r w:rsidR="007439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</w:tcPr>
          <w:p w14:paraId="21045F6E" w14:textId="13AE5A0C" w:rsidR="001F747E" w:rsidRDefault="005032E0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Приема се</w:t>
            </w:r>
          </w:p>
        </w:tc>
        <w:tc>
          <w:tcPr>
            <w:tcW w:w="6995" w:type="dxa"/>
          </w:tcPr>
          <w:p w14:paraId="3FCDCBC3" w14:textId="24836592" w:rsidR="001F747E" w:rsidRPr="00A8595C" w:rsidRDefault="001F747E" w:rsidP="00A8595C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</w:p>
        </w:tc>
      </w:tr>
      <w:tr w:rsidR="001F747E" w:rsidRPr="00996CB9" w14:paraId="4359FBA6" w14:textId="77777777" w:rsidTr="00614B04">
        <w:trPr>
          <w:jc w:val="center"/>
        </w:trPr>
        <w:tc>
          <w:tcPr>
            <w:tcW w:w="1157" w:type="dxa"/>
          </w:tcPr>
          <w:p w14:paraId="7D7D0942" w14:textId="4E9946BF" w:rsidR="001F747E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03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3A15648F" w14:textId="1AE02343" w:rsidR="001F747E" w:rsidRDefault="005032E0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</w:t>
            </w:r>
            <w:r w:rsidR="00DE39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60:</w:t>
            </w:r>
          </w:p>
          <w:p w14:paraId="57E62A59" w14:textId="31AD8B2C" w:rsidR="005032E0" w:rsidRDefault="005032E0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4 не е лиценз, предоставен от държавен орган, за да бъде отнета. Тя е просто формуляр за структуриране на информацията при назначаване или промяна на номиниран ръководител.</w:t>
            </w:r>
            <w:r w:rsidRPr="001A2FA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AMC</w:t>
            </w:r>
            <w:r w:rsidR="003B62C2" w:rsidRPr="001A2FAA">
              <w:rPr>
                <w:rFonts w:ascii="Times New Roman" w:hAnsi="Times New Roman"/>
                <w:lang w:val="ru-RU"/>
              </w:rPr>
              <w:t>1</w:t>
            </w:r>
            <w:r w:rsidR="003B62C2">
              <w:rPr>
                <w:rFonts w:ascii="Times New Roman" w:hAnsi="Times New Roman"/>
              </w:rPr>
              <w:t xml:space="preserve"> и</w:t>
            </w:r>
            <w:r w:rsidR="003B62C2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3B62C2">
              <w:rPr>
                <w:rFonts w:ascii="Times New Roman" w:hAnsi="Times New Roman"/>
                <w:lang w:val="en-US"/>
              </w:rPr>
              <w:t>ARO</w:t>
            </w:r>
            <w:r w:rsidR="003B62C2" w:rsidRPr="001A2FAA">
              <w:rPr>
                <w:rFonts w:ascii="Times New Roman" w:hAnsi="Times New Roman"/>
                <w:lang w:val="ru-RU"/>
              </w:rPr>
              <w:t>.</w:t>
            </w:r>
            <w:r w:rsidR="003B62C2">
              <w:rPr>
                <w:rFonts w:ascii="Times New Roman" w:hAnsi="Times New Roman"/>
                <w:lang w:val="en-US"/>
              </w:rPr>
              <w:t>GEN</w:t>
            </w:r>
            <w:r w:rsidR="003B62C2">
              <w:rPr>
                <w:rFonts w:ascii="Times New Roman" w:hAnsi="Times New Roman"/>
              </w:rPr>
              <w:t>.</w:t>
            </w:r>
            <w:r w:rsidR="003B62C2" w:rsidRPr="001A2FAA">
              <w:rPr>
                <w:rFonts w:ascii="Times New Roman" w:hAnsi="Times New Roman"/>
                <w:lang w:val="ru-RU"/>
              </w:rPr>
              <w:t xml:space="preserve">330 </w:t>
            </w:r>
            <w:r w:rsidR="003B62C2">
              <w:rPr>
                <w:rFonts w:ascii="Times New Roman" w:hAnsi="Times New Roman"/>
              </w:rPr>
              <w:t>към Регламент (ЕС) № 965/2012 изобщо не касае налагане на принудителни административни мерки (ПАМ) към номинирания ръководител.</w:t>
            </w:r>
          </w:p>
          <w:p w14:paraId="40D91A7E" w14:textId="69C0F3BE" w:rsidR="003B62C2" w:rsidRPr="003B62C2" w:rsidRDefault="003B62C2" w:rsidP="00DE39F9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Нещо повече</w:t>
            </w:r>
            <w:r w:rsidR="00DE39F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налагането на такива мерки по формални критерии и без задълбочен анализ е </w:t>
            </w:r>
            <w:r>
              <w:rPr>
                <w:rFonts w:ascii="Times New Roman" w:hAnsi="Times New Roman"/>
              </w:rPr>
              <w:lastRenderedPageBreak/>
              <w:t>неуместно. Администрацията следва да направи детайлно проучване (</w:t>
            </w:r>
            <w:r>
              <w:rPr>
                <w:rFonts w:ascii="Times New Roman" w:hAnsi="Times New Roman"/>
                <w:lang w:val="en-US"/>
              </w:rPr>
              <w:t>Route</w:t>
            </w:r>
            <w:r w:rsidRPr="001A2FA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cause</w:t>
            </w:r>
            <w:r w:rsidRPr="001A2FA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analysis</w:t>
            </w:r>
            <w:r>
              <w:rPr>
                <w:rFonts w:ascii="Times New Roman" w:hAnsi="Times New Roman"/>
              </w:rPr>
              <w:t xml:space="preserve">) и да отговори на въпроса защо даден оператор в два поредни пъти не успява да предложи приемливо решение. Смяната на ръководителя не премахва причините автоматично и не решава проблема. В много случаи само </w:t>
            </w:r>
            <w:r w:rsidR="00DE39F9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 маскира и отлага във времето. Напр.</w:t>
            </w:r>
            <w:r w:rsidR="00DE39F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ако причините са влошено финансово състояние и невъзможност за финансиране на мерките по редица причини, в т.ч. и форсмажорни, смяната на ръководителя по никакъв начин не решава проблема и по-скоро го задълбочава.    </w:t>
            </w:r>
          </w:p>
        </w:tc>
        <w:tc>
          <w:tcPr>
            <w:tcW w:w="1535" w:type="dxa"/>
          </w:tcPr>
          <w:p w14:paraId="63DA34CE" w14:textId="3BBFB856" w:rsidR="001F747E" w:rsidRDefault="003B62C2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</w:tc>
        <w:tc>
          <w:tcPr>
            <w:tcW w:w="6995" w:type="dxa"/>
          </w:tcPr>
          <w:p w14:paraId="4528A54B" w14:textId="5FDC5F37" w:rsidR="003B62C2" w:rsidRDefault="003B62C2" w:rsidP="00A8595C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ru-RU"/>
              </w:rPr>
            </w:pPr>
          </w:p>
        </w:tc>
      </w:tr>
      <w:tr w:rsidR="001F747E" w:rsidRPr="00996CB9" w14:paraId="0FE180A8" w14:textId="77777777" w:rsidTr="00614B04">
        <w:trPr>
          <w:jc w:val="center"/>
        </w:trPr>
        <w:tc>
          <w:tcPr>
            <w:tcW w:w="1157" w:type="dxa"/>
          </w:tcPr>
          <w:p w14:paraId="6690A0CB" w14:textId="3C7572F9" w:rsidR="001F747E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5613D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2A2D60D9" w14:textId="2F269D16" w:rsidR="001F747E" w:rsidRDefault="00A8595C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60, ал.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 и чл.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61, </w:t>
            </w:r>
            <w:r w:rsidRPr="00DD08CE">
              <w:rPr>
                <w:rFonts w:ascii="Times New Roman" w:hAnsi="Times New Roman"/>
              </w:rPr>
              <w:t>ал.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Pr="00DD08CE">
              <w:rPr>
                <w:rFonts w:ascii="Times New Roman" w:hAnsi="Times New Roman"/>
              </w:rPr>
              <w:t>1а</w:t>
            </w:r>
            <w:r w:rsidR="00FA56BD" w:rsidRPr="00DD08CE">
              <w:rPr>
                <w:rFonts w:ascii="Times New Roman" w:hAnsi="Times New Roman"/>
              </w:rPr>
              <w:t>:</w:t>
            </w:r>
          </w:p>
          <w:p w14:paraId="557568F5" w14:textId="2A53BB48" w:rsidR="00FA56BD" w:rsidRDefault="00FA56BD" w:rsidP="00A8595C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Разпоредбата е изцяло излишна, тъй като тези правомощия, както и реда за извършване на тестове за алкохол при рамп инспекции</w:t>
            </w:r>
            <w:r w:rsidR="005B04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са подробно регулирани в Регламент (ЕС) № 965/2012 </w:t>
            </w:r>
            <w:r w:rsidRPr="001A2FAA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ARO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RAMP</w:t>
            </w:r>
            <w:r w:rsidRPr="001A2FAA">
              <w:rPr>
                <w:rFonts w:ascii="Times New Roman" w:hAnsi="Times New Roman"/>
                <w:lang w:val="ru-RU"/>
              </w:rPr>
              <w:t xml:space="preserve">.106- </w:t>
            </w:r>
            <w:r>
              <w:rPr>
                <w:rFonts w:ascii="Times New Roman" w:hAnsi="Times New Roman"/>
                <w:lang w:val="en-US"/>
              </w:rPr>
              <w:t>Alkohol</w:t>
            </w:r>
            <w:r w:rsidRPr="001A2FA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Testing</w:t>
            </w:r>
            <w:r>
              <w:rPr>
                <w:rFonts w:ascii="Times New Roman" w:hAnsi="Times New Roman"/>
              </w:rPr>
              <w:t>.</w:t>
            </w:r>
            <w:r w:rsidR="00A64E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Създаването на дублиращо законодателство на действащи нормативни актове има нулеви ползи, но създава предпоставки за конфликт на закони.  </w:t>
            </w:r>
          </w:p>
        </w:tc>
        <w:tc>
          <w:tcPr>
            <w:tcW w:w="1535" w:type="dxa"/>
          </w:tcPr>
          <w:p w14:paraId="14485759" w14:textId="7ACAE1E1" w:rsidR="001F747E" w:rsidRDefault="00FA56BD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 се приема</w:t>
            </w:r>
          </w:p>
        </w:tc>
        <w:tc>
          <w:tcPr>
            <w:tcW w:w="6995" w:type="dxa"/>
          </w:tcPr>
          <w:p w14:paraId="364BAABA" w14:textId="69448B47" w:rsidR="001F747E" w:rsidRPr="00A8595C" w:rsidRDefault="00FA56BD" w:rsidP="005B048D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  <w:r w:rsidRPr="00A8595C">
              <w:rPr>
                <w:bCs/>
                <w:iCs/>
                <w:lang w:val="bg-BG"/>
              </w:rPr>
              <w:t>Разпоредбите са предназначени да се прилагат и за авиационни оператори, които не извършват търговски въздушен превоз, напр. притежаващи национални свидетелства, специални разрешения или декларации</w:t>
            </w:r>
            <w:r w:rsidR="00A64E1E" w:rsidRPr="00A8595C">
              <w:rPr>
                <w:bCs/>
                <w:iCs/>
                <w:lang w:val="bg-BG"/>
              </w:rPr>
              <w:t>.</w:t>
            </w:r>
            <w:r w:rsidRPr="00A8595C">
              <w:rPr>
                <w:bCs/>
                <w:iCs/>
                <w:lang w:val="bg-BG"/>
              </w:rPr>
              <w:t xml:space="preserve"> </w:t>
            </w:r>
            <w:r w:rsidR="00A64E1E" w:rsidRPr="00A8595C">
              <w:rPr>
                <w:bCs/>
                <w:iCs/>
                <w:lang w:val="bg-BG"/>
              </w:rPr>
              <w:t xml:space="preserve">Това предложение регламентира правото на инспекторите </w:t>
            </w:r>
            <w:r w:rsidR="00343173" w:rsidRPr="00A8595C">
              <w:rPr>
                <w:bCs/>
                <w:iCs/>
                <w:lang w:val="bg-BG"/>
              </w:rPr>
              <w:t xml:space="preserve">да издадат АУАН </w:t>
            </w:r>
            <w:r w:rsidR="00A64E1E" w:rsidRPr="00A8595C">
              <w:rPr>
                <w:bCs/>
                <w:iCs/>
                <w:lang w:val="bg-BG"/>
              </w:rPr>
              <w:t>при констатиране на нарушение</w:t>
            </w:r>
            <w:r w:rsidR="00313E6E" w:rsidRPr="00A8595C">
              <w:rPr>
                <w:bCs/>
                <w:iCs/>
                <w:lang w:val="bg-BG"/>
              </w:rPr>
              <w:t>, с което контролът ще бъде ефективен</w:t>
            </w:r>
          </w:p>
        </w:tc>
      </w:tr>
      <w:tr w:rsidR="001F747E" w:rsidRPr="00996CB9" w14:paraId="4A21421D" w14:textId="77777777" w:rsidTr="00614B04">
        <w:trPr>
          <w:jc w:val="center"/>
        </w:trPr>
        <w:tc>
          <w:tcPr>
            <w:tcW w:w="1157" w:type="dxa"/>
          </w:tcPr>
          <w:p w14:paraId="7E109CA9" w14:textId="2880E9B5" w:rsidR="001F747E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A56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0D46EE23" w14:textId="19C601D4" w:rsidR="001F747E" w:rsidRDefault="00FA56BD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чл.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60а:</w:t>
            </w:r>
          </w:p>
          <w:p w14:paraId="05C2DC6D" w14:textId="059FFFA2" w:rsidR="0018445C" w:rsidRDefault="00FA56BD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случая подходът е едностранен и приема, че единственият индикатор за нивото на безопасност </w:t>
            </w:r>
            <w:r w:rsidR="0018445C">
              <w:rPr>
                <w:rFonts w:ascii="Times New Roman" w:hAnsi="Times New Roman"/>
              </w:rPr>
              <w:t xml:space="preserve">на даден оператор е достигнатия коефициент при </w:t>
            </w:r>
            <w:r w:rsidR="0018445C">
              <w:rPr>
                <w:rFonts w:ascii="Times New Roman" w:hAnsi="Times New Roman"/>
                <w:lang w:val="en-US"/>
              </w:rPr>
              <w:t>SAFA</w:t>
            </w:r>
            <w:r w:rsidR="0018445C">
              <w:rPr>
                <w:rFonts w:ascii="Times New Roman" w:hAnsi="Times New Roman"/>
              </w:rPr>
              <w:t xml:space="preserve"> инспекции. Националната администрация разполага с много повече информация за нивото на безопасност на съответния оператор, напр.: статистика на инциденти през последните 1,2,3 и повече години, задълбочен анализ на регистрираните </w:t>
            </w:r>
            <w:r w:rsidR="0018445C">
              <w:rPr>
                <w:rFonts w:ascii="Times New Roman" w:hAnsi="Times New Roman"/>
                <w:lang w:val="en-US"/>
              </w:rPr>
              <w:t>SAFA</w:t>
            </w:r>
            <w:r w:rsidR="0018445C">
              <w:rPr>
                <w:rFonts w:ascii="Times New Roman" w:hAnsi="Times New Roman"/>
              </w:rPr>
              <w:t>/</w:t>
            </w:r>
            <w:r w:rsidR="0018445C">
              <w:rPr>
                <w:rFonts w:ascii="Times New Roman" w:hAnsi="Times New Roman"/>
                <w:lang w:val="en-US"/>
              </w:rPr>
              <w:t>SANA</w:t>
            </w:r>
            <w:r w:rsidR="0018445C">
              <w:rPr>
                <w:rFonts w:ascii="Times New Roman" w:hAnsi="Times New Roman"/>
              </w:rPr>
              <w:t>/</w:t>
            </w:r>
            <w:r w:rsidR="0018445C">
              <w:rPr>
                <w:rFonts w:ascii="Times New Roman" w:hAnsi="Times New Roman"/>
                <w:lang w:val="en-US"/>
              </w:rPr>
              <w:t>SACA</w:t>
            </w:r>
            <w:r w:rsidR="0018445C">
              <w:rPr>
                <w:rFonts w:ascii="Times New Roman" w:hAnsi="Times New Roman"/>
              </w:rPr>
              <w:t xml:space="preserve"> несъответствия и нивото на оценка на обективност на същите и степента на влиянието им върху БП, ниво на обучение на персонала, капацитет на управлението на оператора, инвестиции в системи на безопасност, финансово състояние и т.н. </w:t>
            </w:r>
          </w:p>
          <w:p w14:paraId="5E56F04F" w14:textId="661E9F59" w:rsidR="00FA56BD" w:rsidRPr="00E72263" w:rsidRDefault="0018445C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база на тази информация е възможна много по-комплексна оценка и анализ на несъответствията </w:t>
            </w:r>
            <w:r w:rsidR="00E72263">
              <w:rPr>
                <w:rFonts w:ascii="Times New Roman" w:hAnsi="Times New Roman"/>
              </w:rPr>
              <w:lastRenderedPageBreak/>
              <w:t xml:space="preserve">(отколкото формалното прилагане на </w:t>
            </w:r>
            <w:r w:rsidR="00E72263">
              <w:rPr>
                <w:rFonts w:ascii="Times New Roman" w:hAnsi="Times New Roman"/>
                <w:lang w:val="en-US"/>
              </w:rPr>
              <w:t>SAFA</w:t>
            </w:r>
            <w:r w:rsidR="00E72263">
              <w:rPr>
                <w:rFonts w:ascii="Times New Roman" w:hAnsi="Times New Roman"/>
              </w:rPr>
              <w:t xml:space="preserve"> коефициент), както и действия, координирани с ръководството за преодоляване на слабостите и повишаване на безопасността. Националната администрация не би следвало да е само в ролята на „прокуратура“, която само търси повод да налага санкция. Развитието на отрасъла при приемливо ниво на безопасност е национална кауза, която преди всичко включва обучение и подкрепа, трансфер на информация, знания и </w:t>
            </w:r>
            <w:r w:rsidR="00E72263">
              <w:rPr>
                <w:rFonts w:ascii="Times New Roman" w:hAnsi="Times New Roman"/>
                <w:lang w:val="en-US"/>
              </w:rPr>
              <w:t>know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how</w:t>
            </w:r>
            <w:r w:rsidR="00E72263">
              <w:rPr>
                <w:rFonts w:ascii="Times New Roman" w:hAnsi="Times New Roman"/>
              </w:rPr>
              <w:t>, съдействие за инвестиции, проекти и технологии, повишаващи безопасността и конкурентоспособността на операторите. Извънредните действия са крайна мярка и би следвало да се прилагат само в крайни случаи (</w:t>
            </w:r>
            <w:r w:rsidR="00E72263">
              <w:rPr>
                <w:rFonts w:ascii="Times New Roman" w:hAnsi="Times New Roman"/>
                <w:lang w:val="en-US"/>
              </w:rPr>
              <w:t>immediate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reaction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to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a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safety</w:t>
            </w:r>
            <w:r w:rsidR="00E72263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E72263">
              <w:rPr>
                <w:rFonts w:ascii="Times New Roman" w:hAnsi="Times New Roman"/>
                <w:lang w:val="en-US"/>
              </w:rPr>
              <w:t>problem</w:t>
            </w:r>
            <w:r w:rsidR="00E72263">
              <w:rPr>
                <w:rFonts w:ascii="Times New Roman" w:hAnsi="Times New Roman"/>
              </w:rPr>
              <w:t xml:space="preserve">), когато всички други средства за въздействие са изчерпани.   </w:t>
            </w:r>
          </w:p>
        </w:tc>
        <w:tc>
          <w:tcPr>
            <w:tcW w:w="1535" w:type="dxa"/>
          </w:tcPr>
          <w:p w14:paraId="484DFCB6" w14:textId="67391B3C" w:rsidR="001F747E" w:rsidRDefault="00623091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</w:tc>
        <w:tc>
          <w:tcPr>
            <w:tcW w:w="6995" w:type="dxa"/>
          </w:tcPr>
          <w:p w14:paraId="72E4AF2D" w14:textId="14D6CC2E" w:rsidR="001F747E" w:rsidRPr="00A8595C" w:rsidRDefault="001F747E" w:rsidP="00B01415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</w:p>
        </w:tc>
      </w:tr>
      <w:tr w:rsidR="001F747E" w:rsidRPr="00996CB9" w14:paraId="33618797" w14:textId="77777777" w:rsidTr="00614B04">
        <w:trPr>
          <w:jc w:val="center"/>
        </w:trPr>
        <w:tc>
          <w:tcPr>
            <w:tcW w:w="1157" w:type="dxa"/>
          </w:tcPr>
          <w:p w14:paraId="6686E844" w14:textId="77777777" w:rsidR="001F747E" w:rsidRDefault="00F00176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Коментари по отделни текстове:</w:t>
            </w:r>
          </w:p>
          <w:p w14:paraId="7547E10D" w14:textId="35BBC2D6" w:rsidR="006C3F4B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C3F4B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52B00771" w14:textId="3FD40DB2" w:rsidR="001F747E" w:rsidRDefault="00F00176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§ 5</w:t>
            </w:r>
            <w:r w:rsidR="005B048D">
              <w:rPr>
                <w:rFonts w:ascii="Times New Roman" w:hAnsi="Times New Roman"/>
              </w:rPr>
              <w:t xml:space="preserve"> относно </w:t>
            </w:r>
            <w:r>
              <w:rPr>
                <w:rFonts w:ascii="Times New Roman" w:hAnsi="Times New Roman"/>
              </w:rPr>
              <w:t>чл.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10, ал.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8D55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т.</w:t>
            </w:r>
            <w:r w:rsidR="005B0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8а:</w:t>
            </w:r>
          </w:p>
          <w:p w14:paraId="2F7331E1" w14:textId="23E9C0A9" w:rsidR="001F437E" w:rsidRDefault="00F00176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посочените членове - </w:t>
            </w:r>
            <w:r>
              <w:rPr>
                <w:rFonts w:ascii="Times New Roman" w:hAnsi="Times New Roman"/>
                <w:lang w:val="en-US"/>
              </w:rPr>
              <w:t>ORO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GEN</w:t>
            </w:r>
            <w:r w:rsidRPr="001A2FAA">
              <w:rPr>
                <w:rFonts w:ascii="Times New Roman" w:hAnsi="Times New Roman"/>
                <w:lang w:val="ru-RU"/>
              </w:rPr>
              <w:t xml:space="preserve">.210 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ORO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AOC</w:t>
            </w:r>
            <w:r w:rsidRPr="001A2FAA">
              <w:rPr>
                <w:rFonts w:ascii="Times New Roman" w:hAnsi="Times New Roman"/>
                <w:lang w:val="ru-RU"/>
              </w:rPr>
              <w:t>.135</w:t>
            </w:r>
            <w:r>
              <w:rPr>
                <w:rFonts w:ascii="Times New Roman" w:hAnsi="Times New Roman"/>
              </w:rPr>
              <w:t xml:space="preserve"> от Регламент (ЕС) № 965/2012 става ясно, че, че необходимият квалифициран персонал, вкл. и екипажите на въздухоплавателните средства, с които следва да разполага авиационният оператор, не кореспондира с броя на вписаните ВС в свидетелството му за авиационен оператор. Основният и единствен критерий за „достатъчност и компетентност на персонала“ е осигуряването на планираните задачи, наземни и полетни дейности с необходимия </w:t>
            </w:r>
            <w:r w:rsidR="001F437E">
              <w:rPr>
                <w:rFonts w:ascii="Times New Roman" w:hAnsi="Times New Roman"/>
              </w:rPr>
              <w:t xml:space="preserve">за тази цел персонал. Съотношението между броя на екипажите на наличните ВС не следва да се определя като 1/1. Броят на екипажите спрямо наличните ВС е в зависимост от типа на планираните полетни операции, тяхната честота и интензитет. Това съотношение може да варира от нула екипажи на ВС до два, три или повече екипажи. Типичен пример за това са чартърните оператори, но не само и единствено при тях, където активността е различна в различните сезони, а също така и </w:t>
            </w:r>
            <w:r w:rsidR="001F437E">
              <w:rPr>
                <w:rFonts w:ascii="Times New Roman" w:hAnsi="Times New Roman"/>
              </w:rPr>
              <w:lastRenderedPageBreak/>
              <w:t xml:space="preserve">оператори с налични годни ВС, но необезпечени с търговски договори. Кризата, породена от </w:t>
            </w:r>
            <w:r w:rsidR="001F437E">
              <w:rPr>
                <w:rFonts w:ascii="Times New Roman" w:hAnsi="Times New Roman"/>
                <w:lang w:val="en-US"/>
              </w:rPr>
              <w:t>COVID</w:t>
            </w:r>
            <w:r w:rsidR="001F437E" w:rsidRPr="001A2FAA">
              <w:rPr>
                <w:rFonts w:ascii="Times New Roman" w:hAnsi="Times New Roman"/>
                <w:lang w:val="ru-RU"/>
              </w:rPr>
              <w:t>-19</w:t>
            </w:r>
            <w:r w:rsidR="005B048D">
              <w:rPr>
                <w:rFonts w:ascii="Times New Roman" w:hAnsi="Times New Roman"/>
                <w:lang w:val="ru-RU"/>
              </w:rPr>
              <w:t>,</w:t>
            </w:r>
            <w:r w:rsidR="001F437E">
              <w:rPr>
                <w:rFonts w:ascii="Times New Roman" w:hAnsi="Times New Roman"/>
              </w:rPr>
              <w:t xml:space="preserve"> доведе до рязко спадане на летателната активност в глобален мащаб, в резултат на което част от операторите остават с ВС, за които не са необходим екипажи.</w:t>
            </w:r>
          </w:p>
          <w:p w14:paraId="61919C24" w14:textId="42E91149" w:rsidR="00F00176" w:rsidRPr="00F00176" w:rsidRDefault="001F437E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друга страна Регламент (ЕС) № 965/2012  предвижда възможност да се ползват</w:t>
            </w:r>
            <w:r w:rsidR="006C3F4B">
              <w:rPr>
                <w:rFonts w:ascii="Times New Roman" w:hAnsi="Times New Roman"/>
              </w:rPr>
              <w:t xml:space="preserve"> услугите на членове на полетния и кабинен екипаж, наети като нещатни сътрудници или на непълно работно време (</w:t>
            </w:r>
            <w:r w:rsidR="006C3F4B">
              <w:rPr>
                <w:rFonts w:ascii="Times New Roman" w:hAnsi="Times New Roman"/>
                <w:lang w:val="en-US"/>
              </w:rPr>
              <w:t>freelance</w:t>
            </w:r>
            <w:r w:rsidR="006C3F4B">
              <w:rPr>
                <w:rFonts w:ascii="Times New Roman" w:hAnsi="Times New Roman"/>
              </w:rPr>
              <w:t xml:space="preserve">), при спазването на всички приложими изисквания, което е видно от </w:t>
            </w:r>
            <w:r w:rsidR="006C3F4B">
              <w:rPr>
                <w:rFonts w:ascii="Times New Roman" w:hAnsi="Times New Roman"/>
                <w:lang w:val="en-US"/>
              </w:rPr>
              <w:t>ORO</w:t>
            </w:r>
            <w:r w:rsidR="006C3F4B" w:rsidRPr="001A2FAA">
              <w:rPr>
                <w:rFonts w:ascii="Times New Roman" w:hAnsi="Times New Roman"/>
                <w:lang w:val="ru-RU"/>
              </w:rPr>
              <w:t>.</w:t>
            </w:r>
            <w:r w:rsidR="006C3F4B">
              <w:rPr>
                <w:rFonts w:ascii="Times New Roman" w:hAnsi="Times New Roman"/>
                <w:lang w:val="en-US"/>
              </w:rPr>
              <w:t>FC</w:t>
            </w:r>
            <w:r w:rsidR="006C3F4B" w:rsidRPr="001A2FAA">
              <w:rPr>
                <w:rFonts w:ascii="Times New Roman" w:hAnsi="Times New Roman"/>
                <w:lang w:val="ru-RU"/>
              </w:rPr>
              <w:t xml:space="preserve"> 220, </w:t>
            </w:r>
            <w:r w:rsidR="006C3F4B">
              <w:rPr>
                <w:rFonts w:ascii="Times New Roman" w:hAnsi="Times New Roman"/>
                <w:lang w:val="en-US"/>
              </w:rPr>
              <w:t>ORO</w:t>
            </w:r>
            <w:r w:rsidR="006C3F4B" w:rsidRPr="001A2FAA">
              <w:rPr>
                <w:rFonts w:ascii="Times New Roman" w:hAnsi="Times New Roman"/>
                <w:lang w:val="ru-RU"/>
              </w:rPr>
              <w:t>.</w:t>
            </w:r>
            <w:r w:rsidR="006C3F4B">
              <w:rPr>
                <w:rFonts w:ascii="Times New Roman" w:hAnsi="Times New Roman"/>
                <w:lang w:val="en-US"/>
              </w:rPr>
              <w:t>FC</w:t>
            </w:r>
            <w:r w:rsidR="006C3F4B" w:rsidRPr="001A2FAA">
              <w:rPr>
                <w:rFonts w:ascii="Times New Roman" w:hAnsi="Times New Roman"/>
                <w:lang w:val="ru-RU"/>
              </w:rPr>
              <w:t xml:space="preserve"> 100,</w:t>
            </w:r>
            <w:r w:rsidR="006C3F4B">
              <w:rPr>
                <w:rFonts w:ascii="Times New Roman" w:hAnsi="Times New Roman"/>
              </w:rPr>
              <w:t xml:space="preserve">и </w:t>
            </w:r>
            <w:r w:rsidR="006C3F4B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6C3F4B">
              <w:rPr>
                <w:rFonts w:ascii="Times New Roman" w:hAnsi="Times New Roman"/>
                <w:lang w:val="en-US"/>
              </w:rPr>
              <w:t>ORO</w:t>
            </w:r>
            <w:r w:rsidR="006C3F4B" w:rsidRPr="001A2FAA">
              <w:rPr>
                <w:rFonts w:ascii="Times New Roman" w:hAnsi="Times New Roman"/>
                <w:lang w:val="ru-RU"/>
              </w:rPr>
              <w:t>.</w:t>
            </w:r>
            <w:r w:rsidR="006C3F4B">
              <w:rPr>
                <w:rFonts w:ascii="Times New Roman" w:hAnsi="Times New Roman"/>
                <w:lang w:val="en-US"/>
              </w:rPr>
              <w:t>CC</w:t>
            </w:r>
            <w:r w:rsidR="006C3F4B" w:rsidRPr="001A2FAA">
              <w:rPr>
                <w:rFonts w:ascii="Times New Roman" w:hAnsi="Times New Roman"/>
                <w:lang w:val="ru-RU"/>
              </w:rPr>
              <w:t xml:space="preserve">.110 </w:t>
            </w:r>
            <w:r w:rsidR="006C3F4B">
              <w:rPr>
                <w:rFonts w:ascii="Times New Roman" w:hAnsi="Times New Roman"/>
              </w:rPr>
              <w:t>от регламента. Отчитайки гореизложеното считаме, че предложеният текст за създаване на нова т.8а в чл.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C3F4B">
              <w:rPr>
                <w:rFonts w:ascii="Times New Roman" w:hAnsi="Times New Roman"/>
              </w:rPr>
              <w:t>10, ал.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C3F4B">
              <w:rPr>
                <w:rFonts w:ascii="Times New Roman" w:hAnsi="Times New Roman"/>
              </w:rPr>
              <w:t xml:space="preserve">1 от наредбата е в несъответствие с духа, нормите и стандартите на   Регламент (ЕС) № 965/2012, като по същество се налага ненужна и съществена финансова тежест върху авиационните оператори. В тази връзка настояваме този текст да отпадне изцяло.    </w:t>
            </w:r>
            <w:r>
              <w:rPr>
                <w:rFonts w:ascii="Times New Roman" w:hAnsi="Times New Roman"/>
              </w:rPr>
              <w:t xml:space="preserve">  </w:t>
            </w:r>
            <w:r w:rsidR="00F0017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35" w:type="dxa"/>
          </w:tcPr>
          <w:p w14:paraId="2A200AFD" w14:textId="0457CDE3" w:rsidR="001F747E" w:rsidRDefault="00A64E1E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Приема се</w:t>
            </w:r>
          </w:p>
        </w:tc>
        <w:tc>
          <w:tcPr>
            <w:tcW w:w="6995" w:type="dxa"/>
          </w:tcPr>
          <w:p w14:paraId="2A5253B1" w14:textId="77777777" w:rsidR="001F747E" w:rsidRDefault="001F747E" w:rsidP="00B87DBE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</w:tc>
      </w:tr>
      <w:tr w:rsidR="00F00176" w:rsidRPr="00996CB9" w14:paraId="375C9C11" w14:textId="77777777" w:rsidTr="00614B04">
        <w:trPr>
          <w:jc w:val="center"/>
        </w:trPr>
        <w:tc>
          <w:tcPr>
            <w:tcW w:w="1157" w:type="dxa"/>
          </w:tcPr>
          <w:p w14:paraId="2710570D" w14:textId="301EAC45" w:rsidR="00F00176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C3F4B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38E84DF0" w14:textId="27069932" w:rsidR="00F00176" w:rsidRDefault="006C3F4B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Същевременно настояваме </w:t>
            </w:r>
            <w:r w:rsidR="009768DA">
              <w:rPr>
                <w:rFonts w:ascii="Times New Roman" w:hAnsi="Times New Roman"/>
              </w:rPr>
              <w:t xml:space="preserve">ГД </w:t>
            </w:r>
            <w:r w:rsidR="005B048D">
              <w:rPr>
                <w:rFonts w:ascii="Times New Roman" w:hAnsi="Times New Roman"/>
              </w:rPr>
              <w:t>„</w:t>
            </w:r>
            <w:r w:rsidR="009768DA">
              <w:rPr>
                <w:rFonts w:ascii="Times New Roman" w:hAnsi="Times New Roman"/>
              </w:rPr>
              <w:t>ГВА</w:t>
            </w:r>
            <w:r w:rsidR="005B048D">
              <w:rPr>
                <w:rFonts w:ascii="Times New Roman" w:hAnsi="Times New Roman"/>
              </w:rPr>
              <w:t>“</w:t>
            </w:r>
            <w:r w:rsidR="009768DA">
              <w:rPr>
                <w:rFonts w:ascii="Times New Roman" w:hAnsi="Times New Roman"/>
              </w:rPr>
              <w:t xml:space="preserve"> в качеството си на компетентен орган по прилагането на Регламент (ЕС) № 965/2012, в съгласуваност с други компетентни институции на Р</w:t>
            </w:r>
            <w:r w:rsidR="005B048D">
              <w:rPr>
                <w:rFonts w:ascii="Times New Roman" w:hAnsi="Times New Roman"/>
              </w:rPr>
              <w:t xml:space="preserve">епублика </w:t>
            </w:r>
            <w:r w:rsidR="009768DA">
              <w:rPr>
                <w:rFonts w:ascii="Times New Roman" w:hAnsi="Times New Roman"/>
              </w:rPr>
              <w:t>Б</w:t>
            </w:r>
            <w:r w:rsidR="005B048D">
              <w:rPr>
                <w:rFonts w:ascii="Times New Roman" w:hAnsi="Times New Roman"/>
              </w:rPr>
              <w:t>ългария</w:t>
            </w:r>
            <w:r w:rsidR="009768DA">
              <w:rPr>
                <w:rFonts w:ascii="Times New Roman" w:hAnsi="Times New Roman"/>
              </w:rPr>
              <w:t xml:space="preserve">, да даде точни и ясни указания по прилагането на </w:t>
            </w:r>
            <w:r w:rsidR="009768DA">
              <w:rPr>
                <w:rFonts w:ascii="Times New Roman" w:hAnsi="Times New Roman"/>
                <w:lang w:val="en-US"/>
              </w:rPr>
              <w:t>ORO</w:t>
            </w:r>
            <w:r w:rsidR="009768DA" w:rsidRPr="001A2FAA">
              <w:rPr>
                <w:rFonts w:ascii="Times New Roman" w:hAnsi="Times New Roman"/>
                <w:lang w:val="ru-RU"/>
              </w:rPr>
              <w:t>.</w:t>
            </w:r>
            <w:r w:rsidR="009768DA">
              <w:rPr>
                <w:rFonts w:ascii="Times New Roman" w:hAnsi="Times New Roman"/>
                <w:lang w:val="en-US"/>
              </w:rPr>
              <w:t>FC</w:t>
            </w:r>
            <w:r w:rsidR="009768DA" w:rsidRPr="001A2FAA">
              <w:rPr>
                <w:rFonts w:ascii="Times New Roman" w:hAnsi="Times New Roman"/>
                <w:lang w:val="ru-RU"/>
              </w:rPr>
              <w:t xml:space="preserve">.100 </w:t>
            </w:r>
            <w:r w:rsidR="009768DA">
              <w:rPr>
                <w:rFonts w:ascii="Times New Roman" w:hAnsi="Times New Roman"/>
              </w:rPr>
              <w:t>(д) и</w:t>
            </w:r>
            <w:r w:rsidR="009768DA" w:rsidRPr="001A2FAA">
              <w:rPr>
                <w:rFonts w:ascii="Times New Roman" w:hAnsi="Times New Roman"/>
                <w:lang w:val="ru-RU"/>
              </w:rPr>
              <w:t xml:space="preserve"> </w:t>
            </w:r>
            <w:r w:rsidR="009768DA">
              <w:rPr>
                <w:rFonts w:ascii="Times New Roman" w:hAnsi="Times New Roman"/>
                <w:lang w:val="en-US"/>
              </w:rPr>
              <w:t>ORO</w:t>
            </w:r>
            <w:r w:rsidR="009768DA" w:rsidRPr="001A2FAA">
              <w:rPr>
                <w:rFonts w:ascii="Times New Roman" w:hAnsi="Times New Roman"/>
                <w:lang w:val="ru-RU"/>
              </w:rPr>
              <w:t>.</w:t>
            </w:r>
            <w:r w:rsidR="009768DA">
              <w:rPr>
                <w:rFonts w:ascii="Times New Roman" w:hAnsi="Times New Roman"/>
                <w:lang w:val="en-US"/>
              </w:rPr>
              <w:t>CC</w:t>
            </w:r>
            <w:r w:rsidR="009768DA" w:rsidRPr="001A2FAA">
              <w:rPr>
                <w:rFonts w:ascii="Times New Roman" w:hAnsi="Times New Roman"/>
                <w:lang w:val="ru-RU"/>
              </w:rPr>
              <w:t xml:space="preserve"> 110 </w:t>
            </w:r>
            <w:r w:rsidR="009768DA">
              <w:rPr>
                <w:rFonts w:ascii="Times New Roman" w:hAnsi="Times New Roman"/>
              </w:rPr>
              <w:t xml:space="preserve">(б) от Регламент (ЕС) № 965/2012, както във връзка със стандартите за безопасност, така и с въпросите, отнасящи се до трудовото законодателство. Регламентираното ползване на нещатни екипажи и такива на непълно работно време при спазването на всички приложими изисквания за безопасност ще доведе до по-голяма гъвкавост при извършване на летателна дейност на операторите, а същевременно ще реши и редица въпроси, свързани с дейността на ГД </w:t>
            </w:r>
            <w:r w:rsidR="005B048D">
              <w:rPr>
                <w:rFonts w:ascii="Times New Roman" w:hAnsi="Times New Roman"/>
              </w:rPr>
              <w:t>„</w:t>
            </w:r>
            <w:r w:rsidR="009768DA">
              <w:rPr>
                <w:rFonts w:ascii="Times New Roman" w:hAnsi="Times New Roman"/>
              </w:rPr>
              <w:t>ГВА</w:t>
            </w:r>
            <w:r w:rsidR="005B048D">
              <w:rPr>
                <w:rFonts w:ascii="Times New Roman" w:hAnsi="Times New Roman"/>
              </w:rPr>
              <w:t>“</w:t>
            </w:r>
            <w:r w:rsidR="009768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35" w:type="dxa"/>
          </w:tcPr>
          <w:p w14:paraId="4302BD37" w14:textId="45C886DC" w:rsidR="00F00176" w:rsidRDefault="0032667E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Приема се</w:t>
            </w:r>
          </w:p>
        </w:tc>
        <w:tc>
          <w:tcPr>
            <w:tcW w:w="6995" w:type="dxa"/>
          </w:tcPr>
          <w:p w14:paraId="5B21B654" w14:textId="0F63AC19" w:rsidR="00F00176" w:rsidRDefault="00F00176" w:rsidP="00B87DBE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rPr>
                <w:bCs/>
                <w:iCs/>
                <w:lang w:val="ru-RU"/>
              </w:rPr>
            </w:pPr>
          </w:p>
        </w:tc>
      </w:tr>
      <w:tr w:rsidR="00F00176" w:rsidRPr="00996CB9" w14:paraId="3A844D04" w14:textId="77777777" w:rsidTr="00614B04">
        <w:trPr>
          <w:jc w:val="center"/>
        </w:trPr>
        <w:tc>
          <w:tcPr>
            <w:tcW w:w="1157" w:type="dxa"/>
          </w:tcPr>
          <w:p w14:paraId="348D4700" w14:textId="23C49DDA" w:rsidR="00F00176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768D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2AE9A54A" w14:textId="451E42E0" w:rsidR="00F00176" w:rsidRDefault="009768DA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Очевидно е, че Наредба № 37 е в сериозен конфликт с Регламент (ЕС) № 965/2012, не само с предложените изменения и допълнения, а като </w:t>
            </w:r>
            <w:r>
              <w:rPr>
                <w:rFonts w:ascii="Times New Roman" w:hAnsi="Times New Roman"/>
              </w:rPr>
              <w:lastRenderedPageBreak/>
              <w:t>такава изобщо. Тази наредба е ненужна и безсмислена.</w:t>
            </w:r>
            <w:r w:rsidR="0062232B">
              <w:rPr>
                <w:rFonts w:ascii="Times New Roman" w:hAnsi="Times New Roman"/>
              </w:rPr>
              <w:t xml:space="preserve"> Тя е в противоречие с ДЕО – чл.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2232B">
              <w:rPr>
                <w:rFonts w:ascii="Times New Roman" w:hAnsi="Times New Roman"/>
              </w:rPr>
              <w:t>249, ал.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2232B">
              <w:rPr>
                <w:rFonts w:ascii="Times New Roman" w:hAnsi="Times New Roman"/>
              </w:rPr>
              <w:t>2. Регламентът е директно приложим и то</w:t>
            </w:r>
            <w:r w:rsidR="005B048D">
              <w:rPr>
                <w:rFonts w:ascii="Times New Roman" w:hAnsi="Times New Roman"/>
              </w:rPr>
              <w:t>ва</w:t>
            </w:r>
            <w:r w:rsidR="0062232B">
              <w:rPr>
                <w:rFonts w:ascii="Times New Roman" w:hAnsi="Times New Roman"/>
              </w:rPr>
              <w:t xml:space="preserve"> не е обусловено от каквато и да било рецепция или акт на транспониране във вътрешния правов ред. Подобна рецепция не само не е нужна, но е неправомерна. Наредба № 37 е в противоречие с това изискване. Тя е в противоречие с регламента, което я прави абсолютно безсмислена и ненужна, тъй като приложимата норма е регламента, а не наредбата, независимо какво пише в нея (чл.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2232B">
              <w:rPr>
                <w:rFonts w:ascii="Times New Roman" w:hAnsi="Times New Roman"/>
              </w:rPr>
              <w:t>15, ал.</w:t>
            </w:r>
            <w:r w:rsidR="005B048D">
              <w:rPr>
                <w:rFonts w:ascii="Times New Roman" w:hAnsi="Times New Roman"/>
              </w:rPr>
              <w:t xml:space="preserve"> </w:t>
            </w:r>
            <w:r w:rsidR="0062232B">
              <w:rPr>
                <w:rFonts w:ascii="Times New Roman" w:hAnsi="Times New Roman"/>
              </w:rPr>
              <w:t xml:space="preserve">2 от ЗНА) </w:t>
            </w:r>
          </w:p>
        </w:tc>
        <w:tc>
          <w:tcPr>
            <w:tcW w:w="1535" w:type="dxa"/>
          </w:tcPr>
          <w:p w14:paraId="6076DD00" w14:textId="5DF9D5D1" w:rsidR="00F00176" w:rsidRDefault="0032667E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Не се приема</w:t>
            </w:r>
          </w:p>
        </w:tc>
        <w:tc>
          <w:tcPr>
            <w:tcW w:w="6995" w:type="dxa"/>
          </w:tcPr>
          <w:p w14:paraId="4B093007" w14:textId="5CE2F38A" w:rsidR="00F00176" w:rsidRDefault="0032667E" w:rsidP="007F5FA2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Наредбата съдържа административните производства, които се провеждат за целите на сертифициране на авиационните </w:t>
            </w:r>
            <w:r>
              <w:rPr>
                <w:bCs/>
                <w:iCs/>
                <w:lang w:val="ru-RU"/>
              </w:rPr>
              <w:lastRenderedPageBreak/>
              <w:t>оператори, в т.ч. на такива, които не попадат в обхвата на регламента –</w:t>
            </w:r>
            <w:r w:rsidR="005B048D">
              <w:rPr>
                <w:bCs/>
                <w:iCs/>
                <w:lang w:val="ru-RU"/>
              </w:rPr>
              <w:t xml:space="preserve"> </w:t>
            </w:r>
            <w:r w:rsidR="005D4757">
              <w:rPr>
                <w:bCs/>
                <w:iCs/>
                <w:lang w:val="ru-RU"/>
              </w:rPr>
              <w:t>напр.</w:t>
            </w:r>
            <w:r>
              <w:rPr>
                <w:bCs/>
                <w:iCs/>
                <w:lang w:val="ru-RU"/>
              </w:rPr>
              <w:t xml:space="preserve"> националните</w:t>
            </w:r>
            <w:r w:rsidR="005D4757">
              <w:rPr>
                <w:bCs/>
                <w:iCs/>
                <w:lang w:val="ru-RU"/>
              </w:rPr>
              <w:t xml:space="preserve"> САО</w:t>
            </w:r>
            <w:r w:rsidR="00343173">
              <w:rPr>
                <w:bCs/>
                <w:iCs/>
                <w:lang w:val="ru-RU"/>
              </w:rPr>
              <w:t>-САР</w:t>
            </w:r>
            <w:r w:rsidR="005B048D">
              <w:rPr>
                <w:bCs/>
                <w:iCs/>
                <w:lang w:val="ru-RU"/>
              </w:rPr>
              <w:t>.</w:t>
            </w:r>
            <w:r>
              <w:rPr>
                <w:bCs/>
                <w:iCs/>
                <w:lang w:val="ru-RU"/>
              </w:rPr>
              <w:t xml:space="preserve"> </w:t>
            </w:r>
          </w:p>
        </w:tc>
      </w:tr>
      <w:tr w:rsidR="00F00176" w:rsidRPr="00996CB9" w14:paraId="074F808F" w14:textId="77777777" w:rsidTr="00614B04">
        <w:trPr>
          <w:jc w:val="center"/>
        </w:trPr>
        <w:tc>
          <w:tcPr>
            <w:tcW w:w="1157" w:type="dxa"/>
          </w:tcPr>
          <w:p w14:paraId="79B66274" w14:textId="1BE0097B" w:rsidR="00F00176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62232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49" w:type="dxa"/>
          </w:tcPr>
          <w:p w14:paraId="35BBF881" w14:textId="3816433D" w:rsidR="00F00176" w:rsidRPr="007F5FA2" w:rsidRDefault="0062232B" w:rsidP="00A973D0">
            <w:pPr>
              <w:spacing w:after="0" w:line="240" w:lineRule="auto"/>
              <w:ind w:left="98" w:right="12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Смисълът и правната обосновка на съществуването на Наредба № 37 и Наредба № 39 е изчерпан с отмяната на </w:t>
            </w:r>
            <w:r>
              <w:rPr>
                <w:rFonts w:ascii="Times New Roman" w:hAnsi="Times New Roman"/>
                <w:lang w:val="en-US"/>
              </w:rPr>
              <w:t>JAR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OPS</w:t>
            </w:r>
            <w:r>
              <w:rPr>
                <w:rFonts w:ascii="Times New Roman" w:hAnsi="Times New Roman"/>
              </w:rPr>
              <w:t xml:space="preserve"> и</w:t>
            </w:r>
            <w:r w:rsidRPr="001A2FA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JAR</w:t>
            </w:r>
            <w:r w:rsidRPr="001A2FAA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FCL</w:t>
            </w:r>
            <w:r>
              <w:rPr>
                <w:rFonts w:ascii="Times New Roman" w:hAnsi="Times New Roman"/>
              </w:rPr>
              <w:t xml:space="preserve"> и съответно</w:t>
            </w:r>
            <w:r w:rsidR="00A973D0">
              <w:rPr>
                <w:rFonts w:ascii="Times New Roman" w:hAnsi="Times New Roman"/>
                <w:lang w:val="en-US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въвеждането на </w:t>
            </w:r>
            <w:r w:rsidR="00AF1E29">
              <w:rPr>
                <w:rFonts w:ascii="Times New Roman" w:hAnsi="Times New Roman"/>
              </w:rPr>
              <w:t xml:space="preserve">съответните регламенти на ЕС. Пример в това отношение е работата на отдел ЛГ в ГД </w:t>
            </w:r>
            <w:r w:rsidR="00A973D0">
              <w:rPr>
                <w:rFonts w:ascii="Times New Roman" w:hAnsi="Times New Roman"/>
              </w:rPr>
              <w:t>„</w:t>
            </w:r>
            <w:r w:rsidR="00AF1E29">
              <w:rPr>
                <w:rFonts w:ascii="Times New Roman" w:hAnsi="Times New Roman"/>
              </w:rPr>
              <w:t>ГВА</w:t>
            </w:r>
            <w:r w:rsidR="00A973D0">
              <w:rPr>
                <w:rFonts w:ascii="Times New Roman" w:hAnsi="Times New Roman"/>
              </w:rPr>
              <w:t>“</w:t>
            </w:r>
            <w:r w:rsidR="00AF1E29">
              <w:rPr>
                <w:rFonts w:ascii="Times New Roman" w:hAnsi="Times New Roman"/>
              </w:rPr>
              <w:t xml:space="preserve">, където съответният Регламент (ЕС) № 1321/2014 се прилага директно (още от 2007 г.), без каквито и да било спъващи и утежняващи интерпретации и наредба. </w:t>
            </w:r>
          </w:p>
          <w:p w14:paraId="64EBF573" w14:textId="01AC5A52" w:rsidR="00AF1E29" w:rsidRPr="0062232B" w:rsidRDefault="00AF1E29" w:rsidP="000678B2">
            <w:pPr>
              <w:spacing w:after="0" w:line="240" w:lineRule="auto"/>
              <w:ind w:left="98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Чрез Наръчника на инспектора са въведени инструкциите и процедурите, предназначени както за инспекторите, така и за индустрията. За съжаление такъв наръчник по отношение на летателната експлоатация, както и авиационен персонал и медицина не съществува или ако го има, то те не са публични в съответната си част. </w:t>
            </w:r>
          </w:p>
        </w:tc>
        <w:tc>
          <w:tcPr>
            <w:tcW w:w="1535" w:type="dxa"/>
          </w:tcPr>
          <w:p w14:paraId="4B34199D" w14:textId="2169273F" w:rsidR="00F00176" w:rsidRDefault="005D4757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 се приема</w:t>
            </w:r>
          </w:p>
        </w:tc>
        <w:tc>
          <w:tcPr>
            <w:tcW w:w="6995" w:type="dxa"/>
          </w:tcPr>
          <w:p w14:paraId="28C777E6" w14:textId="35A73E39" w:rsidR="00F00176" w:rsidRPr="007F5FA2" w:rsidRDefault="005D4757" w:rsidP="007F5FA2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  <w:r w:rsidRPr="007F5FA2">
              <w:rPr>
                <w:bCs/>
                <w:iCs/>
                <w:lang w:val="bg-BG"/>
              </w:rPr>
              <w:t xml:space="preserve">Наредбите съдържат административните производства по сертифициране на </w:t>
            </w:r>
            <w:r w:rsidR="006616F5" w:rsidRPr="007F5FA2">
              <w:rPr>
                <w:bCs/>
                <w:iCs/>
                <w:lang w:val="bg-BG"/>
              </w:rPr>
              <w:t>авиационните оператори</w:t>
            </w:r>
            <w:r w:rsidRPr="007F5FA2">
              <w:rPr>
                <w:bCs/>
                <w:iCs/>
                <w:lang w:val="bg-BG"/>
              </w:rPr>
              <w:t xml:space="preserve"> и персонала</w:t>
            </w:r>
            <w:r w:rsidR="00343173" w:rsidRPr="007F5FA2">
              <w:rPr>
                <w:bCs/>
                <w:iCs/>
                <w:lang w:val="bg-BG"/>
              </w:rPr>
              <w:t xml:space="preserve">. Те се издават от министъра на транспорта и съобщенията, а не от ГД </w:t>
            </w:r>
            <w:r w:rsidR="00A973D0">
              <w:rPr>
                <w:bCs/>
                <w:iCs/>
                <w:lang w:val="bg-BG"/>
              </w:rPr>
              <w:t>„</w:t>
            </w:r>
            <w:r w:rsidR="00343173" w:rsidRPr="007F5FA2">
              <w:rPr>
                <w:bCs/>
                <w:iCs/>
                <w:lang w:val="bg-BG"/>
              </w:rPr>
              <w:t>ГВА</w:t>
            </w:r>
            <w:r w:rsidR="00A973D0">
              <w:rPr>
                <w:bCs/>
                <w:iCs/>
                <w:lang w:val="bg-BG"/>
              </w:rPr>
              <w:t>“</w:t>
            </w:r>
            <w:r w:rsidR="00343173" w:rsidRPr="007F5FA2">
              <w:rPr>
                <w:bCs/>
                <w:iCs/>
                <w:lang w:val="bg-BG"/>
              </w:rPr>
              <w:t>.</w:t>
            </w:r>
            <w:r w:rsidR="00A973D0">
              <w:rPr>
                <w:bCs/>
                <w:iCs/>
                <w:lang w:val="bg-BG"/>
              </w:rPr>
              <w:t xml:space="preserve"> </w:t>
            </w:r>
            <w:r w:rsidR="00343173" w:rsidRPr="007F5FA2">
              <w:rPr>
                <w:bCs/>
                <w:iCs/>
                <w:lang w:val="bg-BG"/>
              </w:rPr>
              <w:t xml:space="preserve">Те са </w:t>
            </w:r>
            <w:r w:rsidR="00A973D0">
              <w:rPr>
                <w:bCs/>
                <w:iCs/>
                <w:lang w:val="bg-BG"/>
              </w:rPr>
              <w:t xml:space="preserve">подзаконови </w:t>
            </w:r>
            <w:r w:rsidR="00343173" w:rsidRPr="007F5FA2">
              <w:rPr>
                <w:bCs/>
                <w:iCs/>
                <w:lang w:val="bg-BG"/>
              </w:rPr>
              <w:t>актове</w:t>
            </w:r>
            <w:r w:rsidR="00A973D0">
              <w:rPr>
                <w:bCs/>
                <w:iCs/>
                <w:lang w:val="bg-BG"/>
              </w:rPr>
              <w:t xml:space="preserve">, издадени на основание </w:t>
            </w:r>
            <w:r w:rsidR="00343173" w:rsidRPr="007F5FA2">
              <w:rPr>
                <w:bCs/>
                <w:iCs/>
                <w:lang w:val="bg-BG"/>
              </w:rPr>
              <w:t xml:space="preserve">ЗГВ и не интерпретират уредбата на </w:t>
            </w:r>
            <w:r w:rsidR="00A973D0">
              <w:rPr>
                <w:bCs/>
                <w:iCs/>
                <w:lang w:val="bg-BG"/>
              </w:rPr>
              <w:t xml:space="preserve">правото на </w:t>
            </w:r>
            <w:r w:rsidR="00343173" w:rsidRPr="007F5FA2">
              <w:rPr>
                <w:bCs/>
                <w:iCs/>
                <w:lang w:val="bg-BG"/>
              </w:rPr>
              <w:t>ЕС, доколкото съдържат процесуални правила за провеждане на административните производства, свързани със сертифицирането на определените в регламентите субекти</w:t>
            </w:r>
            <w:r w:rsidR="00A973D0">
              <w:rPr>
                <w:bCs/>
                <w:iCs/>
                <w:lang w:val="bg-BG"/>
              </w:rPr>
              <w:t>. Често за изпълнението на регламент, който е пряко приложим, е необходимо приемането на мерки на национално ниво.</w:t>
            </w:r>
            <w:r w:rsidR="00343173" w:rsidRPr="007F5FA2">
              <w:rPr>
                <w:bCs/>
                <w:iCs/>
                <w:lang w:val="bg-BG"/>
              </w:rPr>
              <w:t xml:space="preserve">  </w:t>
            </w:r>
          </w:p>
        </w:tc>
      </w:tr>
      <w:tr w:rsidR="00F00176" w:rsidRPr="00996CB9" w14:paraId="29D39695" w14:textId="77777777" w:rsidTr="00614B04">
        <w:trPr>
          <w:jc w:val="center"/>
        </w:trPr>
        <w:tc>
          <w:tcPr>
            <w:tcW w:w="1157" w:type="dxa"/>
          </w:tcPr>
          <w:p w14:paraId="6FA98F08" w14:textId="156D5C65" w:rsidR="00F00176" w:rsidRDefault="00936038" w:rsidP="0072193D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F1E29">
              <w:rPr>
                <w:rFonts w:ascii="Times New Roman" w:hAnsi="Times New Roman"/>
              </w:rPr>
              <w:t>.</w:t>
            </w:r>
          </w:p>
        </w:tc>
        <w:tc>
          <w:tcPr>
            <w:tcW w:w="5249" w:type="dxa"/>
          </w:tcPr>
          <w:p w14:paraId="56E1097C" w14:textId="6C0AD2CB" w:rsidR="00F00176" w:rsidRDefault="00AF1E29" w:rsidP="007F5FA2">
            <w:pPr>
              <w:spacing w:after="0" w:line="240" w:lineRule="auto"/>
              <w:ind w:left="98" w:right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Двойственият режим за прилагането  на европейските регламенти, и то в рамките на една дирекция –„Летателни стандарти“, възпрепятства изискването за еднообразното създаване и еднозначно прилагане на европейската правна норма, което е предпоставка за субективизъм и отклонение от зададените стандарти, както и в посока завишаване на изискванията, </w:t>
            </w:r>
            <w:r w:rsidR="0032667E">
              <w:rPr>
                <w:rFonts w:ascii="Times New Roman" w:hAnsi="Times New Roman"/>
              </w:rPr>
              <w:t xml:space="preserve">респ. и на административното натоварване, така и в обратна посока. </w:t>
            </w:r>
          </w:p>
        </w:tc>
        <w:tc>
          <w:tcPr>
            <w:tcW w:w="1535" w:type="dxa"/>
          </w:tcPr>
          <w:p w14:paraId="1235C353" w14:textId="7C34D980" w:rsidR="00F00176" w:rsidRDefault="005D4757" w:rsidP="00103355">
            <w:pPr>
              <w:spacing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 се приема</w:t>
            </w:r>
          </w:p>
        </w:tc>
        <w:tc>
          <w:tcPr>
            <w:tcW w:w="6995" w:type="dxa"/>
          </w:tcPr>
          <w:p w14:paraId="3393027F" w14:textId="66D2F187" w:rsidR="00F00176" w:rsidRPr="007F5FA2" w:rsidRDefault="005D4757" w:rsidP="007F5FA2">
            <w:pPr>
              <w:pStyle w:val="NormalWeb"/>
              <w:shd w:val="clear" w:color="auto" w:fill="FFFFFF"/>
              <w:spacing w:before="0" w:beforeAutospacing="0" w:after="0" w:afterAutospacing="0"/>
              <w:ind w:right="137"/>
              <w:jc w:val="both"/>
              <w:rPr>
                <w:bCs/>
                <w:iCs/>
                <w:lang w:val="bg-BG"/>
              </w:rPr>
            </w:pPr>
            <w:r w:rsidRPr="007F5FA2">
              <w:rPr>
                <w:bCs/>
                <w:iCs/>
                <w:lang w:val="bg-BG"/>
              </w:rPr>
              <w:t xml:space="preserve">Наръчникът на инспектора на отдел </w:t>
            </w:r>
            <w:r w:rsidR="00A973D0">
              <w:rPr>
                <w:bCs/>
                <w:iCs/>
                <w:lang w:val="bg-BG"/>
              </w:rPr>
              <w:t>„</w:t>
            </w:r>
            <w:r w:rsidRPr="007F5FA2">
              <w:rPr>
                <w:bCs/>
                <w:iCs/>
                <w:lang w:val="bg-BG"/>
              </w:rPr>
              <w:t>Л</w:t>
            </w:r>
            <w:r w:rsidR="00A973D0">
              <w:rPr>
                <w:bCs/>
                <w:iCs/>
                <w:lang w:val="bg-BG"/>
              </w:rPr>
              <w:t xml:space="preserve">етателна годност на </w:t>
            </w:r>
            <w:r w:rsidRPr="007F5FA2">
              <w:rPr>
                <w:bCs/>
                <w:iCs/>
                <w:lang w:val="bg-BG"/>
              </w:rPr>
              <w:t>ГВС</w:t>
            </w:r>
            <w:r w:rsidR="00A973D0">
              <w:rPr>
                <w:bCs/>
                <w:iCs/>
                <w:lang w:val="bg-BG"/>
              </w:rPr>
              <w:t>“</w:t>
            </w:r>
            <w:r w:rsidRPr="007F5FA2">
              <w:rPr>
                <w:bCs/>
                <w:iCs/>
                <w:lang w:val="bg-BG"/>
              </w:rPr>
              <w:t xml:space="preserve"> е вътрешноорганизационен документ</w:t>
            </w:r>
            <w:r w:rsidR="006616F5" w:rsidRPr="007F5FA2">
              <w:rPr>
                <w:bCs/>
                <w:iCs/>
                <w:lang w:val="bg-BG"/>
              </w:rPr>
              <w:t>, но не е нормативен акт. Неизпълнението на негови изисквания няма да е основание за търсене на административнонаказателна отговорност</w:t>
            </w:r>
            <w:r w:rsidR="00A973D0">
              <w:rPr>
                <w:bCs/>
                <w:iCs/>
                <w:lang w:val="bg-BG"/>
              </w:rPr>
              <w:t>.</w:t>
            </w:r>
            <w:r w:rsidRPr="007F5FA2">
              <w:rPr>
                <w:bCs/>
                <w:iCs/>
                <w:lang w:val="bg-BG"/>
              </w:rPr>
              <w:t xml:space="preserve">  </w:t>
            </w:r>
          </w:p>
        </w:tc>
      </w:tr>
    </w:tbl>
    <w:p w14:paraId="261232AC" w14:textId="77777777" w:rsidR="0032667E" w:rsidRPr="00996CB9" w:rsidRDefault="0032667E">
      <w:pPr>
        <w:spacing w:line="240" w:lineRule="auto"/>
        <w:rPr>
          <w:rFonts w:ascii="Times New Roman" w:hAnsi="Times New Roman"/>
        </w:rPr>
      </w:pPr>
    </w:p>
    <w:sectPr w:rsidR="0032667E" w:rsidRPr="00996CB9" w:rsidSect="0032667E">
      <w:headerReference w:type="default" r:id="rId7"/>
      <w:footerReference w:type="default" r:id="rId8"/>
      <w:pgSz w:w="16840" w:h="11907" w:orient="landscape" w:code="9"/>
      <w:pgMar w:top="1134" w:right="11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A10E" w14:textId="77777777" w:rsidR="003F0CF8" w:rsidRDefault="003F0CF8">
      <w:pPr>
        <w:spacing w:after="0" w:line="240" w:lineRule="auto"/>
      </w:pPr>
      <w:r>
        <w:separator/>
      </w:r>
    </w:p>
  </w:endnote>
  <w:endnote w:type="continuationSeparator" w:id="0">
    <w:p w14:paraId="3229FA90" w14:textId="77777777" w:rsidR="003F0CF8" w:rsidRDefault="003F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4B07" w14:textId="26FF6F05" w:rsidR="00A26190" w:rsidRPr="003B2D48" w:rsidRDefault="00A26190" w:rsidP="00B17B71">
    <w:pPr>
      <w:pStyle w:val="Footer"/>
      <w:jc w:val="right"/>
      <w:rPr>
        <w:rFonts w:ascii="Times New Roman" w:hAnsi="Times New Roman"/>
        <w:i/>
        <w:iCs/>
      </w:rPr>
    </w:pPr>
    <w:r w:rsidRPr="00DE7B31">
      <w:rPr>
        <w:rFonts w:ascii="Times New Roman" w:hAnsi="Times New Roman"/>
        <w:i/>
        <w:iCs/>
      </w:rPr>
      <w:t xml:space="preserve">Стр. </w:t>
    </w:r>
    <w:r w:rsidRPr="00DE7B31">
      <w:rPr>
        <w:rFonts w:ascii="Times New Roman" w:hAnsi="Times New Roman"/>
        <w:b/>
        <w:bCs/>
        <w:i/>
        <w:iCs/>
      </w:rPr>
      <w:fldChar w:fldCharType="begin"/>
    </w:r>
    <w:r w:rsidRPr="00DE7B31">
      <w:rPr>
        <w:rFonts w:ascii="Times New Roman" w:hAnsi="Times New Roman"/>
        <w:b/>
        <w:bCs/>
        <w:i/>
        <w:iCs/>
      </w:rPr>
      <w:instrText xml:space="preserve"> PAGE </w:instrText>
    </w:r>
    <w:r w:rsidRPr="00DE7B31">
      <w:rPr>
        <w:rFonts w:ascii="Times New Roman" w:hAnsi="Times New Roman"/>
        <w:b/>
        <w:bCs/>
        <w:i/>
        <w:iCs/>
      </w:rPr>
      <w:fldChar w:fldCharType="separate"/>
    </w:r>
    <w:r w:rsidR="007F5FA2">
      <w:rPr>
        <w:rFonts w:ascii="Times New Roman" w:hAnsi="Times New Roman"/>
        <w:b/>
        <w:bCs/>
        <w:i/>
        <w:iCs/>
        <w:noProof/>
      </w:rPr>
      <w:t>1</w:t>
    </w:r>
    <w:r w:rsidRPr="00DE7B31">
      <w:rPr>
        <w:rFonts w:ascii="Times New Roman" w:hAnsi="Times New Roman"/>
        <w:b/>
        <w:bCs/>
        <w:i/>
        <w:iCs/>
      </w:rPr>
      <w:fldChar w:fldCharType="end"/>
    </w:r>
    <w:r w:rsidRPr="00DE7B31">
      <w:rPr>
        <w:rFonts w:ascii="Times New Roman" w:hAnsi="Times New Roman"/>
        <w:i/>
        <w:iCs/>
      </w:rPr>
      <w:t xml:space="preserve"> от </w:t>
    </w:r>
    <w:r w:rsidRPr="00DE7B31">
      <w:rPr>
        <w:rFonts w:ascii="Times New Roman" w:hAnsi="Times New Roman"/>
        <w:b/>
        <w:bCs/>
        <w:i/>
        <w:iCs/>
      </w:rPr>
      <w:fldChar w:fldCharType="begin"/>
    </w:r>
    <w:r w:rsidRPr="00DE7B31">
      <w:rPr>
        <w:rFonts w:ascii="Times New Roman" w:hAnsi="Times New Roman"/>
        <w:b/>
        <w:bCs/>
        <w:i/>
        <w:iCs/>
      </w:rPr>
      <w:instrText xml:space="preserve"> NUMPAGES  </w:instrText>
    </w:r>
    <w:r w:rsidRPr="00DE7B31">
      <w:rPr>
        <w:rFonts w:ascii="Times New Roman" w:hAnsi="Times New Roman"/>
        <w:b/>
        <w:bCs/>
        <w:i/>
        <w:iCs/>
      </w:rPr>
      <w:fldChar w:fldCharType="separate"/>
    </w:r>
    <w:r w:rsidR="007F5FA2">
      <w:rPr>
        <w:rFonts w:ascii="Times New Roman" w:hAnsi="Times New Roman"/>
        <w:b/>
        <w:bCs/>
        <w:i/>
        <w:iCs/>
        <w:noProof/>
      </w:rPr>
      <w:t>12</w:t>
    </w:r>
    <w:r w:rsidRPr="00DE7B31">
      <w:rPr>
        <w:rFonts w:ascii="Times New Roman" w:hAnsi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D333" w14:textId="77777777" w:rsidR="003F0CF8" w:rsidRDefault="003F0CF8">
      <w:pPr>
        <w:spacing w:after="0" w:line="240" w:lineRule="auto"/>
      </w:pPr>
      <w:r>
        <w:separator/>
      </w:r>
    </w:p>
  </w:footnote>
  <w:footnote w:type="continuationSeparator" w:id="0">
    <w:p w14:paraId="2745EAED" w14:textId="77777777" w:rsidR="003F0CF8" w:rsidRDefault="003F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1D1E" w14:textId="77777777" w:rsidR="00A26190" w:rsidRPr="003B2C9E" w:rsidRDefault="00A26190" w:rsidP="00B17B71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941"/>
    <w:multiLevelType w:val="hybridMultilevel"/>
    <w:tmpl w:val="94F4BFB2"/>
    <w:lvl w:ilvl="0" w:tplc="BABEC26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1" w:tplc="1FA8EF2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2" w:tplc="453EBED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3" w:tplc="FC08497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4" w:tplc="010689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5" w:tplc="8A30C86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6" w:tplc="500892B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7" w:tplc="998E7E5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8" w:tplc="172E91F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</w:abstractNum>
  <w:abstractNum w:abstractNumId="1" w15:restartNumberingAfterBreak="0">
    <w:nsid w:val="099F4641"/>
    <w:multiLevelType w:val="hybridMultilevel"/>
    <w:tmpl w:val="F2D4774E"/>
    <w:lvl w:ilvl="0" w:tplc="6032EAB8">
      <w:start w:val="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77A1EA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0C14C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AAEBD9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AC6680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74AD1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B46BA2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510594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7E89D6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AE52C8B"/>
    <w:multiLevelType w:val="hybridMultilevel"/>
    <w:tmpl w:val="177A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E3DB7"/>
    <w:multiLevelType w:val="hybridMultilevel"/>
    <w:tmpl w:val="E22E945C"/>
    <w:lvl w:ilvl="0" w:tplc="C2BC3536">
      <w:start w:val="1"/>
      <w:numFmt w:val="decimal"/>
      <w:lvlText w:val="(%1)"/>
      <w:lvlJc w:val="left"/>
      <w:pPr>
        <w:ind w:left="37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4" w15:restartNumberingAfterBreak="0">
    <w:nsid w:val="1E7A66A3"/>
    <w:multiLevelType w:val="hybridMultilevel"/>
    <w:tmpl w:val="A492283A"/>
    <w:lvl w:ilvl="0" w:tplc="F32A2914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81C56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2D683C2A"/>
    <w:multiLevelType w:val="hybridMultilevel"/>
    <w:tmpl w:val="8C1467E4"/>
    <w:lvl w:ilvl="0" w:tplc="B94418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331B55A6"/>
    <w:multiLevelType w:val="hybridMultilevel"/>
    <w:tmpl w:val="574C7CAA"/>
    <w:lvl w:ilvl="0" w:tplc="08E6E0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340A1E9A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345D04E2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34BA0DC2"/>
    <w:multiLevelType w:val="hybridMultilevel"/>
    <w:tmpl w:val="FC8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45513D"/>
    <w:multiLevelType w:val="hybridMultilevel"/>
    <w:tmpl w:val="5CF0C402"/>
    <w:lvl w:ilvl="0" w:tplc="47E6A138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 w15:restartNumberingAfterBreak="0">
    <w:nsid w:val="4437252D"/>
    <w:multiLevelType w:val="hybridMultilevel"/>
    <w:tmpl w:val="CAD8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950D6"/>
    <w:multiLevelType w:val="hybridMultilevel"/>
    <w:tmpl w:val="A600CBE6"/>
    <w:lvl w:ilvl="0" w:tplc="BB52F104">
      <w:start w:val="1"/>
      <w:numFmt w:val="decimal"/>
      <w:lvlText w:val="%1."/>
      <w:lvlJc w:val="left"/>
      <w:pPr>
        <w:ind w:left="2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529CD4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E36E5A8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0C0C74C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038C4F2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51E3FDA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28838F2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3AD5E8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EEC3B5A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48233B76"/>
    <w:multiLevelType w:val="hybridMultilevel"/>
    <w:tmpl w:val="C22EDCC8"/>
    <w:lvl w:ilvl="0" w:tplc="F0769B0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5" w15:restartNumberingAfterBreak="0">
    <w:nsid w:val="4A4F6C4A"/>
    <w:multiLevelType w:val="hybridMultilevel"/>
    <w:tmpl w:val="452CF56E"/>
    <w:lvl w:ilvl="0" w:tplc="520ACE40">
      <w:start w:val="1"/>
      <w:numFmt w:val="decimal"/>
      <w:lvlText w:val="%1."/>
      <w:lvlJc w:val="center"/>
      <w:pPr>
        <w:tabs>
          <w:tab w:val="num" w:pos="-231"/>
        </w:tabs>
        <w:ind w:left="-231" w:firstLine="288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  <w:rPr>
        <w:rFonts w:cs="Times New Roman"/>
      </w:rPr>
    </w:lvl>
  </w:abstractNum>
  <w:abstractNum w:abstractNumId="16" w15:restartNumberingAfterBreak="0">
    <w:nsid w:val="4A584E0E"/>
    <w:multiLevelType w:val="hybridMultilevel"/>
    <w:tmpl w:val="280E0470"/>
    <w:lvl w:ilvl="0" w:tplc="C150BBA4">
      <w:start w:val="19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7" w15:restartNumberingAfterBreak="0">
    <w:nsid w:val="50AC1641"/>
    <w:multiLevelType w:val="hybridMultilevel"/>
    <w:tmpl w:val="C3924496"/>
    <w:lvl w:ilvl="0" w:tplc="2A3A36CE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8" w15:restartNumberingAfterBreak="0">
    <w:nsid w:val="54F171BC"/>
    <w:multiLevelType w:val="hybridMultilevel"/>
    <w:tmpl w:val="1D80F916"/>
    <w:lvl w:ilvl="0" w:tplc="E4588A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CD4E65"/>
    <w:multiLevelType w:val="hybridMultilevel"/>
    <w:tmpl w:val="C6F09E82"/>
    <w:lvl w:ilvl="0" w:tplc="49E8C2F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0" w15:restartNumberingAfterBreak="0">
    <w:nsid w:val="5C8B0066"/>
    <w:multiLevelType w:val="hybridMultilevel"/>
    <w:tmpl w:val="979CD354"/>
    <w:lvl w:ilvl="0" w:tplc="33106E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26512C6"/>
    <w:multiLevelType w:val="hybridMultilevel"/>
    <w:tmpl w:val="BE86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94323"/>
    <w:multiLevelType w:val="hybridMultilevel"/>
    <w:tmpl w:val="8C8E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57B27"/>
    <w:multiLevelType w:val="hybridMultilevel"/>
    <w:tmpl w:val="4DE6DCA4"/>
    <w:lvl w:ilvl="0" w:tplc="333AC63A">
      <w:start w:val="19"/>
      <w:numFmt w:val="decimal"/>
      <w:lvlText w:val="%1."/>
      <w:lvlJc w:val="left"/>
      <w:pPr>
        <w:ind w:left="92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4" w15:restartNumberingAfterBreak="0">
    <w:nsid w:val="69372FC9"/>
    <w:multiLevelType w:val="hybridMultilevel"/>
    <w:tmpl w:val="3C54F712"/>
    <w:lvl w:ilvl="0" w:tplc="7FE0168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5" w15:restartNumberingAfterBreak="0">
    <w:nsid w:val="6CE97669"/>
    <w:multiLevelType w:val="hybridMultilevel"/>
    <w:tmpl w:val="B2E8FA98"/>
    <w:lvl w:ilvl="0" w:tplc="F32A291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6" w15:restartNumberingAfterBreak="0">
    <w:nsid w:val="6E796E6E"/>
    <w:multiLevelType w:val="multilevel"/>
    <w:tmpl w:val="5CF0C402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7" w15:restartNumberingAfterBreak="0">
    <w:nsid w:val="6FD35013"/>
    <w:multiLevelType w:val="hybridMultilevel"/>
    <w:tmpl w:val="932C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D76310"/>
    <w:multiLevelType w:val="hybridMultilevel"/>
    <w:tmpl w:val="3DECDF82"/>
    <w:lvl w:ilvl="0" w:tplc="C4CA17E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705E132A"/>
    <w:multiLevelType w:val="hybridMultilevel"/>
    <w:tmpl w:val="DDB055C4"/>
    <w:lvl w:ilvl="0" w:tplc="2F1CB79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0" w15:restartNumberingAfterBreak="0">
    <w:nsid w:val="774F52F5"/>
    <w:multiLevelType w:val="hybridMultilevel"/>
    <w:tmpl w:val="F2D4774E"/>
    <w:lvl w:ilvl="0" w:tplc="6032EAB8">
      <w:start w:val="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77A1EA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0C14C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AAEBD9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AC6680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74AD1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B46BA2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510594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7E89D6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C2866E9"/>
    <w:multiLevelType w:val="hybridMultilevel"/>
    <w:tmpl w:val="8C8E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771F8"/>
    <w:multiLevelType w:val="hybridMultilevel"/>
    <w:tmpl w:val="619646BC"/>
    <w:lvl w:ilvl="0" w:tplc="5DD670E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7"/>
  </w:num>
  <w:num w:numId="4">
    <w:abstractNumId w:val="12"/>
  </w:num>
  <w:num w:numId="5">
    <w:abstractNumId w:val="29"/>
  </w:num>
  <w:num w:numId="6">
    <w:abstractNumId w:val="18"/>
  </w:num>
  <w:num w:numId="7">
    <w:abstractNumId w:val="7"/>
  </w:num>
  <w:num w:numId="8">
    <w:abstractNumId w:val="32"/>
  </w:num>
  <w:num w:numId="9">
    <w:abstractNumId w:val="10"/>
  </w:num>
  <w:num w:numId="10">
    <w:abstractNumId w:val="14"/>
  </w:num>
  <w:num w:numId="11">
    <w:abstractNumId w:val="0"/>
  </w:num>
  <w:num w:numId="12">
    <w:abstractNumId w:val="1"/>
  </w:num>
  <w:num w:numId="13">
    <w:abstractNumId w:val="30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17"/>
  </w:num>
  <w:num w:numId="19">
    <w:abstractNumId w:val="23"/>
  </w:num>
  <w:num w:numId="20">
    <w:abstractNumId w:val="6"/>
  </w:num>
  <w:num w:numId="21">
    <w:abstractNumId w:val="4"/>
  </w:num>
  <w:num w:numId="22">
    <w:abstractNumId w:val="25"/>
  </w:num>
  <w:num w:numId="23">
    <w:abstractNumId w:val="16"/>
  </w:num>
  <w:num w:numId="24">
    <w:abstractNumId w:val="11"/>
  </w:num>
  <w:num w:numId="25">
    <w:abstractNumId w:val="15"/>
  </w:num>
  <w:num w:numId="26">
    <w:abstractNumId w:val="26"/>
  </w:num>
  <w:num w:numId="27">
    <w:abstractNumId w:val="21"/>
  </w:num>
  <w:num w:numId="28">
    <w:abstractNumId w:val="24"/>
  </w:num>
  <w:num w:numId="29">
    <w:abstractNumId w:val="28"/>
  </w:num>
  <w:num w:numId="30">
    <w:abstractNumId w:val="19"/>
  </w:num>
  <w:num w:numId="31">
    <w:abstractNumId w:val="20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BF"/>
    <w:rsid w:val="0000508D"/>
    <w:rsid w:val="000174AF"/>
    <w:rsid w:val="00022948"/>
    <w:rsid w:val="000349A9"/>
    <w:rsid w:val="0003617A"/>
    <w:rsid w:val="000514F8"/>
    <w:rsid w:val="00062A83"/>
    <w:rsid w:val="0006372E"/>
    <w:rsid w:val="000678B2"/>
    <w:rsid w:val="0007786B"/>
    <w:rsid w:val="00095F4C"/>
    <w:rsid w:val="0009767B"/>
    <w:rsid w:val="000A3554"/>
    <w:rsid w:val="000A3960"/>
    <w:rsid w:val="000D61CA"/>
    <w:rsid w:val="000D7C6C"/>
    <w:rsid w:val="000E0505"/>
    <w:rsid w:val="000E7A57"/>
    <w:rsid w:val="001002BD"/>
    <w:rsid w:val="00103355"/>
    <w:rsid w:val="001123C1"/>
    <w:rsid w:val="0011361B"/>
    <w:rsid w:val="00122A6B"/>
    <w:rsid w:val="00130716"/>
    <w:rsid w:val="001379DE"/>
    <w:rsid w:val="00151C08"/>
    <w:rsid w:val="00161607"/>
    <w:rsid w:val="00174231"/>
    <w:rsid w:val="0018445C"/>
    <w:rsid w:val="00195A48"/>
    <w:rsid w:val="001A2FAA"/>
    <w:rsid w:val="001B4CDE"/>
    <w:rsid w:val="001B6314"/>
    <w:rsid w:val="001C3110"/>
    <w:rsid w:val="001F437E"/>
    <w:rsid w:val="001F747E"/>
    <w:rsid w:val="001F7715"/>
    <w:rsid w:val="00203E74"/>
    <w:rsid w:val="002211BF"/>
    <w:rsid w:val="0023039A"/>
    <w:rsid w:val="00231C46"/>
    <w:rsid w:val="002437CA"/>
    <w:rsid w:val="002522CB"/>
    <w:rsid w:val="00281111"/>
    <w:rsid w:val="0029593A"/>
    <w:rsid w:val="002A3B93"/>
    <w:rsid w:val="002A7C8A"/>
    <w:rsid w:val="002B0D0E"/>
    <w:rsid w:val="002B6B54"/>
    <w:rsid w:val="002B782F"/>
    <w:rsid w:val="002C2FAA"/>
    <w:rsid w:val="002D54C2"/>
    <w:rsid w:val="002D6840"/>
    <w:rsid w:val="002E005D"/>
    <w:rsid w:val="002E31B2"/>
    <w:rsid w:val="0030605A"/>
    <w:rsid w:val="00313E6E"/>
    <w:rsid w:val="0032667E"/>
    <w:rsid w:val="00334CE2"/>
    <w:rsid w:val="00343173"/>
    <w:rsid w:val="00365851"/>
    <w:rsid w:val="0038087F"/>
    <w:rsid w:val="003814EC"/>
    <w:rsid w:val="003844C3"/>
    <w:rsid w:val="0039186B"/>
    <w:rsid w:val="003A01DC"/>
    <w:rsid w:val="003B2C9E"/>
    <w:rsid w:val="003B2D48"/>
    <w:rsid w:val="003B62C2"/>
    <w:rsid w:val="003D1286"/>
    <w:rsid w:val="003E5746"/>
    <w:rsid w:val="003F0CF8"/>
    <w:rsid w:val="003F459D"/>
    <w:rsid w:val="003F468C"/>
    <w:rsid w:val="0040543F"/>
    <w:rsid w:val="004142AA"/>
    <w:rsid w:val="004221DF"/>
    <w:rsid w:val="00426CE2"/>
    <w:rsid w:val="00446546"/>
    <w:rsid w:val="0045021F"/>
    <w:rsid w:val="00452415"/>
    <w:rsid w:val="004567EB"/>
    <w:rsid w:val="004638D8"/>
    <w:rsid w:val="00475291"/>
    <w:rsid w:val="004810B5"/>
    <w:rsid w:val="00484494"/>
    <w:rsid w:val="00487840"/>
    <w:rsid w:val="00492CE0"/>
    <w:rsid w:val="00494DCC"/>
    <w:rsid w:val="004E0463"/>
    <w:rsid w:val="004F0ABF"/>
    <w:rsid w:val="004F6A84"/>
    <w:rsid w:val="005032E0"/>
    <w:rsid w:val="00516AE4"/>
    <w:rsid w:val="00535486"/>
    <w:rsid w:val="00540142"/>
    <w:rsid w:val="0058565C"/>
    <w:rsid w:val="00592163"/>
    <w:rsid w:val="00592CB4"/>
    <w:rsid w:val="005A1865"/>
    <w:rsid w:val="005B048D"/>
    <w:rsid w:val="005C68A7"/>
    <w:rsid w:val="005C6F09"/>
    <w:rsid w:val="005D4757"/>
    <w:rsid w:val="005E3A79"/>
    <w:rsid w:val="005E6D2C"/>
    <w:rsid w:val="005F7DC6"/>
    <w:rsid w:val="00614B04"/>
    <w:rsid w:val="0061621C"/>
    <w:rsid w:val="0062232B"/>
    <w:rsid w:val="00623091"/>
    <w:rsid w:val="006248F3"/>
    <w:rsid w:val="0065613D"/>
    <w:rsid w:val="00661348"/>
    <w:rsid w:val="006616F5"/>
    <w:rsid w:val="00676C55"/>
    <w:rsid w:val="0068666E"/>
    <w:rsid w:val="006873E9"/>
    <w:rsid w:val="006902B0"/>
    <w:rsid w:val="006960A4"/>
    <w:rsid w:val="006A611D"/>
    <w:rsid w:val="006A6245"/>
    <w:rsid w:val="006C3F4B"/>
    <w:rsid w:val="006F0CF9"/>
    <w:rsid w:val="006F1815"/>
    <w:rsid w:val="00716E28"/>
    <w:rsid w:val="0072193D"/>
    <w:rsid w:val="00731F7C"/>
    <w:rsid w:val="007408D1"/>
    <w:rsid w:val="00740F30"/>
    <w:rsid w:val="0074392B"/>
    <w:rsid w:val="00744A2D"/>
    <w:rsid w:val="007570F3"/>
    <w:rsid w:val="0077092E"/>
    <w:rsid w:val="00772B07"/>
    <w:rsid w:val="00781A57"/>
    <w:rsid w:val="0078768C"/>
    <w:rsid w:val="00792BA8"/>
    <w:rsid w:val="00792BC1"/>
    <w:rsid w:val="00796AB5"/>
    <w:rsid w:val="007A3C73"/>
    <w:rsid w:val="007B21A1"/>
    <w:rsid w:val="007F24BF"/>
    <w:rsid w:val="007F5FA2"/>
    <w:rsid w:val="00800D81"/>
    <w:rsid w:val="00806E84"/>
    <w:rsid w:val="00815027"/>
    <w:rsid w:val="00822C6C"/>
    <w:rsid w:val="00832902"/>
    <w:rsid w:val="00866A26"/>
    <w:rsid w:val="00880759"/>
    <w:rsid w:val="008C100E"/>
    <w:rsid w:val="008D5579"/>
    <w:rsid w:val="008E0BF3"/>
    <w:rsid w:val="00936038"/>
    <w:rsid w:val="00937315"/>
    <w:rsid w:val="009447D2"/>
    <w:rsid w:val="00954F02"/>
    <w:rsid w:val="009768DA"/>
    <w:rsid w:val="00977AB5"/>
    <w:rsid w:val="00996CB9"/>
    <w:rsid w:val="009B0DD0"/>
    <w:rsid w:val="009B250A"/>
    <w:rsid w:val="009D307B"/>
    <w:rsid w:val="009D76C3"/>
    <w:rsid w:val="009E7DAC"/>
    <w:rsid w:val="009F450C"/>
    <w:rsid w:val="00A04F51"/>
    <w:rsid w:val="00A161EE"/>
    <w:rsid w:val="00A26190"/>
    <w:rsid w:val="00A278A9"/>
    <w:rsid w:val="00A420CE"/>
    <w:rsid w:val="00A64E1E"/>
    <w:rsid w:val="00A73926"/>
    <w:rsid w:val="00A7571E"/>
    <w:rsid w:val="00A828BE"/>
    <w:rsid w:val="00A8595C"/>
    <w:rsid w:val="00A973D0"/>
    <w:rsid w:val="00AA0CF4"/>
    <w:rsid w:val="00AA6F3B"/>
    <w:rsid w:val="00AE6947"/>
    <w:rsid w:val="00AF1E29"/>
    <w:rsid w:val="00B01415"/>
    <w:rsid w:val="00B02379"/>
    <w:rsid w:val="00B07053"/>
    <w:rsid w:val="00B17B71"/>
    <w:rsid w:val="00B2239C"/>
    <w:rsid w:val="00B570E1"/>
    <w:rsid w:val="00B61953"/>
    <w:rsid w:val="00B745AB"/>
    <w:rsid w:val="00B87DBE"/>
    <w:rsid w:val="00B94757"/>
    <w:rsid w:val="00BA1A9D"/>
    <w:rsid w:val="00BF3737"/>
    <w:rsid w:val="00BF5102"/>
    <w:rsid w:val="00C01308"/>
    <w:rsid w:val="00C21E9C"/>
    <w:rsid w:val="00C24960"/>
    <w:rsid w:val="00C26CDC"/>
    <w:rsid w:val="00C637CE"/>
    <w:rsid w:val="00C70587"/>
    <w:rsid w:val="00C7238D"/>
    <w:rsid w:val="00C87D50"/>
    <w:rsid w:val="00CB0C46"/>
    <w:rsid w:val="00CC4175"/>
    <w:rsid w:val="00D16E29"/>
    <w:rsid w:val="00D203A1"/>
    <w:rsid w:val="00D226E0"/>
    <w:rsid w:val="00D2456C"/>
    <w:rsid w:val="00D25832"/>
    <w:rsid w:val="00D42F9A"/>
    <w:rsid w:val="00D74F4F"/>
    <w:rsid w:val="00D85383"/>
    <w:rsid w:val="00D91784"/>
    <w:rsid w:val="00DA1AE1"/>
    <w:rsid w:val="00DB1141"/>
    <w:rsid w:val="00DC4800"/>
    <w:rsid w:val="00DC6E67"/>
    <w:rsid w:val="00DD08CE"/>
    <w:rsid w:val="00DE0E27"/>
    <w:rsid w:val="00DE39F9"/>
    <w:rsid w:val="00DE5828"/>
    <w:rsid w:val="00DE7B31"/>
    <w:rsid w:val="00DF5A68"/>
    <w:rsid w:val="00E00B0B"/>
    <w:rsid w:val="00E0297F"/>
    <w:rsid w:val="00E201A7"/>
    <w:rsid w:val="00E27BC8"/>
    <w:rsid w:val="00E35A24"/>
    <w:rsid w:val="00E72263"/>
    <w:rsid w:val="00E82061"/>
    <w:rsid w:val="00E84265"/>
    <w:rsid w:val="00EA2413"/>
    <w:rsid w:val="00EB3756"/>
    <w:rsid w:val="00EC5FD5"/>
    <w:rsid w:val="00EF5559"/>
    <w:rsid w:val="00F00176"/>
    <w:rsid w:val="00F223C6"/>
    <w:rsid w:val="00F32523"/>
    <w:rsid w:val="00F50056"/>
    <w:rsid w:val="00F81048"/>
    <w:rsid w:val="00FA289B"/>
    <w:rsid w:val="00FA56BD"/>
    <w:rsid w:val="00FA7CCD"/>
    <w:rsid w:val="00FC58D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5F6C6"/>
  <w15:docId w15:val="{430BB44E-8A5E-464C-A904-88305E8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B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74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74231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2211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11BF"/>
    <w:pPr>
      <w:ind w:left="720"/>
    </w:pPr>
  </w:style>
  <w:style w:type="paragraph" w:styleId="Header">
    <w:name w:val="header"/>
    <w:basedOn w:val="Normal"/>
    <w:link w:val="HeaderChar"/>
    <w:uiPriority w:val="99"/>
    <w:rsid w:val="002211B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1BF"/>
    <w:rPr>
      <w:lang w:val="bg-BG"/>
    </w:rPr>
  </w:style>
  <w:style w:type="paragraph" w:styleId="Footer">
    <w:name w:val="footer"/>
    <w:basedOn w:val="Normal"/>
    <w:link w:val="FooterChar"/>
    <w:uiPriority w:val="99"/>
    <w:rsid w:val="002211B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1BF"/>
    <w:rPr>
      <w:lang w:val="bg-BG"/>
    </w:rPr>
  </w:style>
  <w:style w:type="paragraph" w:customStyle="1" w:styleId="Default">
    <w:name w:val="Default"/>
    <w:uiPriority w:val="99"/>
    <w:rsid w:val="00221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38D8"/>
    <w:pPr>
      <w:spacing w:after="0"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D8"/>
    <w:rPr>
      <w:rFonts w:ascii="Segoe UI" w:hAnsi="Segoe UI"/>
      <w:sz w:val="18"/>
      <w:lang w:val="bg-BG"/>
    </w:rPr>
  </w:style>
  <w:style w:type="character" w:styleId="CommentReference">
    <w:name w:val="annotation reference"/>
    <w:basedOn w:val="DefaultParagraphFont"/>
    <w:uiPriority w:val="99"/>
    <w:semiHidden/>
    <w:rsid w:val="00D245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2456C"/>
    <w:pPr>
      <w:spacing w:after="16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456C"/>
    <w:rPr>
      <w:rFonts w:eastAsia="Times New Roman" w:cs="Times New Roman"/>
      <w:lang w:val="bg-BG" w:eastAsia="bg-BG"/>
    </w:rPr>
  </w:style>
  <w:style w:type="paragraph" w:styleId="NormalWeb">
    <w:name w:val="Normal (Web)"/>
    <w:basedOn w:val="Normal"/>
    <w:uiPriority w:val="99"/>
    <w:rsid w:val="00AA6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21F"/>
    <w:pPr>
      <w:spacing w:after="200" w:line="276" w:lineRule="auto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6B"/>
    <w:rPr>
      <w:rFonts w:eastAsia="Times New Roman" w:cs="Times New Roman"/>
      <w:b/>
      <w:bCs/>
      <w:sz w:val="20"/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ММаринов</dc:creator>
  <cp:keywords/>
  <dc:description/>
  <cp:lastModifiedBy>Maria Kaleva</cp:lastModifiedBy>
  <cp:revision>2</cp:revision>
  <cp:lastPrinted>2020-08-03T12:05:00Z</cp:lastPrinted>
  <dcterms:created xsi:type="dcterms:W3CDTF">2022-01-26T12:43:00Z</dcterms:created>
  <dcterms:modified xsi:type="dcterms:W3CDTF">2022-01-26T12:43:00Z</dcterms:modified>
</cp:coreProperties>
</file>